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20, 2023</w:t>
      </w:r>
    </w:p>
    <w:p>
      <w:pPr>
        <w:spacing w:after="0" w:line="24" w:lineRule="exact"/>
        <w:rPr>
          <w:sz w:val="24"/>
          <w:szCs w:val="24"/>
          <w:color w:val="auto"/>
        </w:rPr>
      </w:pPr>
    </w:p>
    <w:p>
      <w:pPr>
        <w:ind w:left="90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Presto Automation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84-2968594</w:t>
            </w:r>
          </w:p>
        </w:tc>
      </w:tr>
      <w:tr>
        <w:trPr>
          <w:trHeight w:val="200"/>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2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985 Industrial Road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Carlos, CA 94070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(650) 817-9012</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Xavier Casanova</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985 Industrial Road</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Carlos, CA 94070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(650) 817-9012</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Colin Diamond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Laura Katherine Mann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White &amp; Case LLP</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1221 Avenue of the Americas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819-8200</w:t>
      </w:r>
    </w:p>
    <w:p>
      <w:pPr>
        <w:spacing w:after="0" w:line="205"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color w:val="auto"/>
        </w:rPr>
        <w:t>From time to time after this registration statement becomes effective.</w:t>
      </w:r>
    </w:p>
    <w:p>
      <w:pPr>
        <w:spacing w:after="0" w:line="1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90" w:lineRule="exact"/>
        <w:rPr>
          <w:sz w:val="24"/>
          <w:szCs w:val="24"/>
          <w:color w:val="auto"/>
        </w:rPr>
      </w:pPr>
    </w:p>
    <w:p>
      <w:pPr>
        <w:jc w:val="both"/>
        <w:ind w:right="20"/>
        <w:spacing w:after="0" w:line="236"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73" w:lineRule="exact"/>
        <w:rPr>
          <w:sz w:val="24"/>
          <w:szCs w:val="24"/>
          <w:color w:val="auto"/>
        </w:rPr>
      </w:pPr>
    </w:p>
    <w:p>
      <w:pPr>
        <w:jc w:val="both"/>
        <w:spacing w:after="0" w:line="236" w:lineRule="exact"/>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36" w:lineRule="exact"/>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36" w:lineRule="exact"/>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36" w:lineRule="exact"/>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8" w:right="339" w:bottom="0" w:gutter="0" w:footer="0" w:header="0"/>
        </w:sectPr>
      </w:pP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0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6"/>
          <w:szCs w:val="16"/>
          <w:color w:val="auto"/>
        </w:rPr>
        <w:t>☐</w:t>
      </w:r>
    </w:p>
    <w:p>
      <w:pPr>
        <w:spacing w:after="0" w:line="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6"/>
          <w:szCs w:val="16"/>
          <w:color w:val="auto"/>
        </w:rPr>
        <w:t>☒</w:t>
      </w:r>
    </w:p>
    <w:p>
      <w:pPr>
        <w:spacing w:after="0" w:line="3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6"/>
          <w:szCs w:val="16"/>
          <w:color w:val="auto"/>
        </w:rPr>
        <w:t>☒</w:t>
      </w:r>
    </w:p>
    <w:p>
      <w:pPr>
        <w:spacing w:after="0" w:line="203" w:lineRule="exact"/>
        <w:rPr>
          <w:sz w:val="24"/>
          <w:szCs w:val="24"/>
          <w:color w:val="auto"/>
        </w:rPr>
      </w:pPr>
    </w:p>
    <w:p>
      <w:pPr>
        <w:sectPr>
          <w:pgSz w:w="11900" w:h="16838" w:orient="portrait"/>
          <w:cols w:equalWidth="0" w:num="4">
            <w:col w:w="4140" w:space="720"/>
            <w:col w:w="180" w:space="160"/>
            <w:col w:w="5120" w:space="720"/>
            <w:col w:w="200"/>
          </w:cols>
          <w:pgMar w:left="320" w:top="228" w:right="339" w:bottom="0" w:gutter="0" w:footer="0" w:header="0"/>
          <w:type w:val="continuous"/>
        </w:sectPr>
      </w:pPr>
    </w:p>
    <w:p>
      <w:pPr>
        <w:spacing w:after="0" w:line="32"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169" w:lineRule="exact"/>
        <w:rPr>
          <w:sz w:val="24"/>
          <w:szCs w:val="24"/>
          <w:color w:val="auto"/>
        </w:rPr>
      </w:pPr>
    </w:p>
    <w:p>
      <w:pPr>
        <w:spacing w:after="0" w:line="341"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w:t>
      </w:r>
    </w:p>
    <w:p>
      <w:pPr>
        <w:sectPr>
          <w:pgSz w:w="11900" w:h="16838" w:orient="portrait"/>
          <w:cols w:equalWidth="0" w:num="1">
            <w:col w:w="11240"/>
          </w:cols>
          <w:pgMar w:left="320" w:top="228" w:right="339" w:bottom="0" w:gutter="0" w:footer="0" w:header="0"/>
          <w:type w:val="continuous"/>
        </w:sectPr>
      </w:pPr>
    </w:p>
    <w:bookmarkStart w:id="1" w:name="page2"/>
    <w:bookmarkEnd w:id="1"/>
    <w:p>
      <w:pPr>
        <w:spacing w:after="0" w:line="276" w:lineRule="auto"/>
        <w:rPr>
          <w:sz w:val="20"/>
          <w:szCs w:val="20"/>
          <w:color w:val="auto"/>
        </w:rPr>
      </w:pPr>
      <w:r>
        <w:rPr>
          <w:rFonts w:ascii="Arial" w:cs="Arial" w:eastAsia="Arial" w:hAnsi="Arial"/>
          <w:sz w:val="18"/>
          <w:szCs w:val="18"/>
          <w:b w:val="1"/>
          <w:bCs w:val="1"/>
          <w:color w:val="auto"/>
        </w:rPr>
        <w:t>Section 8(a) of the Securities Act of 1933 or until this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586105</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2" w:lineRule="auto"/>
        <w:rPr>
          <w:sz w:val="20"/>
          <w:szCs w:val="20"/>
          <w:color w:val="auto"/>
        </w:rPr>
      </w:pPr>
      <w:r>
        <w:rPr>
          <w:rFonts w:ascii="Arial" w:cs="Arial" w:eastAsia="Arial" w:hAnsi="Arial"/>
          <w:sz w:val="18"/>
          <w:szCs w:val="18"/>
          <w:b w:val="1"/>
          <w:bCs w:val="1"/>
          <w:color w:val="FF0000"/>
        </w:rPr>
        <w:t>The information in this prospectus is not complete and may be changed. Neither we nor the selling securityholders may sell these securities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OCTOBER 20, 2023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Primary Offering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16,823,660 Shares of Common Stock Issuable Upon Exercise of Outstanding Warrants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Secondary Offering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52,709,824 Shares of Common Stock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7,625,000 Warrants to Purchase Shares of Common Stock Offered by the Selling Securityholders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spacing w:after="0" w:line="180" w:lineRule="exact"/>
        <w:rPr>
          <w:sz w:val="20"/>
          <w:szCs w:val="20"/>
          <w:color w:val="auto"/>
        </w:rPr>
      </w:pPr>
    </w:p>
    <w:p>
      <w:pPr>
        <w:jc w:val="both"/>
        <w:ind w:left="980" w:hanging="651"/>
        <w:spacing w:after="0" w:line="26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85" w:lineRule="exact"/>
        <w:rPr>
          <w:rFonts w:ascii="Arial" w:cs="Arial" w:eastAsia="Arial" w:hAnsi="Arial"/>
          <w:sz w:val="18"/>
          <w:szCs w:val="18"/>
          <w:color w:val="auto"/>
        </w:rPr>
      </w:pPr>
    </w:p>
    <w:p>
      <w:pPr>
        <w:jc w:val="both"/>
        <w:ind w:left="980" w:hanging="651"/>
        <w:spacing w:after="0" w:line="268"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80" w:lineRule="exact"/>
        <w:rPr>
          <w:rFonts w:ascii="Arial" w:cs="Arial" w:eastAsia="Arial" w:hAnsi="Arial"/>
          <w:sz w:val="17"/>
          <w:szCs w:val="17"/>
          <w:color w:val="auto"/>
        </w:rPr>
      </w:pPr>
    </w:p>
    <w:p>
      <w:pPr>
        <w:ind w:left="980" w:hanging="651"/>
        <w:spacing w:after="0" w:line="272"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408940</wp:posOffset>
            </wp:positionV>
            <wp:extent cx="71335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 w:name="page4"/>
    <w:bookmarkEnd w:id="3"/>
    <w:p>
      <w:pPr>
        <w:jc w:val="both"/>
        <w:ind w:left="980" w:right="20" w:hanging="651"/>
        <w:spacing w:after="0" w:line="26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85" w:lineRule="exact"/>
        <w:rPr>
          <w:rFonts w:ascii="Arial" w:cs="Arial" w:eastAsia="Arial" w:hAnsi="Arial"/>
          <w:sz w:val="18"/>
          <w:szCs w:val="18"/>
          <w:color w:val="auto"/>
        </w:rPr>
      </w:pPr>
    </w:p>
    <w:p>
      <w:pPr>
        <w:jc w:val="both"/>
        <w:ind w:left="980" w:hanging="651"/>
        <w:spacing w:after="0" w:line="282"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68" w:lineRule="exact"/>
        <w:rPr>
          <w:rFonts w:ascii="Arial" w:cs="Arial" w:eastAsia="Arial" w:hAnsi="Arial"/>
          <w:sz w:val="17"/>
          <w:szCs w:val="17"/>
          <w:color w:val="auto"/>
        </w:rPr>
      </w:pPr>
    </w:p>
    <w:p>
      <w:pPr>
        <w:jc w:val="both"/>
        <w:ind w:left="980" w:hanging="651"/>
        <w:spacing w:after="0" w:line="27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p>
      <w:pPr>
        <w:spacing w:after="0" w:line="173" w:lineRule="exact"/>
        <w:rPr>
          <w:rFonts w:ascii="Arial" w:cs="Arial" w:eastAsia="Arial" w:hAnsi="Arial"/>
          <w:sz w:val="17"/>
          <w:szCs w:val="17"/>
          <w:color w:val="auto"/>
        </w:rPr>
      </w:pPr>
    </w:p>
    <w:p>
      <w:pPr>
        <w:jc w:val="both"/>
        <w:ind w:left="980" w:hanging="651"/>
        <w:spacing w:after="0" w:line="26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p>
      <w:pPr>
        <w:spacing w:after="0" w:line="185"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p>
      <w:pPr>
        <w:spacing w:after="0" w:line="185" w:lineRule="exact"/>
        <w:rPr>
          <w:rFonts w:ascii="Arial" w:cs="Arial" w:eastAsia="Arial" w:hAnsi="Arial"/>
          <w:sz w:val="18"/>
          <w:szCs w:val="18"/>
          <w:color w:val="auto"/>
        </w:rPr>
      </w:pPr>
    </w:p>
    <w:p>
      <w:pPr>
        <w:jc w:val="both"/>
        <w:ind w:left="980" w:hanging="651"/>
        <w:spacing w:after="0" w:line="271"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p>
      <w:pPr>
        <w:spacing w:after="0" w:line="177" w:lineRule="exact"/>
        <w:rPr>
          <w:rFonts w:ascii="Arial" w:cs="Arial" w:eastAsia="Arial" w:hAnsi="Arial"/>
          <w:sz w:val="17"/>
          <w:szCs w:val="17"/>
          <w:color w:val="auto"/>
        </w:rPr>
      </w:pPr>
    </w:p>
    <w:p>
      <w:pPr>
        <w:jc w:val="both"/>
        <w:ind w:left="980" w:hanging="651"/>
        <w:spacing w:after="0" w:line="27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w:t>
      </w:r>
    </w:p>
    <w:p>
      <w:pPr>
        <w:spacing w:after="0" w:line="17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418465</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17"/>
          <w:szCs w:val="17"/>
          <w:color w:val="auto"/>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spacing w:after="0" w:line="17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Arial" w:cs="Arial" w:eastAsia="Arial" w:hAnsi="Arial"/>
          <w:sz w:val="17"/>
          <w:szCs w:val="17"/>
          <w:i w:val="1"/>
          <w:iCs w:val="1"/>
          <w:color w:val="auto"/>
        </w:rPr>
        <w:t>Risk Factors—Risks Relating to Our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and Warrants</w:t>
      </w:r>
      <w:r>
        <w:rPr>
          <w:rFonts w:ascii="Arial" w:cs="Arial" w:eastAsia="Arial" w:hAnsi="Arial"/>
          <w:sz w:val="17"/>
          <w:szCs w:val="17"/>
          <w:color w:val="auto"/>
        </w:rPr>
        <w:t>” in our Annual Report on Form 10-K for the fiscal year ended June 30, 2023 for more information.</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Investing in our securities involves risks that are described in the “Risk Factors” section beginning on page 4 of this prospectus and similar sections contained in the documents incorporated by reference into this prospectus.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80" w:type="dxa"/>
            <w:vAlign w:val="bottom"/>
          </w:tcPr>
          <w:p>
            <w:pPr>
              <w:ind w:left="4040"/>
              <w:spacing w:after="0"/>
              <w:rPr>
                <w:sz w:val="20"/>
                <w:szCs w:val="20"/>
                <w:color w:val="auto"/>
              </w:rPr>
            </w:pPr>
            <w:r>
              <w:rPr>
                <w:rFonts w:ascii="Arial" w:cs="Arial" w:eastAsia="Arial" w:hAnsi="Arial"/>
                <w:sz w:val="18"/>
                <w:szCs w:val="18"/>
                <w:b w:val="1"/>
                <w:bCs w:val="1"/>
                <w:color w:val="auto"/>
                <w:w w:val="94"/>
              </w:rPr>
              <w:t>The date of this prospectus is</w:t>
            </w:r>
          </w:p>
        </w:tc>
        <w:tc>
          <w:tcPr>
            <w:tcW w:w="4760" w:type="dxa"/>
            <w:vAlign w:val="bottom"/>
          </w:tcPr>
          <w:p>
            <w:pPr>
              <w:jc w:val="right"/>
              <w:ind w:right="3951"/>
              <w:spacing w:after="0"/>
              <w:rPr>
                <w:sz w:val="20"/>
                <w:szCs w:val="20"/>
                <w:color w:val="auto"/>
              </w:rPr>
            </w:pPr>
            <w:r>
              <w:rPr>
                <w:rFonts w:ascii="Arial" w:cs="Arial" w:eastAsia="Arial" w:hAnsi="Arial"/>
                <w:sz w:val="18"/>
                <w:szCs w:val="18"/>
                <w:b w:val="1"/>
                <w:bCs w:val="1"/>
                <w:color w:val="auto"/>
              </w:rPr>
              <w:t>, 2023.</w:t>
            </w:r>
          </w:p>
        </w:tc>
      </w:tr>
      <w:tr>
        <w:trPr>
          <w:trHeight w:val="679"/>
        </w:trPr>
        <w:tc>
          <w:tcPr>
            <w:tcW w:w="64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100" w:type="dxa"/>
            <w:vAlign w:val="bottom"/>
            <w:gridSpan w:val="3"/>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ABOUT THIS PROSPECTUS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TRADEMARKS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CAUTIONARY STATEMENT REGARDING FORWARD-LOOKING STATEMENTS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SUMMARY OF PROSPECTUS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RISK FACTORS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USE OF PROCEEDS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DESCRIPTION OF COMMON STOCK AND PREFERRED STOCK</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DESCRIPTION OF DEBT SECURITIES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DESCRIPTION OF WARRANTS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DESCRIPTION OF RIGHTS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DESCRIPTION OF UNITS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GLOBAL SECURITIES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SELLING SECURITYHOLDERS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PLAN OF DISTRIBUTION</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LEGAL MATTERS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EXPERTS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WHERE YOU CAN FIND MORE INFORMATION</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INDEMNIFICATION FOR SECURITIES ACT LIABILITIES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TRADEMARKS</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448310</wp:posOffset>
            </wp:positionV>
            <wp:extent cx="7193915" cy="4754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3915" cy="4754245"/>
                    </a:xfrm>
                    <a:prstGeom prst="rect">
                      <a:avLst/>
                    </a:prstGeom>
                    <a:noFill/>
                  </pic:spPr>
                </pic:pic>
              </a:graphicData>
            </a:graphic>
          </wp:anchor>
        </w:drawing>
        <w:t>SUMMARY OF THE PROSPECTUS</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w:t>
      </w:r>
      <w:r>
        <w:rPr>
          <w:rFonts w:ascii="Arial" w:cs="Arial" w:eastAsia="Arial" w:hAnsi="Arial"/>
          <w:sz w:val="16"/>
          <w:szCs w:val="16"/>
          <w:color w:val="auto"/>
          <w:highlight w:val="white"/>
        </w:rPr>
        <w:t>See the section titled “Where You Can Find More Information.”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pacing w:after="0" w:line="40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13970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000"/>
          </w:cols>
          <w:pgMar w:left="540" w:top="1100"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6" w:lineRule="exact"/>
        <w:rPr>
          <w:sz w:val="20"/>
          <w:szCs w:val="20"/>
          <w:color w:val="auto"/>
        </w:rPr>
      </w:pPr>
    </w:p>
    <w:p>
      <w:pPr>
        <w:jc w:val="both"/>
        <w:spacing w:after="0" w:line="336" w:lineRule="auto"/>
        <w:rPr>
          <w:sz w:val="20"/>
          <w:szCs w:val="20"/>
          <w:color w:val="auto"/>
        </w:rPr>
      </w:pPr>
      <w:r>
        <w:rPr>
          <w:rFonts w:ascii="Arial" w:cs="Arial" w:eastAsia="Arial" w:hAnsi="Arial"/>
          <w:sz w:val="16"/>
          <w:szCs w:val="16"/>
          <w:color w:val="auto"/>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DESCRIPTION OF COMMON STOCK AND PREFERRED STOCK</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69" w:lineRule="exact"/>
        <w:rPr>
          <w:sz w:val="20"/>
          <w:szCs w:val="20"/>
          <w:color w:val="auto"/>
        </w:rPr>
      </w:pPr>
    </w:p>
    <w:p>
      <w:pPr>
        <w:ind w:left="980" w:hanging="651"/>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1" w:lineRule="exact"/>
        <w:rPr>
          <w:rFonts w:ascii="Arial" w:cs="Arial" w:eastAsia="Arial" w:hAnsi="Arial"/>
          <w:sz w:val="18"/>
          <w:szCs w:val="18"/>
          <w:color w:val="auto"/>
        </w:rPr>
      </w:pPr>
    </w:p>
    <w:p>
      <w:pPr>
        <w:jc w:val="both"/>
        <w:ind w:left="980" w:hanging="651"/>
        <w:spacing w:after="0" w:line="25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89"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85" w:lineRule="exact"/>
        <w:rPr>
          <w:rFonts w:ascii="Arial" w:cs="Arial" w:eastAsia="Arial" w:hAnsi="Arial"/>
          <w:sz w:val="18"/>
          <w:szCs w:val="18"/>
          <w:color w:val="auto"/>
        </w:rPr>
      </w:pPr>
    </w:p>
    <w:p>
      <w:pPr>
        <w:ind w:left="980" w:hanging="651"/>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244" w:lineRule="exact"/>
        <w:rPr>
          <w:rFonts w:ascii="Arial" w:cs="Arial" w:eastAsia="Arial" w:hAnsi="Arial"/>
          <w:sz w:val="16"/>
          <w:szCs w:val="16"/>
          <w:color w:val="auto"/>
        </w:rPr>
      </w:pPr>
    </w:p>
    <w:p>
      <w:pPr>
        <w:jc w:val="both"/>
        <w:ind w:left="980" w:hanging="651"/>
        <w:spacing w:after="0" w:line="26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 w:name="page14"/>
    <w:bookmarkEnd w:id="13"/>
    <w:p>
      <w:pPr>
        <w:ind w:left="980" w:hanging="651"/>
        <w:spacing w:after="0" w:line="27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233" w:lineRule="exact"/>
        <w:rPr>
          <w:rFonts w:ascii="Arial" w:cs="Arial" w:eastAsia="Arial" w:hAnsi="Arial"/>
          <w:sz w:val="17"/>
          <w:szCs w:val="17"/>
          <w:color w:val="auto"/>
        </w:rPr>
      </w:pPr>
    </w:p>
    <w:p>
      <w:pPr>
        <w:ind w:left="980" w:hanging="651"/>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21" w:lineRule="exact"/>
        <w:rPr>
          <w:rFonts w:ascii="Arial" w:cs="Arial" w:eastAsia="Arial" w:hAnsi="Arial"/>
          <w:sz w:val="18"/>
          <w:szCs w:val="18"/>
          <w:color w:val="auto"/>
        </w:rPr>
      </w:pPr>
    </w:p>
    <w:p>
      <w:pPr>
        <w:ind w:left="980" w:right="20" w:hanging="651"/>
        <w:spacing w:after="0" w:line="27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74"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74"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74"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85"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85" w:lineRule="exact"/>
        <w:rPr>
          <w:rFonts w:ascii="Arial" w:cs="Arial" w:eastAsia="Arial" w:hAnsi="Arial"/>
          <w:sz w:val="18"/>
          <w:szCs w:val="18"/>
          <w:color w:val="auto"/>
        </w:rPr>
      </w:pPr>
    </w:p>
    <w:p>
      <w:pPr>
        <w:ind w:left="980" w:hanging="651"/>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1" w:lineRule="exact"/>
        <w:rPr>
          <w:rFonts w:ascii="Arial" w:cs="Arial" w:eastAsia="Arial" w:hAnsi="Arial"/>
          <w:sz w:val="18"/>
          <w:szCs w:val="18"/>
          <w:color w:val="auto"/>
        </w:rPr>
      </w:pPr>
    </w:p>
    <w:p>
      <w:pPr>
        <w:ind w:left="980" w:hanging="651"/>
        <w:spacing w:after="0" w:line="336"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28" w:lineRule="exact"/>
        <w:rPr>
          <w:rFonts w:ascii="Arial" w:cs="Arial" w:eastAsia="Arial" w:hAnsi="Arial"/>
          <w:sz w:val="16"/>
          <w:szCs w:val="16"/>
          <w:color w:val="auto"/>
        </w:rPr>
      </w:pPr>
    </w:p>
    <w:p>
      <w:pPr>
        <w:ind w:left="980" w:hanging="651"/>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244" w:lineRule="exact"/>
        <w:rPr>
          <w:rFonts w:ascii="Arial" w:cs="Arial" w:eastAsia="Arial" w:hAnsi="Arial"/>
          <w:sz w:val="16"/>
          <w:szCs w:val="16"/>
          <w:color w:val="auto"/>
        </w:rPr>
      </w:pPr>
    </w:p>
    <w:p>
      <w:pPr>
        <w:ind w:left="980" w:hanging="651"/>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233" w:lineRule="exact"/>
        <w:rPr>
          <w:rFonts w:ascii="Arial" w:cs="Arial" w:eastAsia="Arial" w:hAnsi="Arial"/>
          <w:sz w:val="17"/>
          <w:szCs w:val="17"/>
          <w:color w:val="auto"/>
        </w:rPr>
      </w:pPr>
    </w:p>
    <w:p>
      <w:pPr>
        <w:jc w:val="both"/>
        <w:ind w:left="980" w:hanging="651"/>
        <w:spacing w:after="0" w:line="26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85"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85" w:lineRule="exact"/>
        <w:rPr>
          <w:rFonts w:ascii="Arial" w:cs="Arial" w:eastAsia="Arial" w:hAnsi="Arial"/>
          <w:sz w:val="18"/>
          <w:szCs w:val="18"/>
          <w:color w:val="auto"/>
        </w:rPr>
      </w:pPr>
    </w:p>
    <w:p>
      <w:pPr>
        <w:ind w:left="980" w:right="20" w:hanging="651"/>
        <w:spacing w:after="0" w:line="27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Form, Transfer and Exchange</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Certificated Debt Securities</w:t>
      </w:r>
      <w:r>
        <w:rPr>
          <w:rFonts w:ascii="Arial" w:cs="Arial" w:eastAsia="Arial" w:hAnsi="Arial"/>
          <w:sz w:val="17"/>
          <w:szCs w:val="17"/>
          <w:color w:val="auto"/>
        </w:rPr>
        <w:t>. You may transfer or exchange certificated debt securities at any office we maintain for this purpose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74" w:lineRule="exact"/>
        <w:rPr>
          <w:sz w:val="20"/>
          <w:szCs w:val="20"/>
          <w:color w:val="auto"/>
        </w:rPr>
      </w:pPr>
    </w:p>
    <w:p>
      <w:pPr>
        <w:ind w:left="980" w:hanging="651"/>
        <w:spacing w:after="0" w:line="302"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Presto) is a corporation, organized and validly existing under the laws of any U.S. domestic jurisdiction and expressly assumes our obligations on the debt securities and under the indenture; and</w:t>
      </w:r>
    </w:p>
    <w:p>
      <w:pPr>
        <w:spacing w:after="0" w:line="151" w:lineRule="exact"/>
        <w:rPr>
          <w:rFonts w:ascii="Arial" w:cs="Arial" w:eastAsia="Arial" w:hAnsi="Arial"/>
          <w:sz w:val="17"/>
          <w:szCs w:val="17"/>
          <w:color w:val="auto"/>
        </w:rPr>
      </w:pPr>
    </w:p>
    <w:p>
      <w:pPr>
        <w:ind w:right="320" w:firstLine="329"/>
        <w:spacing w:after="0" w:line="524" w:lineRule="auto"/>
        <w:tabs>
          <w:tab w:leader="none" w:pos="965" w:val="left"/>
        </w:tabs>
        <w:numPr>
          <w:ilvl w:val="0"/>
          <w:numId w:val="5"/>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Default (as defined below) or Event of Default shall have occurred and be continuing. Notwithstanding the above, any of our subsidiaries may consolidate with, merge into or transfer all or part of its properties to us.</w:t>
      </w:r>
    </w:p>
    <w:p>
      <w:pPr>
        <w:spacing w:after="0"/>
        <w:rPr>
          <w:sz w:val="20"/>
          <w:szCs w:val="20"/>
          <w:color w:val="auto"/>
        </w:rPr>
      </w:pPr>
      <w:r>
        <w:rPr>
          <w:rFonts w:ascii="Arial" w:cs="Arial" w:eastAsia="Arial" w:hAnsi="Arial"/>
          <w:sz w:val="18"/>
          <w:szCs w:val="18"/>
          <w:b w:val="1"/>
          <w:bCs w:val="1"/>
          <w:color w:val="auto"/>
        </w:rPr>
        <w:t>Events of Default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2" w:lineRule="exact"/>
        <w:rPr>
          <w:sz w:val="20"/>
          <w:szCs w:val="20"/>
          <w:color w:val="auto"/>
        </w:rPr>
      </w:pPr>
    </w:p>
    <w:p>
      <w:pPr>
        <w:jc w:val="both"/>
        <w:ind w:left="980" w:hanging="651"/>
        <w:spacing w:after="0" w:line="26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85" w:lineRule="exact"/>
        <w:rPr>
          <w:rFonts w:ascii="Arial" w:cs="Arial" w:eastAsia="Arial" w:hAnsi="Arial"/>
          <w:sz w:val="18"/>
          <w:szCs w:val="18"/>
          <w:color w:val="auto"/>
        </w:rPr>
      </w:pPr>
    </w:p>
    <w:p>
      <w:pPr>
        <w:ind w:left="980" w:hanging="65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221" w:lineRule="exact"/>
        <w:rPr>
          <w:rFonts w:ascii="Arial" w:cs="Arial" w:eastAsia="Arial" w:hAnsi="Arial"/>
          <w:sz w:val="18"/>
          <w:szCs w:val="18"/>
          <w:color w:val="auto"/>
        </w:rPr>
      </w:pPr>
    </w:p>
    <w:p>
      <w:pPr>
        <w:jc w:val="both"/>
        <w:ind w:left="980" w:hanging="651"/>
        <w:spacing w:after="0" w:line="27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p>
      <w:pPr>
        <w:spacing w:after="0" w:line="173" w:lineRule="exact"/>
        <w:rPr>
          <w:rFonts w:ascii="Arial" w:cs="Arial" w:eastAsia="Arial" w:hAnsi="Arial"/>
          <w:sz w:val="17"/>
          <w:szCs w:val="17"/>
          <w:color w:val="auto"/>
        </w:rPr>
      </w:pPr>
    </w:p>
    <w:p>
      <w:pPr>
        <w:ind w:left="980" w:hanging="651"/>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Presto;</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 w:name="page17"/>
    <w:bookmarkEnd w:id="16"/>
    <w:p>
      <w:pPr>
        <w:jc w:val="both"/>
        <w:spacing w:after="0" w:line="284"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74" w:lineRule="exact"/>
        <w:rPr>
          <w:sz w:val="20"/>
          <w:szCs w:val="20"/>
          <w:color w:val="auto"/>
        </w:rPr>
      </w:pPr>
    </w:p>
    <w:p>
      <w:pPr>
        <w:ind w:left="980" w:hanging="651"/>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244" w:lineRule="exact"/>
        <w:rPr>
          <w:rFonts w:ascii="Arial" w:cs="Arial" w:eastAsia="Arial" w:hAnsi="Arial"/>
          <w:sz w:val="16"/>
          <w:szCs w:val="16"/>
          <w:color w:val="auto"/>
        </w:rPr>
      </w:pPr>
    </w:p>
    <w:p>
      <w:pPr>
        <w:jc w:val="both"/>
        <w:ind w:left="980" w:hanging="651"/>
        <w:spacing w:after="0" w:line="25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174" w:lineRule="exact"/>
        <w:rPr>
          <w:sz w:val="20"/>
          <w:szCs w:val="20"/>
          <w:color w:val="auto"/>
        </w:rPr>
      </w:pPr>
    </w:p>
    <w:p>
      <w:pPr>
        <w:ind w:left="980" w:hanging="651"/>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 w:name="page18"/>
    <w:bookmarkEnd w:id="17"/>
    <w:p>
      <w:pPr>
        <w:ind w:left="980" w:hanging="65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44" w:lineRule="exact"/>
        <w:rPr>
          <w:rFonts w:ascii="Arial" w:cs="Arial" w:eastAsia="Arial" w:hAnsi="Arial"/>
          <w:sz w:val="16"/>
          <w:szCs w:val="16"/>
          <w:color w:val="auto"/>
        </w:rPr>
      </w:pPr>
    </w:p>
    <w:p>
      <w:pPr>
        <w:ind w:left="980" w:hanging="651"/>
        <w:spacing w:after="0" w:line="27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74" w:lineRule="exact"/>
        <w:rPr>
          <w:rFonts w:ascii="Arial" w:cs="Arial" w:eastAsia="Arial" w:hAnsi="Arial"/>
          <w:sz w:val="18"/>
          <w:szCs w:val="18"/>
          <w:color w:val="auto"/>
        </w:rPr>
      </w:pPr>
    </w:p>
    <w:p>
      <w:pPr>
        <w:ind w:left="980" w:right="20" w:hanging="651"/>
        <w:spacing w:after="0" w:line="27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of 1939, as amended.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169" w:lineRule="exact"/>
        <w:rPr>
          <w:sz w:val="20"/>
          <w:szCs w:val="20"/>
          <w:color w:val="auto"/>
        </w:rPr>
      </w:pPr>
    </w:p>
    <w:p>
      <w:pPr>
        <w:ind w:left="980" w:hanging="651"/>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48" w:lineRule="exact"/>
        <w:rPr>
          <w:rFonts w:ascii="Arial" w:cs="Arial" w:eastAsia="Arial" w:hAnsi="Arial"/>
          <w:sz w:val="18"/>
          <w:szCs w:val="18"/>
          <w:color w:val="auto"/>
        </w:rPr>
      </w:pPr>
    </w:p>
    <w:p>
      <w:pPr>
        <w:ind w:left="980" w:hanging="651"/>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48"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201" w:lineRule="exact"/>
        <w:rPr>
          <w:rFonts w:ascii="Arial" w:cs="Arial" w:eastAsia="Arial" w:hAnsi="Arial"/>
          <w:sz w:val="18"/>
          <w:szCs w:val="18"/>
          <w:color w:val="auto"/>
        </w:rPr>
      </w:pPr>
    </w:p>
    <w:p>
      <w:pPr>
        <w:ind w:left="980" w:hanging="651"/>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48"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p>
      <w:pPr>
        <w:spacing w:after="0" w:line="212" w:lineRule="exact"/>
        <w:rPr>
          <w:rFonts w:ascii="Arial" w:cs="Arial" w:eastAsia="Arial" w:hAnsi="Arial"/>
          <w:sz w:val="18"/>
          <w:szCs w:val="18"/>
          <w:color w:val="auto"/>
        </w:rPr>
      </w:pPr>
    </w:p>
    <w:p>
      <w:pPr>
        <w:ind w:left="980" w:hanging="651"/>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248"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12" w:lineRule="exact"/>
        <w:rPr>
          <w:rFonts w:ascii="Arial" w:cs="Arial" w:eastAsia="Arial" w:hAnsi="Arial"/>
          <w:sz w:val="18"/>
          <w:szCs w:val="18"/>
          <w:color w:val="auto"/>
        </w:rPr>
      </w:pPr>
    </w:p>
    <w:p>
      <w:pPr>
        <w:ind w:left="980" w:hanging="651"/>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Legal Defeasance</w:t>
      </w:r>
      <w:r>
        <w:rPr>
          <w:rFonts w:ascii="Arial" w:cs="Arial" w:eastAsia="Arial" w:hAnsi="Arial"/>
          <w:sz w:val="16"/>
          <w:szCs w:val="16"/>
          <w:color w:val="auto"/>
        </w:rPr>
        <w:t>. The indenture will provide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will provide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74" w:lineRule="exact"/>
        <w:rPr>
          <w:sz w:val="20"/>
          <w:szCs w:val="20"/>
          <w:color w:val="auto"/>
        </w:rPr>
      </w:pPr>
    </w:p>
    <w:p>
      <w:pPr>
        <w:ind w:left="980" w:hanging="651"/>
        <w:spacing w:after="0" w:line="336"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28" w:lineRule="exact"/>
        <w:rPr>
          <w:rFonts w:ascii="Arial" w:cs="Arial" w:eastAsia="Arial" w:hAnsi="Arial"/>
          <w:sz w:val="16"/>
          <w:szCs w:val="16"/>
          <w:color w:val="auto"/>
        </w:rPr>
      </w:pPr>
    </w:p>
    <w:p>
      <w:pPr>
        <w:ind w:left="980" w:hanging="651"/>
        <w:spacing w:after="0" w:line="27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include:</w:t>
      </w:r>
    </w:p>
    <w:p>
      <w:pPr>
        <w:spacing w:after="0" w:line="222" w:lineRule="exact"/>
        <w:rPr>
          <w:sz w:val="20"/>
          <w:szCs w:val="20"/>
          <w:color w:val="auto"/>
        </w:rPr>
      </w:pPr>
    </w:p>
    <w:p>
      <w:pPr>
        <w:jc w:val="both"/>
        <w:ind w:left="980" w:hanging="651"/>
        <w:spacing w:after="0" w:line="25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92" w:lineRule="exact"/>
        <w:rPr>
          <w:rFonts w:ascii="Arial" w:cs="Arial" w:eastAsia="Arial" w:hAnsi="Arial"/>
          <w:sz w:val="18"/>
          <w:szCs w:val="18"/>
          <w:color w:val="auto"/>
        </w:rPr>
      </w:pPr>
    </w:p>
    <w:p>
      <w:pPr>
        <w:jc w:val="both"/>
        <w:ind w:left="980" w:hanging="651"/>
        <w:spacing w:after="0" w:line="25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applicable prospectus supplement will describe the terms of any series of warrants in respect of which this prospectus is being delivered, including the following:</w:t>
      </w:r>
    </w:p>
    <w:p>
      <w:pPr>
        <w:spacing w:after="0" w:line="174" w:lineRule="exact"/>
        <w:rPr>
          <w:sz w:val="20"/>
          <w:szCs w:val="20"/>
          <w:color w:val="auto"/>
        </w:rPr>
      </w:pPr>
    </w:p>
    <w:p>
      <w:pPr>
        <w:ind w:left="980" w:hanging="65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or currencies in which the price of the warrants may be payable;</w:t>
      </w:r>
    </w:p>
    <w:p>
      <w:pPr>
        <w:spacing w:after="0" w:line="221" w:lineRule="exact"/>
        <w:rPr>
          <w:rFonts w:ascii="Arial" w:cs="Arial" w:eastAsia="Arial" w:hAnsi="Arial"/>
          <w:sz w:val="18"/>
          <w:szCs w:val="18"/>
          <w:color w:val="auto"/>
        </w:rPr>
      </w:pPr>
    </w:p>
    <w:p>
      <w:pPr>
        <w:ind w:left="980" w:right="20" w:hanging="651"/>
        <w:spacing w:after="0" w:line="27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designation and terms of the underlying warrant securities purchasable upon exercise of the warrants and the number of such underlying warrant securities issuable upon exercise of the warrants;</w:t>
      </w:r>
    </w:p>
    <w:p>
      <w:pPr>
        <w:spacing w:after="0" w:line="174"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including composite currencies, in which the underlying warrant securities purchasable upon exercise of the warrants may be purchased;</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commence and the date on which that right will expire (subject to any extension);</w:t>
      </w:r>
    </w:p>
    <w:p>
      <w:pPr>
        <w:spacing w:after="0" w:line="233" w:lineRule="exact"/>
        <w:rPr>
          <w:rFonts w:ascii="Arial" w:cs="Arial" w:eastAsia="Arial" w:hAnsi="Arial"/>
          <w:sz w:val="17"/>
          <w:szCs w:val="17"/>
          <w:color w:val="auto"/>
        </w:rPr>
      </w:pPr>
    </w:p>
    <w:p>
      <w:pPr>
        <w:ind w:left="980" w:hanging="65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warrants will be issued in registered form or bearer form;</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which may be exercised at any one time;</w:t>
      </w:r>
    </w:p>
    <w:p>
      <w:pPr>
        <w:spacing w:after="0" w:line="221"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designation and terms of the underlying warrant securities with which the warrants are issued and the number of the warrants issued with each underlying warrant security;</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underlying warrant securities will be separately transferable;</w:t>
      </w:r>
    </w:p>
    <w:p>
      <w:pPr>
        <w:spacing w:after="0" w:line="233" w:lineRule="exact"/>
        <w:rPr>
          <w:rFonts w:ascii="Arial" w:cs="Arial" w:eastAsia="Arial" w:hAnsi="Arial"/>
          <w:sz w:val="17"/>
          <w:szCs w:val="17"/>
          <w:color w:val="auto"/>
        </w:rPr>
      </w:pPr>
    </w:p>
    <w:p>
      <w:pPr>
        <w:ind w:left="980" w:hanging="65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1"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a discussion of the material United States federal income tax considerations applicable to the issuance or exercise of the warrants; and</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Warrant Agreement</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85"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The particular terms of each issue of rights, the rights agreement relating to the rights and the rights certificates representing rights will be described in the applicable prospectus supplement, including, as applicable:</w:t>
      </w:r>
    </w:p>
    <w:p>
      <w:pPr>
        <w:spacing w:after="0" w:line="174" w:lineRule="exact"/>
        <w:rPr>
          <w:sz w:val="20"/>
          <w:szCs w:val="20"/>
          <w:color w:val="auto"/>
        </w:rPr>
      </w:pPr>
    </w:p>
    <w:p>
      <w:pPr>
        <w:ind w:left="980" w:hanging="651"/>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rights;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rights;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on and after which the rights will be separately transferable;</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 and</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other terms of the rights, including terms, procedures and limitations relating to the distribution, exchange and exercise of the rights.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 the following:</w:t>
      </w:r>
    </w:p>
    <w:p>
      <w:pPr>
        <w:spacing w:after="0" w:line="222" w:lineRule="exact"/>
        <w:rPr>
          <w:sz w:val="20"/>
          <w:szCs w:val="20"/>
          <w:color w:val="auto"/>
        </w:rPr>
      </w:pPr>
    </w:p>
    <w:p>
      <w:pPr>
        <w:ind w:left="980" w:hanging="651"/>
        <w:spacing w:after="0" w:line="27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GLOBAL SECURITIES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DTC has advised us that it is:</w:t>
      </w:r>
    </w:p>
    <w:p>
      <w:pPr>
        <w:spacing w:after="0" w:line="222" w:lineRule="exact"/>
        <w:rPr>
          <w:sz w:val="20"/>
          <w:szCs w:val="20"/>
          <w:color w:val="auto"/>
        </w:rPr>
      </w:pPr>
    </w:p>
    <w:p>
      <w:pPr>
        <w:ind w:left="980" w:hanging="651"/>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21" w:lineRule="exact"/>
        <w:rPr>
          <w:rFonts w:ascii="Arial" w:cs="Arial" w:eastAsia="Arial" w:hAnsi="Arial"/>
          <w:sz w:val="18"/>
          <w:szCs w:val="18"/>
          <w:color w:val="auto"/>
        </w:rPr>
      </w:pPr>
    </w:p>
    <w:p>
      <w:pPr>
        <w:ind w:left="980" w:right="20" w:hanging="651"/>
        <w:spacing w:after="0" w:line="27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Securities Exchange Act of 1934, as amended, or Exchange Act.</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9" w:lineRule="exact"/>
        <w:rPr>
          <w:sz w:val="20"/>
          <w:szCs w:val="20"/>
          <w:color w:val="auto"/>
        </w:rPr>
      </w:pPr>
    </w:p>
    <w:p>
      <w:pPr>
        <w:jc w:val="both"/>
        <w:ind w:right="20"/>
        <w:spacing w:after="0" w:line="336"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 w:name="page24"/>
    <w:bookmarkEnd w:id="23"/>
    <w:p>
      <w:pPr>
        <w:jc w:val="both"/>
        <w:spacing w:after="0" w:line="272"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4"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74" w:lineRule="exact"/>
        <w:rPr>
          <w:sz w:val="20"/>
          <w:szCs w:val="20"/>
          <w:color w:val="auto"/>
        </w:rPr>
      </w:pPr>
    </w:p>
    <w:p>
      <w:pPr>
        <w:jc w:val="both"/>
        <w:ind w:left="980" w:hanging="651"/>
        <w:spacing w:after="0" w:line="25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89" w:lineRule="exact"/>
        <w:rPr>
          <w:rFonts w:ascii="Arial" w:cs="Arial" w:eastAsia="Arial" w:hAnsi="Arial"/>
          <w:sz w:val="18"/>
          <w:szCs w:val="18"/>
          <w:color w:val="auto"/>
        </w:rPr>
      </w:pPr>
    </w:p>
    <w:p>
      <w:pPr>
        <w:ind w:left="980" w:hanging="65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1" w:lineRule="exact"/>
        <w:rPr>
          <w:rFonts w:ascii="Arial" w:cs="Arial" w:eastAsia="Arial" w:hAnsi="Arial"/>
          <w:sz w:val="18"/>
          <w:szCs w:val="18"/>
          <w:color w:val="auto"/>
        </w:rPr>
      </w:pPr>
    </w:p>
    <w:p>
      <w:pPr>
        <w:jc w:val="both"/>
        <w:ind w:left="980" w:hanging="651"/>
        <w:spacing w:after="0" w:line="298"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5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spacing w:after="0" w:line="192" w:lineRule="exact"/>
        <w:rPr>
          <w:sz w:val="20"/>
          <w:szCs w:val="20"/>
          <w:color w:val="auto"/>
        </w:rPr>
      </w:pPr>
    </w:p>
    <w:p>
      <w:pPr>
        <w:ind w:left="980" w:hanging="651"/>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4,312,500 Founder Shares;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7,143,687 Business Combination PIPE Shares;</w:t>
      </w:r>
    </w:p>
    <w:p>
      <w:pPr>
        <w:spacing w:after="0" w:line="221"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74" w:lineRule="exact"/>
        <w:rPr>
          <w:rFonts w:ascii="Arial" w:cs="Arial" w:eastAsia="Arial" w:hAnsi="Arial"/>
          <w:sz w:val="18"/>
          <w:szCs w:val="18"/>
          <w:color w:val="auto"/>
        </w:rPr>
      </w:pPr>
    </w:p>
    <w:p>
      <w:pPr>
        <w:jc w:val="both"/>
        <w:ind w:left="980" w:right="20" w:hanging="651"/>
        <w:spacing w:after="0" w:line="26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85" w:lineRule="exact"/>
        <w:rPr>
          <w:rFonts w:ascii="Arial" w:cs="Arial" w:eastAsia="Arial" w:hAnsi="Arial"/>
          <w:sz w:val="18"/>
          <w:szCs w:val="18"/>
          <w:color w:val="auto"/>
        </w:rPr>
      </w:pPr>
    </w:p>
    <w:p>
      <w:pPr>
        <w:jc w:val="both"/>
        <w:ind w:left="980" w:hanging="651"/>
        <w:spacing w:after="0" w:line="282"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68" w:lineRule="exact"/>
        <w:rPr>
          <w:rFonts w:ascii="Arial" w:cs="Arial" w:eastAsia="Arial" w:hAnsi="Arial"/>
          <w:sz w:val="17"/>
          <w:szCs w:val="17"/>
          <w:color w:val="auto"/>
        </w:rPr>
      </w:pPr>
    </w:p>
    <w:p>
      <w:pPr>
        <w:jc w:val="both"/>
        <w:ind w:left="980" w:hanging="651"/>
        <w:spacing w:after="0" w:line="25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p>
      <w:pPr>
        <w:spacing w:after="0" w:line="189" w:lineRule="exact"/>
        <w:rPr>
          <w:rFonts w:ascii="Arial" w:cs="Arial" w:eastAsia="Arial" w:hAnsi="Arial"/>
          <w:sz w:val="18"/>
          <w:szCs w:val="18"/>
          <w:color w:val="auto"/>
        </w:rPr>
      </w:pPr>
    </w:p>
    <w:p>
      <w:pPr>
        <w:ind w:left="980" w:hanging="651"/>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4,760,500 June 2023 PIPE Shares;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1,500,000 October 2023 PIPE Shares; and</w:t>
      </w:r>
    </w:p>
    <w:p>
      <w:pPr>
        <w:spacing w:after="0" w:line="221" w:lineRule="exact"/>
        <w:rPr>
          <w:rFonts w:ascii="Arial" w:cs="Arial" w:eastAsia="Arial" w:hAnsi="Arial"/>
          <w:sz w:val="18"/>
          <w:szCs w:val="18"/>
          <w:color w:val="auto"/>
        </w:rPr>
      </w:pPr>
    </w:p>
    <w:p>
      <w:pPr>
        <w:ind w:left="980" w:hanging="651"/>
        <w:spacing w:after="0" w:line="302"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5,925,000 shares of Common Stock issuable upon the exercise of warrants to purchase shares of our Common Stock by Metropolitan and the Metropolitan Entities (all warrants listed below are referred to herein as the “penny warrants”), which consist of:</w:t>
      </w:r>
    </w:p>
    <w:p>
      <w:pPr>
        <w:spacing w:after="0" w:line="151" w:lineRule="exact"/>
        <w:rPr>
          <w:rFonts w:ascii="Arial" w:cs="Arial" w:eastAsia="Arial" w:hAnsi="Arial"/>
          <w:sz w:val="17"/>
          <w:szCs w:val="17"/>
          <w:color w:val="auto"/>
        </w:rPr>
      </w:pPr>
    </w:p>
    <w:p>
      <w:pPr>
        <w:ind w:left="1620" w:hanging="648"/>
        <w:spacing w:after="0" w:line="302"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400,000 shares of Common Stock issuable upon the exercise of warrants to purchase shares of our Common Stock, at an exercise price of $0.01 per share, subject to adjustment (the “May 2023 Resale Warrants”), held by the Selling Securityholders;</w:t>
      </w:r>
    </w:p>
    <w:p>
      <w:pPr>
        <w:spacing w:after="0" w:line="151" w:lineRule="exact"/>
        <w:rPr>
          <w:rFonts w:ascii="Arial" w:cs="Arial" w:eastAsia="Arial" w:hAnsi="Arial"/>
          <w:sz w:val="17"/>
          <w:szCs w:val="17"/>
          <w:color w:val="auto"/>
        </w:rPr>
      </w:pPr>
    </w:p>
    <w:p>
      <w:pPr>
        <w:jc w:val="both"/>
        <w:ind w:left="1620" w:hanging="648"/>
        <w:spacing w:after="0" w:line="260"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p>
      <w:pPr>
        <w:spacing w:after="0" w:line="185" w:lineRule="exact"/>
        <w:rPr>
          <w:rFonts w:ascii="Arial" w:cs="Arial" w:eastAsia="Arial" w:hAnsi="Arial"/>
          <w:sz w:val="18"/>
          <w:szCs w:val="18"/>
          <w:color w:val="auto"/>
        </w:rPr>
      </w:pPr>
    </w:p>
    <w:p>
      <w:pPr>
        <w:jc w:val="both"/>
        <w:ind w:left="1620" w:hanging="648"/>
        <w:spacing w:after="0" w:line="260"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p>
      <w:pPr>
        <w:spacing w:after="0" w:line="185" w:lineRule="exact"/>
        <w:rPr>
          <w:rFonts w:ascii="Arial" w:cs="Arial" w:eastAsia="Arial" w:hAnsi="Arial"/>
          <w:sz w:val="18"/>
          <w:szCs w:val="18"/>
          <w:color w:val="auto"/>
        </w:rPr>
      </w:pPr>
    </w:p>
    <w:p>
      <w:pPr>
        <w:jc w:val="both"/>
        <w:ind w:left="1620" w:hanging="648"/>
        <w:spacing w:after="0" w:line="260"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p>
      <w:pPr>
        <w:spacing w:after="0" w:line="185" w:lineRule="exact"/>
        <w:rPr>
          <w:rFonts w:ascii="Arial" w:cs="Arial" w:eastAsia="Arial" w:hAnsi="Arial"/>
          <w:sz w:val="18"/>
          <w:szCs w:val="18"/>
          <w:color w:val="auto"/>
        </w:rPr>
      </w:pPr>
    </w:p>
    <w:p>
      <w:pPr>
        <w:jc w:val="both"/>
        <w:ind w:left="1620" w:hanging="648"/>
        <w:spacing w:after="0" w:line="260"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 w:name="page26"/>
    <w:bookmarkEnd w:id="25"/>
    <w:p>
      <w:pPr>
        <w:jc w:val="both"/>
        <w:spacing w:after="0" w:line="287" w:lineRule="auto"/>
        <w:rPr>
          <w:sz w:val="20"/>
          <w:szCs w:val="20"/>
          <w:color w:val="auto"/>
        </w:rPr>
      </w:pPr>
      <w:r>
        <w:rPr>
          <w:rFonts w:ascii="Arial" w:cs="Arial" w:eastAsia="Arial" w:hAnsi="Arial"/>
          <w:sz w:val="16"/>
          <w:szCs w:val="16"/>
          <w:color w:val="auto"/>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6" w:name="page27"/>
    <w:bookmarkEnd w:id="26"/>
    <w:p>
      <w:pPr>
        <w:spacing w:after="0" w:line="272" w:lineRule="auto"/>
        <w:rPr>
          <w:sz w:val="20"/>
          <w:szCs w:val="20"/>
          <w:color w:val="auto"/>
        </w:rPr>
      </w:pPr>
      <w:r>
        <w:rPr>
          <w:rFonts w:ascii="Arial" w:cs="Arial" w:eastAsia="Arial" w:hAnsi="Arial"/>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6"/>
            <w:vMerge w:val="restart"/>
          </w:tcPr>
          <w:p>
            <w:pPr>
              <w:jc w:val="center"/>
              <w:ind w:right="100"/>
              <w:spacing w:after="0"/>
              <w:rPr>
                <w:sz w:val="20"/>
                <w:szCs w:val="20"/>
                <w:color w:val="auto"/>
              </w:rPr>
            </w:pPr>
            <w:r>
              <w:rPr>
                <w:rFonts w:ascii="Arial" w:cs="Arial" w:eastAsia="Arial" w:hAnsi="Arial"/>
                <w:sz w:val="16"/>
                <w:szCs w:val="16"/>
                <w:b w:val="1"/>
                <w:bCs w:val="1"/>
                <w:color w:val="auto"/>
                <w:w w:val="90"/>
              </w:rPr>
              <w:t>Beneficially Owned Before the Offering</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7"/>
                <w:szCs w:val="17"/>
                <w:color w:val="auto"/>
              </w:rPr>
            </w:pPr>
          </w:p>
        </w:tc>
        <w:tc>
          <w:tcPr>
            <w:tcW w:w="3180" w:type="dxa"/>
            <w:vAlign w:val="bottom"/>
            <w:gridSpan w:val="6"/>
            <w:vMerge w:val="restart"/>
          </w:tcPr>
          <w:p>
            <w:pPr>
              <w:jc w:val="center"/>
              <w:ind w:right="120"/>
              <w:spacing w:after="0"/>
              <w:rPr>
                <w:sz w:val="20"/>
                <w:szCs w:val="20"/>
                <w:color w:val="auto"/>
              </w:rPr>
            </w:pPr>
            <w:r>
              <w:rPr>
                <w:rFonts w:ascii="Arial" w:cs="Arial" w:eastAsia="Arial" w:hAnsi="Arial"/>
                <w:sz w:val="16"/>
                <w:szCs w:val="16"/>
                <w:b w:val="1"/>
                <w:bCs w:val="1"/>
                <w:color w:val="auto"/>
                <w:w w:val="92"/>
              </w:rPr>
              <w:t>Beneficially Owned After the Offering</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6"/>
            <w:vMerge w:val="continue"/>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Shares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Private</w:t>
            </w:r>
          </w:p>
        </w:tc>
        <w:tc>
          <w:tcPr>
            <w:tcW w:w="120" w:type="dxa"/>
            <w:vAlign w:val="bottom"/>
          </w:tcPr>
          <w:p>
            <w:pPr>
              <w:spacing w:after="0"/>
              <w:rPr>
                <w:sz w:val="18"/>
                <w:szCs w:val="18"/>
                <w:color w:val="auto"/>
              </w:rPr>
            </w:pPr>
          </w:p>
        </w:tc>
        <w:tc>
          <w:tcPr>
            <w:tcW w:w="31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Placement</w:t>
            </w:r>
          </w:p>
        </w:tc>
        <w:tc>
          <w:tcPr>
            <w:tcW w:w="120" w:type="dxa"/>
            <w:vAlign w:val="bottom"/>
          </w:tcPr>
          <w:p>
            <w:pPr>
              <w:spacing w:after="0"/>
              <w:rPr>
                <w:sz w:val="16"/>
                <w:szCs w:val="16"/>
                <w:color w:val="auto"/>
              </w:rPr>
            </w:pPr>
          </w:p>
        </w:tc>
        <w:tc>
          <w:tcPr>
            <w:tcW w:w="9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20" w:type="dxa"/>
            <w:vAlign w:val="bottom"/>
            <w:gridSpan w:val="2"/>
          </w:tcPr>
          <w:p>
            <w:pPr>
              <w:jc w:val="center"/>
              <w:ind w:right="80"/>
              <w:spacing w:after="0" w:line="161" w:lineRule="exact"/>
              <w:rPr>
                <w:sz w:val="20"/>
                <w:szCs w:val="20"/>
                <w:color w:val="auto"/>
              </w:rPr>
            </w:pPr>
            <w:r>
              <w:rPr>
                <w:rFonts w:ascii="Arial" w:cs="Arial" w:eastAsia="Arial" w:hAnsi="Arial"/>
                <w:sz w:val="16"/>
                <w:szCs w:val="16"/>
                <w:b w:val="1"/>
                <w:bCs w:val="1"/>
                <w:color w:val="auto"/>
              </w:rPr>
              <w:t>% of</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93"/>
              </w:rPr>
              <w:t>Private</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87"/>
              </w:rPr>
              <w:t>Stock</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95"/>
              </w:rPr>
              <w:t>Warrants</w:t>
            </w:r>
          </w:p>
        </w:tc>
        <w:tc>
          <w:tcPr>
            <w:tcW w:w="120" w:type="dxa"/>
            <w:vAlign w:val="bottom"/>
          </w:tcPr>
          <w:p>
            <w:pPr>
              <w:spacing w:after="0"/>
              <w:rPr>
                <w:sz w:val="14"/>
                <w:szCs w:val="14"/>
                <w:color w:val="auto"/>
              </w:rPr>
            </w:pPr>
          </w:p>
        </w:tc>
        <w:tc>
          <w:tcPr>
            <w:tcW w:w="98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87"/>
              </w:rPr>
              <w:t>Shares of</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 of</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93"/>
              </w:rPr>
              <w:t>Private</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Common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Placement</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Being</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Being</w:t>
            </w: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Common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Placement</w:t>
            </w:r>
          </w:p>
        </w:tc>
        <w:tc>
          <w:tcPr>
            <w:tcW w:w="0" w:type="dxa"/>
            <w:vAlign w:val="bottom"/>
          </w:tcPr>
          <w:p>
            <w:pPr>
              <w:spacing w:after="0"/>
              <w:rPr>
                <w:sz w:val="1"/>
                <w:szCs w:val="1"/>
                <w:color w:val="auto"/>
              </w:rPr>
            </w:pPr>
          </w:p>
        </w:tc>
      </w:tr>
      <w:tr>
        <w:trPr>
          <w:trHeight w:val="261"/>
        </w:trPr>
        <w:tc>
          <w:tcPr>
            <w:tcW w:w="226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Selling Securityholder</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line="253" w:lineRule="exact"/>
              <w:rPr>
                <w:sz w:val="20"/>
                <w:szCs w:val="20"/>
                <w:color w:val="auto"/>
              </w:rPr>
            </w:pPr>
            <w:r>
              <w:rPr>
                <w:rFonts w:ascii="Arial" w:cs="Arial" w:eastAsia="Arial" w:hAnsi="Arial"/>
                <w:sz w:val="16"/>
                <w:szCs w:val="16"/>
                <w:b w:val="1"/>
                <w:bCs w:val="1"/>
                <w:color w:val="auto"/>
                <w:w w:val="83"/>
              </w:rPr>
              <w:t>Stock</w:t>
            </w:r>
            <w:r>
              <w:rPr>
                <w:rFonts w:ascii="Arial" w:cs="Arial" w:eastAsia="Arial" w:hAnsi="Arial"/>
                <w:sz w:val="26"/>
                <w:szCs w:val="26"/>
                <w:b w:val="1"/>
                <w:bCs w:val="1"/>
                <w:color w:val="auto"/>
                <w:w w:val="83"/>
                <w:vertAlign w:val="superscript"/>
              </w:rPr>
              <w:t>(1)</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4"/>
              </w:rPr>
              <w:t>Offered</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4"/>
              </w:rPr>
              <w:t>Offered</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260" w:type="dxa"/>
            <w:vAlign w:val="bottom"/>
            <w:gridSpan w:val="3"/>
            <w:shd w:val="clear" w:color="auto" w:fill="CCEEFF"/>
          </w:tcPr>
          <w:p>
            <w:pPr>
              <w:spacing w:after="0" w:line="241" w:lineRule="exact"/>
              <w:rPr>
                <w:sz w:val="20"/>
                <w:szCs w:val="20"/>
                <w:color w:val="auto"/>
              </w:rPr>
            </w:pPr>
            <w:r>
              <w:rPr>
                <w:rFonts w:ascii="Arial" w:cs="Arial" w:eastAsia="Arial" w:hAnsi="Arial"/>
                <w:sz w:val="16"/>
                <w:szCs w:val="16"/>
                <w:color w:val="auto"/>
              </w:rPr>
              <w:t>80Five LLC</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Arial" w:cs="Arial" w:eastAsia="Arial" w:hAnsi="Arial"/>
                <w:sz w:val="16"/>
                <w:szCs w:val="16"/>
                <w:color w:val="auto"/>
              </w:rPr>
              <w:t>Acadia Woods Partners,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00" w:type="dxa"/>
            <w:vAlign w:val="bottom"/>
            <w:gridSpan w:val="2"/>
          </w:tcPr>
          <w:p>
            <w:pPr>
              <w:ind w:left="160"/>
              <w:spacing w:after="0" w:line="252" w:lineRule="exact"/>
              <w:rPr>
                <w:sz w:val="20"/>
                <w:szCs w:val="20"/>
                <w:color w:val="auto"/>
              </w:rPr>
            </w:pPr>
            <w:r>
              <w:rPr>
                <w:rFonts w:ascii="Arial" w:cs="Arial" w:eastAsia="Arial" w:hAnsi="Arial"/>
                <w:sz w:val="16"/>
                <w:szCs w:val="16"/>
                <w:color w:val="auto"/>
              </w:rPr>
              <w:t>LLC</w:t>
            </w:r>
            <w:r>
              <w:rPr>
                <w:rFonts w:ascii="Arial" w:cs="Arial" w:eastAsia="Arial" w:hAnsi="Arial"/>
                <w:sz w:val="26"/>
                <w:szCs w:val="26"/>
                <w:color w:val="auto"/>
                <w:vertAlign w:val="superscript"/>
              </w:rPr>
              <w:t>(4)</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31,250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31,250</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Adam Eskin</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44,866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Adam Feil</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6,250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Al Marjan Limited</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Alexander Nevinskiy</w:t>
            </w:r>
            <w:r>
              <w:rPr>
                <w:rFonts w:ascii="Arial" w:cs="Arial" w:eastAsia="Arial" w:hAnsi="Arial"/>
                <w:sz w:val="26"/>
                <w:szCs w:val="26"/>
                <w:color w:val="auto"/>
                <w:vertAlign w:val="superscript"/>
              </w:rPr>
              <w:t>(30)(32)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Aloha Partners, LLC</w:t>
            </w:r>
            <w:r>
              <w:rPr>
                <w:rFonts w:ascii="Arial" w:cs="Arial" w:eastAsia="Arial" w:hAnsi="Arial"/>
                <w:sz w:val="26"/>
                <w:szCs w:val="26"/>
                <w:color w:val="auto"/>
                <w:vertAlign w:val="superscript"/>
              </w:rPr>
              <w:t>(5)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Amir Ali Mithani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Amy Doshi &amp; Sarin Swami</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400" w:type="dxa"/>
            <w:vAlign w:val="bottom"/>
          </w:tcPr>
          <w:p>
            <w:pPr>
              <w:spacing w:after="0"/>
              <w:rPr>
                <w:sz w:val="20"/>
                <w:szCs w:val="20"/>
                <w:color w:val="auto"/>
              </w:rPr>
            </w:pPr>
            <w:r>
              <w:rPr>
                <w:rFonts w:ascii="Arial" w:cs="Arial" w:eastAsia="Arial" w:hAnsi="Arial"/>
                <w:sz w:val="16"/>
                <w:szCs w:val="16"/>
                <w:color w:val="auto"/>
                <w:w w:val="99"/>
              </w:rPr>
              <w:t>Arbat​</w:t>
            </w:r>
          </w:p>
        </w:tc>
        <w:tc>
          <w:tcPr>
            <w:tcW w:w="1980" w:type="dxa"/>
            <w:vAlign w:val="bottom"/>
            <w:gridSpan w:val="3"/>
          </w:tcPr>
          <w:p>
            <w:pPr>
              <w:jc w:val="center"/>
              <w:ind w:right="280"/>
              <w:spacing w:after="0" w:line="241" w:lineRule="exact"/>
              <w:rPr>
                <w:sz w:val="20"/>
                <w:szCs w:val="20"/>
                <w:color w:val="auto"/>
              </w:rPr>
            </w:pPr>
            <w:r>
              <w:rPr>
                <w:rFonts w:ascii="Arial" w:cs="Arial" w:eastAsia="Arial" w:hAnsi="Arial"/>
                <w:sz w:val="16"/>
                <w:szCs w:val="16"/>
                <w:color w:val="auto"/>
                <w:w w:val="86"/>
              </w:rPr>
              <w:t>Capital Group Ltd</w:t>
            </w:r>
            <w:r>
              <w:rPr>
                <w:rFonts w:ascii="Arial" w:cs="Arial" w:eastAsia="Arial" w:hAnsi="Arial"/>
                <w:sz w:val="26"/>
                <w:szCs w:val="26"/>
                <w:color w:val="auto"/>
                <w:w w:val="86"/>
                <w:vertAlign w:val="superscript"/>
              </w:rPr>
              <w:t>.(29)(30)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201,100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101,100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Art Spigel</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Biren Gosalia</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10,500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10,500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Blind 1212, LLC</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447,274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288,616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447,274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Brock Strasbourger</w:t>
            </w:r>
            <w:r>
              <w:rPr>
                <w:rFonts w:ascii="Arial" w:cs="Arial" w:eastAsia="Arial" w:hAnsi="Arial"/>
                <w:sz w:val="26"/>
                <w:szCs w:val="26"/>
                <w:color w:val="auto"/>
                <w:vertAlign w:val="superscript"/>
              </w:rPr>
              <w:t>(3)(34)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390,905</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269,850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390,905</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269,850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Cabbaj Capital Ltd.</w:t>
            </w:r>
            <w:r>
              <w:rPr>
                <w:rFonts w:ascii="Arial" w:cs="Arial" w:eastAsia="Arial" w:hAnsi="Arial"/>
                <w:sz w:val="26"/>
                <w:szCs w:val="26"/>
                <w:color w:val="auto"/>
                <w:vertAlign w:val="superscript"/>
              </w:rPr>
              <w:t>(7)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Cartoris Limited</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252,687</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167,687</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CEOF Holdings LP</w:t>
            </w:r>
            <w:r>
              <w:rPr>
                <w:rFonts w:ascii="Arial" w:cs="Arial" w:eastAsia="Arial" w:hAnsi="Arial"/>
                <w:sz w:val="26"/>
                <w:szCs w:val="26"/>
                <w:color w:val="auto"/>
                <w:vertAlign w:val="superscript"/>
              </w:rPr>
              <w:t>(21)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1,021,457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w:t>
            </w: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190,909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1,021,457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Arial" w:cs="Arial" w:eastAsia="Arial" w:hAnsi="Arial"/>
                <w:sz w:val="16"/>
                <w:szCs w:val="16"/>
                <w:color w:val="auto"/>
              </w:rPr>
              <w:t>Chardan Capital Markets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00" w:type="dxa"/>
            <w:vAlign w:val="bottom"/>
            <w:gridSpan w:val="2"/>
          </w:tcPr>
          <w:p>
            <w:pPr>
              <w:ind w:left="160"/>
              <w:spacing w:after="0" w:line="252" w:lineRule="exact"/>
              <w:rPr>
                <w:sz w:val="20"/>
                <w:szCs w:val="20"/>
                <w:color w:val="auto"/>
              </w:rPr>
            </w:pPr>
            <w:r>
              <w:rPr>
                <w:rFonts w:ascii="Arial" w:cs="Arial" w:eastAsia="Arial" w:hAnsi="Arial"/>
                <w:sz w:val="29"/>
                <w:szCs w:val="29"/>
                <w:color w:val="auto"/>
                <w:w w:val="88"/>
                <w:vertAlign w:val="subscript"/>
              </w:rPr>
              <w:t>LLC</w:t>
            </w:r>
            <w:r>
              <w:rPr>
                <w:rFonts w:ascii="Arial" w:cs="Arial" w:eastAsia="Arial" w:hAnsi="Arial"/>
                <w:sz w:val="13"/>
                <w:szCs w:val="13"/>
                <w:color w:val="auto"/>
                <w:w w:val="88"/>
              </w:rPr>
              <w:t>(23)</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350,000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350,000</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Chardan International</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380" w:type="dxa"/>
            <w:vAlign w:val="bottom"/>
            <w:gridSpan w:val="4"/>
            <w:shd w:val="clear" w:color="auto" w:fill="CCEEFF"/>
          </w:tcPr>
          <w:p>
            <w:pPr>
              <w:ind w:left="160"/>
              <w:spacing w:after="0" w:line="252" w:lineRule="exact"/>
              <w:rPr>
                <w:sz w:val="20"/>
                <w:szCs w:val="20"/>
                <w:color w:val="auto"/>
              </w:rPr>
            </w:pPr>
            <w:r>
              <w:rPr>
                <w:rFonts w:ascii="Arial" w:cs="Arial" w:eastAsia="Arial" w:hAnsi="Arial"/>
                <w:sz w:val="16"/>
                <w:szCs w:val="16"/>
                <w:color w:val="auto"/>
              </w:rPr>
              <w:t>Investments, LLC</w:t>
            </w:r>
            <w:r>
              <w:rPr>
                <w:rFonts w:ascii="Arial" w:cs="Arial" w:eastAsia="Arial" w:hAnsi="Arial"/>
                <w:sz w:val="26"/>
                <w:szCs w:val="26"/>
                <w:color w:val="auto"/>
                <w:vertAlign w:val="superscript"/>
              </w:rPr>
              <w:t>(23)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2,983,171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1,875,000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2,983,171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Chris Ahrens</w:t>
            </w:r>
            <w:r>
              <w:rPr>
                <w:rFonts w:ascii="Arial" w:cs="Arial" w:eastAsia="Arial" w:hAnsi="Arial"/>
                <w:sz w:val="26"/>
                <w:szCs w:val="26"/>
                <w:color w:val="auto"/>
                <w:vertAlign w:val="superscript"/>
              </w:rPr>
              <w:t>(3)(38)</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61,116</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61,116</w:t>
            </w:r>
          </w:p>
        </w:tc>
        <w:tc>
          <w:tcPr>
            <w:tcW w:w="1000" w:type="dxa"/>
            <w:vAlign w:val="bottom"/>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Cindat USA LLC</w:t>
            </w:r>
            <w:r>
              <w:rPr>
                <w:rFonts w:ascii="Arial" w:cs="Arial" w:eastAsia="Arial" w:hAnsi="Arial"/>
                <w:sz w:val="26"/>
                <w:szCs w:val="26"/>
                <w:color w:val="auto"/>
                <w:vertAlign w:val="superscript"/>
              </w:rPr>
              <w:t>(17)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1,374,148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918,387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1,374,148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918,387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700" w:type="dxa"/>
            <w:vAlign w:val="bottom"/>
            <w:gridSpan w:val="2"/>
          </w:tcPr>
          <w:p>
            <w:pPr>
              <w:spacing w:after="0"/>
              <w:rPr>
                <w:sz w:val="20"/>
                <w:szCs w:val="20"/>
                <w:color w:val="auto"/>
              </w:rPr>
            </w:pPr>
            <w:r>
              <w:rPr>
                <w:rFonts w:ascii="Arial" w:cs="Arial" w:eastAsia="Arial" w:hAnsi="Arial"/>
                <w:sz w:val="16"/>
                <w:szCs w:val="16"/>
                <w:color w:val="auto"/>
                <w:w w:val="95"/>
              </w:rPr>
              <w:t>Cleveland​</w:t>
            </w:r>
          </w:p>
        </w:tc>
        <w:tc>
          <w:tcPr>
            <w:tcW w:w="1680" w:type="dxa"/>
            <w:vAlign w:val="bottom"/>
            <w:gridSpan w:val="2"/>
          </w:tcPr>
          <w:p>
            <w:pPr>
              <w:jc w:val="center"/>
              <w:ind w:right="620"/>
              <w:spacing w:after="0" w:line="241" w:lineRule="exact"/>
              <w:rPr>
                <w:sz w:val="20"/>
                <w:szCs w:val="20"/>
                <w:color w:val="auto"/>
              </w:rPr>
            </w:pPr>
            <w:r>
              <w:rPr>
                <w:rFonts w:ascii="Arial" w:cs="Arial" w:eastAsia="Arial" w:hAnsi="Arial"/>
                <w:sz w:val="16"/>
                <w:szCs w:val="16"/>
                <w:color w:val="auto"/>
                <w:w w:val="89"/>
              </w:rPr>
              <w:t>Avenue LLC</w:t>
            </w:r>
            <w:r>
              <w:rPr>
                <w:rFonts w:ascii="Arial" w:cs="Arial" w:eastAsia="Arial" w:hAnsi="Arial"/>
                <w:sz w:val="26"/>
                <w:szCs w:val="26"/>
                <w:color w:val="auto"/>
                <w:w w:val="89"/>
                <w:vertAlign w:val="superscript"/>
              </w:rPr>
              <w:t>(33)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10,000,000</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17.3%</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Cliff Moskowitz</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44,866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Arial" w:cs="Arial" w:eastAsia="Arial" w:hAnsi="Arial"/>
                <w:sz w:val="16"/>
                <w:szCs w:val="16"/>
                <w:color w:val="auto"/>
              </w:rPr>
              <w:t>Connective Capital Emerging</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380" w:type="dxa"/>
            <w:vAlign w:val="bottom"/>
            <w:gridSpan w:val="4"/>
          </w:tcPr>
          <w:p>
            <w:pPr>
              <w:ind w:left="160"/>
              <w:spacing w:after="0" w:line="252" w:lineRule="exact"/>
              <w:rPr>
                <w:sz w:val="20"/>
                <w:szCs w:val="20"/>
                <w:color w:val="auto"/>
              </w:rPr>
            </w:pPr>
            <w:r>
              <w:rPr>
                <w:rFonts w:ascii="Arial" w:cs="Arial" w:eastAsia="Arial" w:hAnsi="Arial"/>
                <w:sz w:val="16"/>
                <w:szCs w:val="16"/>
                <w:color w:val="auto"/>
              </w:rPr>
              <w:t>Energy QP, LP</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68,137</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68,137</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Connective Capital I QP, LP</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31,863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31,863</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Cosme Fagundo</w:t>
            </w:r>
            <w:r>
              <w:rPr>
                <w:rFonts w:ascii="Arial" w:cs="Arial" w:eastAsia="Arial" w:hAnsi="Arial"/>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Dan Bordessa</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David Allan DeHorn</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Dentons US LLP</w:t>
            </w:r>
            <w:r>
              <w:rPr>
                <w:rFonts w:ascii="Arial" w:cs="Arial" w:eastAsia="Arial" w:hAnsi="Arial"/>
                <w:sz w:val="26"/>
                <w:szCs w:val="26"/>
                <w:color w:val="auto"/>
                <w:vertAlign w:val="superscript"/>
              </w:rPr>
              <w:t>(13)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Dhari Albader</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247,500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147,500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Dipan Desai</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Ed Scheetz</w:t>
            </w:r>
            <w:r>
              <w:rPr>
                <w:rFonts w:ascii="Arial" w:cs="Arial" w:eastAsia="Arial" w:hAnsi="Arial"/>
                <w:sz w:val="26"/>
                <w:szCs w:val="26"/>
                <w:color w:val="auto"/>
                <w:vertAlign w:val="superscript"/>
              </w:rPr>
              <w:t>(3)(11)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1,321,389</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1000" w:type="dxa"/>
            <w:vAlign w:val="bottom"/>
          </w:tcPr>
          <w:p>
            <w:pPr>
              <w:jc w:val="right"/>
              <w:spacing w:after="0"/>
              <w:rPr>
                <w:sz w:val="20"/>
                <w:szCs w:val="20"/>
                <w:color w:val="auto"/>
              </w:rPr>
            </w:pPr>
            <w:r>
              <w:rPr>
                <w:rFonts w:ascii="Arial" w:cs="Arial" w:eastAsia="Arial" w:hAnsi="Arial"/>
                <w:sz w:val="16"/>
                <w:szCs w:val="16"/>
                <w:color w:val="auto"/>
              </w:rPr>
              <w:t>705,762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1,032,464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705,762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EJK Investments LLC</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Georgia Sgardeli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Greg Flynn</w:t>
            </w:r>
            <w:r>
              <w:rPr>
                <w:rFonts w:ascii="Arial" w:cs="Arial" w:eastAsia="Arial" w:hAnsi="Arial"/>
                <w:sz w:val="26"/>
                <w:szCs w:val="26"/>
                <w:color w:val="auto"/>
                <w:vertAlign w:val="superscript"/>
              </w:rPr>
              <w:t>(18)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HighSage Ventures LLC</w:t>
            </w:r>
            <w:r>
              <w:rPr>
                <w:rFonts w:ascii="Arial" w:cs="Arial" w:eastAsia="Arial" w:hAnsi="Arial"/>
                <w:sz w:val="26"/>
                <w:szCs w:val="26"/>
                <w:color w:val="auto"/>
                <w:vertAlign w:val="superscript"/>
              </w:rPr>
              <w:t>(19)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I2BF Global Investments</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00" w:type="dxa"/>
            <w:vAlign w:val="bottom"/>
            <w:gridSpan w:val="2"/>
            <w:shd w:val="clear" w:color="auto" w:fill="CCEEFF"/>
          </w:tcPr>
          <w:p>
            <w:pPr>
              <w:ind w:left="160"/>
              <w:spacing w:after="0" w:line="252" w:lineRule="exact"/>
              <w:rPr>
                <w:sz w:val="20"/>
                <w:szCs w:val="20"/>
                <w:color w:val="auto"/>
              </w:rPr>
            </w:pPr>
            <w:r>
              <w:rPr>
                <w:rFonts w:ascii="Arial" w:cs="Arial" w:eastAsia="Arial" w:hAnsi="Arial"/>
                <w:sz w:val="16"/>
                <w:szCs w:val="16"/>
                <w:color w:val="auto"/>
              </w:rPr>
              <w:t>Ltd.</w:t>
            </w:r>
            <w:r>
              <w:rPr>
                <w:rFonts w:ascii="Arial" w:cs="Arial" w:eastAsia="Arial" w:hAnsi="Arial"/>
                <w:sz w:val="26"/>
                <w:szCs w:val="26"/>
                <w:color w:val="auto"/>
                <w:vertAlign w:val="superscript"/>
              </w:rPr>
              <w:t>(6)</w:t>
            </w: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5,682,225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5,682,225</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Jameson Weber</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Jasminder Singh</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115,848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78,714</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115,848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7"/>
        </w:trPr>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7" w:name="page28"/>
    <w:bookmarkEnd w:id="27"/>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6"/>
          </w:tcPr>
          <w:p>
            <w:pPr>
              <w:jc w:val="center"/>
              <w:ind w:right="20"/>
              <w:spacing w:after="0"/>
              <w:rPr>
                <w:sz w:val="20"/>
                <w:szCs w:val="20"/>
                <w:color w:val="auto"/>
              </w:rPr>
            </w:pPr>
            <w:r>
              <w:rPr>
                <w:rFonts w:ascii="Arial" w:cs="Arial" w:eastAsia="Arial" w:hAnsi="Arial"/>
                <w:sz w:val="16"/>
                <w:szCs w:val="16"/>
                <w:b w:val="1"/>
                <w:bCs w:val="1"/>
                <w:color w:val="auto"/>
                <w:w w:val="91"/>
              </w:rPr>
              <w:t>Beneficially Owned Before the Offering</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4"/>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gridSpan w:val="2"/>
          </w:tcPr>
          <w:p>
            <w:pPr>
              <w:jc w:val="center"/>
              <w:ind w:right="40"/>
              <w:spacing w:after="0" w:line="161" w:lineRule="exact"/>
              <w:rPr>
                <w:sz w:val="20"/>
                <w:szCs w:val="20"/>
                <w:color w:val="auto"/>
              </w:rPr>
            </w:pPr>
            <w:r>
              <w:rPr>
                <w:rFonts w:ascii="Arial" w:cs="Arial" w:eastAsia="Arial" w:hAnsi="Arial"/>
                <w:sz w:val="16"/>
                <w:szCs w:val="16"/>
                <w:b w:val="1"/>
                <w:bCs w:val="1"/>
                <w:color w:val="auto"/>
              </w:rPr>
              <w:t>% of</w:t>
            </w:r>
          </w:p>
        </w:tc>
        <w:tc>
          <w:tcPr>
            <w:tcW w:w="1040" w:type="dxa"/>
            <w:vAlign w:val="bottom"/>
            <w:gridSpan w:val="2"/>
          </w:tcPr>
          <w:p>
            <w:pPr>
              <w:jc w:val="center"/>
              <w:ind w:left="20"/>
              <w:spacing w:after="0" w:line="161" w:lineRule="exact"/>
              <w:rPr>
                <w:sz w:val="20"/>
                <w:szCs w:val="20"/>
                <w:color w:val="auto"/>
              </w:rPr>
            </w:pPr>
            <w:r>
              <w:rPr>
                <w:rFonts w:ascii="Arial" w:cs="Arial" w:eastAsia="Arial" w:hAnsi="Arial"/>
                <w:sz w:val="16"/>
                <w:szCs w:val="16"/>
                <w:b w:val="1"/>
                <w:bCs w:val="1"/>
                <w:color w:val="auto"/>
                <w:w w:val="93"/>
              </w:rPr>
              <w:t>Private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1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Common</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Placement</w:t>
            </w:r>
          </w:p>
        </w:tc>
        <w:tc>
          <w:tcPr>
            <w:tcW w:w="0" w:type="dxa"/>
            <w:vAlign w:val="bottom"/>
          </w:tcPr>
          <w:p>
            <w:pPr>
              <w:spacing w:after="0"/>
              <w:rPr>
                <w:sz w:val="1"/>
                <w:szCs w:val="1"/>
                <w:color w:val="auto"/>
              </w:rPr>
            </w:pPr>
          </w:p>
        </w:tc>
      </w:tr>
      <w:tr>
        <w:trPr>
          <w:trHeight w:val="254"/>
        </w:trPr>
        <w:tc>
          <w:tcPr>
            <w:tcW w:w="2380" w:type="dxa"/>
            <w:vAlign w:val="bottom"/>
            <w:gridSpan w:val="3"/>
          </w:tcPr>
          <w:p>
            <w:pPr>
              <w:spacing w:after="0"/>
              <w:rPr>
                <w:sz w:val="20"/>
                <w:szCs w:val="20"/>
                <w:color w:val="auto"/>
              </w:rPr>
            </w:pPr>
            <w:r>
              <w:rPr>
                <w:rFonts w:ascii="Arial" w:cs="Arial" w:eastAsia="Arial" w:hAnsi="Arial"/>
                <w:sz w:val="16"/>
                <w:szCs w:val="16"/>
                <w:b w:val="1"/>
                <w:bCs w:val="1"/>
                <w:color w:val="auto"/>
              </w:rPr>
              <w:t>Selling Securityholder</w:t>
            </w:r>
          </w:p>
        </w:tc>
        <w:tc>
          <w:tcPr>
            <w:tcW w:w="1040" w:type="dxa"/>
            <w:vAlign w:val="bottom"/>
            <w:gridSpan w:val="2"/>
          </w:tcPr>
          <w:p>
            <w:pPr>
              <w:jc w:val="center"/>
              <w:ind w:right="140"/>
              <w:spacing w:after="0" w:line="253" w:lineRule="exact"/>
              <w:rPr>
                <w:sz w:val="20"/>
                <w:szCs w:val="20"/>
                <w:color w:val="auto"/>
              </w:rPr>
            </w:pPr>
            <w:r>
              <w:rPr>
                <w:rFonts w:ascii="Arial" w:cs="Arial" w:eastAsia="Arial" w:hAnsi="Arial"/>
                <w:sz w:val="16"/>
                <w:szCs w:val="16"/>
                <w:b w:val="1"/>
                <w:bCs w:val="1"/>
                <w:color w:val="auto"/>
                <w:w w:val="83"/>
              </w:rPr>
              <w:t>Stock</w:t>
            </w:r>
            <w:r>
              <w:rPr>
                <w:rFonts w:ascii="Arial" w:cs="Arial" w:eastAsia="Arial" w:hAnsi="Arial"/>
                <w:sz w:val="26"/>
                <w:szCs w:val="26"/>
                <w:b w:val="1"/>
                <w:bCs w:val="1"/>
                <w:color w:val="auto"/>
                <w:w w:val="83"/>
                <w:vertAlign w:val="superscript"/>
              </w:rPr>
              <w:t>(1)</w:t>
            </w:r>
          </w:p>
        </w:tc>
        <w:tc>
          <w:tcPr>
            <w:tcW w:w="11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7"/>
              </w:rPr>
              <w:t>Stock</w:t>
            </w:r>
          </w:p>
        </w:tc>
        <w:tc>
          <w:tcPr>
            <w:tcW w:w="10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5"/>
              </w:rPr>
              <w:t>Warrants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2240" w:type="dxa"/>
            <w:vAlign w:val="bottom"/>
          </w:tcPr>
          <w:p>
            <w:pPr>
              <w:spacing w:after="0" w:line="231" w:lineRule="exact"/>
              <w:rPr>
                <w:sz w:val="20"/>
                <w:szCs w:val="20"/>
                <w:color w:val="auto"/>
              </w:rPr>
            </w:pPr>
            <w:r>
              <w:rPr>
                <w:rFonts w:ascii="Arial" w:cs="Arial" w:eastAsia="Arial" w:hAnsi="Arial"/>
                <w:sz w:val="16"/>
                <w:szCs w:val="16"/>
                <w:color w:val="auto"/>
              </w:rPr>
              <w:t>Jay Lidell</w:t>
            </w:r>
            <w:r>
              <w:rPr>
                <w:rFonts w:ascii="Arial" w:cs="Arial" w:eastAsia="Arial" w:hAnsi="Arial"/>
                <w:sz w:val="26"/>
                <w:szCs w:val="26"/>
                <w:color w:val="auto"/>
                <w:vertAlign w:val="superscript"/>
              </w:rPr>
              <w:t>(3)</w:t>
            </w:r>
          </w:p>
        </w:tc>
        <w:tc>
          <w:tcPr>
            <w:tcW w:w="12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Jeff Jones</w:t>
            </w:r>
            <w:r>
              <w:rPr>
                <w:rFonts w:ascii="Arial" w:cs="Arial" w:eastAsia="Arial" w:hAnsi="Arial"/>
                <w:sz w:val="26"/>
                <w:szCs w:val="26"/>
                <w:color w:val="auto"/>
                <w:vertAlign w:val="superscript"/>
              </w:rPr>
              <w:t>(20)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Jefferies LLC</w:t>
            </w:r>
            <w:r>
              <w:rPr>
                <w:rFonts w:ascii="Arial" w:cs="Arial" w:eastAsia="Arial" w:hAnsi="Arial"/>
                <w:sz w:val="26"/>
                <w:szCs w:val="26"/>
                <w:color w:val="auto"/>
                <w:vertAlign w:val="superscript"/>
              </w:rPr>
              <w:t>(24)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Julie Atkinson</w:t>
            </w:r>
            <w:r>
              <w:rPr>
                <w:rFonts w:ascii="Arial" w:cs="Arial" w:eastAsia="Arial" w:hAnsi="Arial"/>
                <w:sz w:val="26"/>
                <w:szCs w:val="26"/>
                <w:color w:val="auto"/>
                <w:vertAlign w:val="superscript"/>
              </w:rPr>
              <w:t>(3)(35)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37,946</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10,495</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Kali Invest LLC</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w w:val="94"/>
              </w:rPr>
              <w:t>Kepos Alpha Master Fund L.P.</w:t>
            </w:r>
            <w:r>
              <w:rPr>
                <w:rFonts w:ascii="Arial" w:cs="Arial" w:eastAsia="Arial" w:hAnsi="Arial"/>
                <w:sz w:val="26"/>
                <w:szCs w:val="26"/>
                <w:color w:val="auto"/>
                <w:w w:val="94"/>
                <w:vertAlign w:val="superscript"/>
              </w:rPr>
              <w:t>(30)</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500,000</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260" w:type="dxa"/>
            <w:vAlign w:val="bottom"/>
            <w:gridSpan w:val="2"/>
          </w:tcPr>
          <w:p>
            <w:pPr>
              <w:ind w:left="16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Kim Lopdrup</w:t>
            </w:r>
            <w:r>
              <w:rPr>
                <w:rFonts w:ascii="Arial" w:cs="Arial" w:eastAsia="Arial" w:hAnsi="Arial"/>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Lago Innovation</w:t>
            </w:r>
            <w:r>
              <w:rPr>
                <w:rFonts w:ascii="Arial" w:cs="Arial" w:eastAsia="Arial" w:hAnsi="Arial"/>
                <w:sz w:val="26"/>
                <w:szCs w:val="26"/>
                <w:color w:val="auto"/>
                <w:vertAlign w:val="superscript"/>
              </w:rPr>
              <w:t>(25)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156,233</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Matt Armstrong</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52,476</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Matt MacDonald</w:t>
            </w:r>
            <w:r>
              <w:rPr>
                <w:rFonts w:ascii="Arial" w:cs="Arial" w:eastAsia="Arial" w:hAnsi="Arial"/>
                <w:sz w:val="26"/>
                <w:szCs w:val="26"/>
                <w:color w:val="auto"/>
                <w:vertAlign w:val="superscript"/>
              </w:rPr>
              <w:t>(3)(11)(36)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1,036,253</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512,024</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Metropolitan Partners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gridSpan w:val="2"/>
          </w:tcPr>
          <w:p>
            <w:pPr>
              <w:ind w:left="140"/>
              <w:spacing w:after="0" w:line="242" w:lineRule="exact"/>
              <w:rPr>
                <w:sz w:val="20"/>
                <w:szCs w:val="20"/>
                <w:color w:val="auto"/>
              </w:rPr>
            </w:pPr>
            <w:r>
              <w:rPr>
                <w:rFonts w:ascii="Arial" w:cs="Arial" w:eastAsia="Arial" w:hAnsi="Arial"/>
                <w:sz w:val="16"/>
                <w:szCs w:val="16"/>
                <w:color w:val="auto"/>
              </w:rPr>
              <w:t>Group</w:t>
            </w:r>
            <w:r>
              <w:rPr>
                <w:rFonts w:ascii="Arial" w:cs="Arial" w:eastAsia="Arial" w:hAnsi="Arial"/>
                <w:sz w:val="26"/>
                <w:szCs w:val="26"/>
                <w:color w:val="auto"/>
                <w:vertAlign w:val="superscript"/>
              </w:rPr>
              <w:t>(22)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7,003,544</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12.1%</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w w:val="97"/>
              </w:rPr>
              <w:t>Monil Gandhi Personal Revocable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Trust</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12,500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Nadir Noorani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75,000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w w:val="99"/>
              </w:rPr>
              <w:t>Nexxus Capital Management Pte.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Ltd.</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42,029</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Paresh Doshi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Paul Liberman</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38,616</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26,238</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Prasad Phatak</w:t>
            </w:r>
            <w:r>
              <w:rPr>
                <w:rFonts w:ascii="Arial" w:cs="Arial" w:eastAsia="Arial" w:hAnsi="Arial"/>
                <w:sz w:val="26"/>
                <w:szCs w:val="26"/>
                <w:color w:val="auto"/>
                <w:vertAlign w:val="superscript"/>
              </w:rPr>
              <w:t>(3)(37)</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604,758</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415,154</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Rajat Suri</w:t>
            </w:r>
            <w:r>
              <w:rPr>
                <w:rFonts w:ascii="Arial" w:cs="Arial" w:eastAsia="Arial" w:hAnsi="Arial"/>
                <w:sz w:val="26"/>
                <w:szCs w:val="26"/>
                <w:color w:val="auto"/>
                <w:vertAlign w:val="superscript"/>
              </w:rPr>
              <w:t>(2)(15)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8,623,814</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14.9%</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Richard Hoon Thye Woei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28,926</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Robert Martin</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52,476</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Romulus Capital</w:t>
            </w:r>
            <w:r>
              <w:rPr>
                <w:rFonts w:ascii="Arial" w:cs="Arial" w:eastAsia="Arial" w:hAnsi="Arial"/>
                <w:sz w:val="26"/>
                <w:szCs w:val="26"/>
                <w:color w:val="auto"/>
                <w:vertAlign w:val="superscript"/>
              </w:rPr>
              <w:t>(9)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18,111,939</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31.3%</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Sasha Hoffman</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w w:val="97"/>
              </w:rPr>
              <w:t>Schechter Private Capital I, LLC –</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Series V</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1,932,773</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Shamsuddin Charania</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262,069</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Sheel Tyle</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Shehzaan Chunara</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87,500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Silver Rock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Partners</w:t>
            </w:r>
            <w:r>
              <w:rPr>
                <w:rFonts w:ascii="Arial" w:cs="Arial" w:eastAsia="Arial" w:hAnsi="Arial"/>
                <w:sz w:val="26"/>
                <w:szCs w:val="26"/>
                <w:color w:val="auto"/>
                <w:vertAlign w:val="superscript"/>
              </w:rPr>
              <w:t>(10)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Tan Chin Nam</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13,926</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The Rebecca P. Samberg 2018</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revocable Trust</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409,640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Thomas P Botts</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115,848</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78,714</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Trinity Capital Fund II, L.P.,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gridSpan w:val="2"/>
          </w:tcPr>
          <w:p>
            <w:pPr>
              <w:ind w:left="140"/>
              <w:spacing w:after="0" w:line="242" w:lineRule="exact"/>
              <w:rPr>
                <w:sz w:val="20"/>
                <w:szCs w:val="20"/>
                <w:color w:val="auto"/>
              </w:rPr>
            </w:pPr>
            <w:r>
              <w:rPr>
                <w:rFonts w:ascii="Arial" w:cs="Arial" w:eastAsia="Arial" w:hAnsi="Arial"/>
                <w:sz w:val="28"/>
                <w:szCs w:val="28"/>
                <w:color w:val="auto"/>
                <w:vertAlign w:val="subscript"/>
              </w:rPr>
              <w:t>LLC</w:t>
            </w:r>
            <w:r>
              <w:rPr>
                <w:rFonts w:ascii="Arial" w:cs="Arial" w:eastAsia="Arial" w:hAnsi="Arial"/>
                <w:sz w:val="12"/>
                <w:szCs w:val="12"/>
                <w:color w:val="auto"/>
              </w:rPr>
              <w:t>(39)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573,660</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Ventoux Acquisition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Holdings LLC</w:t>
            </w:r>
            <w:r>
              <w:rPr>
                <w:rFonts w:ascii="Arial" w:cs="Arial" w:eastAsia="Arial" w:hAnsi="Arial"/>
                <w:sz w:val="26"/>
                <w:szCs w:val="26"/>
                <w:color w:val="auto"/>
                <w:vertAlign w:val="superscript"/>
              </w:rPr>
              <w:t>(3)(16)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288,925</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White &amp; Case LLP</w:t>
            </w:r>
            <w:r>
              <w:rPr>
                <w:rFonts w:ascii="Arial" w:cs="Arial" w:eastAsia="Arial" w:hAnsi="Arial"/>
                <w:sz w:val="26"/>
                <w:szCs w:val="26"/>
                <w:color w:val="auto"/>
                <w:vertAlign w:val="superscript"/>
              </w:rPr>
              <w:t>(12)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110,000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William (Bill) Healey</w:t>
            </w:r>
            <w:r>
              <w:rPr>
                <w:rFonts w:ascii="Arial" w:cs="Arial" w:eastAsia="Arial" w:hAnsi="Arial"/>
                <w:sz w:val="26"/>
                <w:szCs w:val="26"/>
                <w:color w:val="auto"/>
                <w:vertAlign w:val="superscript"/>
              </w:rPr>
              <w:t>(2)(26)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307,318</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William Souillard-Mandar</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375,000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Wilton Trustees (IOM) Limited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ATO Dalmia Trust</w:t>
            </w:r>
            <w:r>
              <w:rPr>
                <w:rFonts w:ascii="Arial" w:cs="Arial" w:eastAsia="Arial" w:hAnsi="Arial"/>
                <w:sz w:val="26"/>
                <w:szCs w:val="26"/>
                <w:color w:val="auto"/>
                <w:vertAlign w:val="superscript"/>
              </w:rPr>
              <w:t>(15)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1"/>
        </w:trPr>
        <w:tc>
          <w:tcPr>
            <w:tcW w:w="2380" w:type="dxa"/>
            <w:vAlign w:val="bottom"/>
            <w:gridSpan w:val="3"/>
          </w:tcPr>
          <w:p>
            <w:pPr>
              <w:spacing w:after="0"/>
              <w:rPr>
                <w:sz w:val="20"/>
                <w:szCs w:val="20"/>
                <w:color w:val="auto"/>
              </w:rPr>
            </w:pPr>
            <w:r>
              <w:rPr>
                <w:rFonts w:ascii="Arial" w:cs="Arial" w:eastAsia="Arial" w:hAnsi="Arial"/>
                <w:sz w:val="16"/>
                <w:szCs w:val="16"/>
                <w:color w:val="auto"/>
              </w:rPr>
              <w:t>Woolery &amp; Co PLLC</w:t>
            </w:r>
            <w:r>
              <w:rPr>
                <w:rFonts w:ascii="Arial" w:cs="Arial" w:eastAsia="Arial" w:hAnsi="Arial"/>
                <w:sz w:val="26"/>
                <w:szCs w:val="26"/>
                <w:color w:val="auto"/>
                <w:vertAlign w:val="superscript"/>
              </w:rPr>
              <w:t>(14)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-7007860</wp:posOffset>
            </wp:positionV>
            <wp:extent cx="7133590" cy="161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61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-6692900</wp:posOffset>
            </wp:positionV>
            <wp:extent cx="7133590" cy="153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-6386830</wp:posOffset>
            </wp:positionV>
            <wp:extent cx="7133590" cy="153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-5960745</wp:posOffset>
            </wp:positionV>
            <wp:extent cx="7133590" cy="153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-5654675</wp:posOffset>
            </wp:positionV>
            <wp:extent cx="7133590" cy="153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-5347970</wp:posOffset>
            </wp:positionV>
            <wp:extent cx="7133590" cy="280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-4785995</wp:posOffset>
            </wp:positionV>
            <wp:extent cx="7133590" cy="153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-4352290</wp:posOffset>
            </wp:positionV>
            <wp:extent cx="7133590" cy="153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-4045585</wp:posOffset>
            </wp:positionV>
            <wp:extent cx="7133590" cy="153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-3739515</wp:posOffset>
            </wp:positionV>
            <wp:extent cx="7133590" cy="153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-3432810</wp:posOffset>
            </wp:positionV>
            <wp:extent cx="7133590" cy="153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-3126105</wp:posOffset>
            </wp:positionV>
            <wp:extent cx="7133590" cy="280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-2692400</wp:posOffset>
            </wp:positionV>
            <wp:extent cx="7133590" cy="153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-2385695</wp:posOffset>
            </wp:positionV>
            <wp:extent cx="7133590" cy="280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-1951355</wp:posOffset>
            </wp:positionV>
            <wp:extent cx="7133590" cy="280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-1517650</wp:posOffset>
            </wp:positionV>
            <wp:extent cx="7133590" cy="280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-955675</wp:posOffset>
            </wp:positionV>
            <wp:extent cx="7133590" cy="153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-648970</wp:posOffset>
            </wp:positionV>
            <wp:extent cx="7133590" cy="153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-215265</wp:posOffset>
            </wp:positionV>
            <wp:extent cx="7133590" cy="153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90805</wp:posOffset>
            </wp:positionV>
            <wp:extent cx="17875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7"/>
                <w:szCs w:val="17"/>
                <w:color w:val="auto"/>
              </w:rPr>
            </w:pPr>
          </w:p>
        </w:tc>
        <w:tc>
          <w:tcPr>
            <w:tcW w:w="3140" w:type="dxa"/>
            <w:vAlign w:val="bottom"/>
            <w:gridSpan w:val="6"/>
            <w:vMerge w:val="restart"/>
          </w:tcPr>
          <w:p>
            <w:pPr>
              <w:jc w:val="center"/>
              <w:ind w:right="20"/>
              <w:spacing w:after="0"/>
              <w:rPr>
                <w:sz w:val="20"/>
                <w:szCs w:val="20"/>
                <w:color w:val="auto"/>
              </w:rPr>
            </w:pPr>
            <w:r>
              <w:rPr>
                <w:rFonts w:ascii="Arial" w:cs="Arial" w:eastAsia="Arial" w:hAnsi="Arial"/>
                <w:sz w:val="16"/>
                <w:szCs w:val="16"/>
                <w:b w:val="1"/>
                <w:bCs w:val="1"/>
                <w:color w:val="auto"/>
                <w:w w:val="93"/>
              </w:rPr>
              <w:t>Beneficially Owned After the Offering</w:t>
            </w:r>
          </w:p>
        </w:tc>
        <w:tc>
          <w:tcPr>
            <w:tcW w:w="0" w:type="dxa"/>
            <w:vAlign w:val="bottom"/>
          </w:tcPr>
          <w:p>
            <w:pPr>
              <w:spacing w:after="0"/>
              <w:rPr>
                <w:sz w:val="1"/>
                <w:szCs w:val="1"/>
                <w:color w:val="auto"/>
              </w:rPr>
            </w:pPr>
          </w:p>
        </w:tc>
      </w:tr>
      <w:tr>
        <w:trPr>
          <w:trHeight w:val="208"/>
        </w:trPr>
        <w:tc>
          <w:tcPr>
            <w:tcW w:w="11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7"/>
              </w:rPr>
              <w:t>Shares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Private</w:t>
            </w:r>
          </w:p>
        </w:tc>
        <w:tc>
          <w:tcPr>
            <w:tcW w:w="100" w:type="dxa"/>
            <w:vAlign w:val="bottom"/>
          </w:tcPr>
          <w:p>
            <w:pPr>
              <w:spacing w:after="0"/>
              <w:rPr>
                <w:sz w:val="18"/>
                <w:szCs w:val="18"/>
                <w:color w:val="auto"/>
              </w:rPr>
            </w:pPr>
          </w:p>
        </w:tc>
        <w:tc>
          <w:tcPr>
            <w:tcW w:w="31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Common</w:t>
            </w:r>
          </w:p>
        </w:tc>
        <w:tc>
          <w:tcPr>
            <w:tcW w:w="11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2"/>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Stock</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c>
          <w:tcPr>
            <w:tcW w:w="11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 of</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Private</w:t>
            </w:r>
          </w:p>
        </w:tc>
        <w:tc>
          <w:tcPr>
            <w:tcW w:w="0" w:type="dxa"/>
            <w:vAlign w:val="bottom"/>
          </w:tcPr>
          <w:p>
            <w:pPr>
              <w:spacing w:after="0"/>
              <w:rPr>
                <w:sz w:val="1"/>
                <w:szCs w:val="1"/>
                <w:color w:val="auto"/>
              </w:rPr>
            </w:pPr>
          </w:p>
        </w:tc>
      </w:tr>
      <w:tr>
        <w:trPr>
          <w:trHeight w:val="201"/>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Being</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Being</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1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Common</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Placement</w:t>
            </w:r>
          </w:p>
        </w:tc>
        <w:tc>
          <w:tcPr>
            <w:tcW w:w="0" w:type="dxa"/>
            <w:vAlign w:val="bottom"/>
          </w:tcPr>
          <w:p>
            <w:pPr>
              <w:spacing w:after="0"/>
              <w:rPr>
                <w:sz w:val="1"/>
                <w:szCs w:val="1"/>
                <w:color w:val="auto"/>
              </w:rPr>
            </w:pPr>
          </w:p>
        </w:tc>
      </w:tr>
      <w:tr>
        <w:trPr>
          <w:trHeight w:val="222"/>
        </w:trPr>
        <w:tc>
          <w:tcPr>
            <w:tcW w:w="98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94"/>
              </w:rPr>
              <w:t>Offered</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94"/>
              </w:rPr>
              <w:t>Offered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9"/>
                <w:szCs w:val="19"/>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5"/>
              </w:rPr>
              <w:t>Warrants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80" w:type="dxa"/>
            <w:vAlign w:val="bottom"/>
          </w:tcPr>
          <w:p>
            <w:pPr>
              <w:jc w:val="right"/>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37,946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29"/>
        </w:trPr>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156,233</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77,232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747,328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7,003</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12,500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39,529</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38,616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26,238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604,758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415,154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4,386,655</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8,926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77,232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18,111,939</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1,432,773</w:t>
            </w: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87,500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174,569</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87,500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8,926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284,640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115,848</w:t>
            </w:r>
          </w:p>
        </w:tc>
        <w:tc>
          <w:tcPr>
            <w:tcW w:w="980" w:type="dxa"/>
            <w:vAlign w:val="bottom"/>
          </w:tcPr>
          <w:p>
            <w:pPr>
              <w:jc w:val="right"/>
              <w:spacing w:after="0"/>
              <w:rPr>
                <w:sz w:val="20"/>
                <w:szCs w:val="20"/>
                <w:color w:val="auto"/>
              </w:rPr>
            </w:pPr>
            <w:r>
              <w:rPr>
                <w:rFonts w:ascii="Arial" w:cs="Arial" w:eastAsia="Arial" w:hAnsi="Arial"/>
                <w:sz w:val="16"/>
                <w:szCs w:val="16"/>
                <w:color w:val="auto"/>
              </w:rPr>
              <w:t>78,714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288,925</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288,925</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110,000</w:t>
            </w: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307,318</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375,000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73" w:lineRule="exact"/>
        <w:rPr>
          <w:sz w:val="20"/>
          <w:szCs w:val="20"/>
          <w:color w:val="auto"/>
        </w:rPr>
      </w:pPr>
    </w:p>
    <w:p>
      <w:pPr>
        <w:sectPr>
          <w:pgSz w:w="11900" w:h="16838" w:orient="portrait"/>
          <w:cols w:equalWidth="0" w:num="2">
            <w:col w:w="5620" w:space="100"/>
            <w:col w:w="5520"/>
          </w:cols>
          <w:pgMar w:left="320" w:top="890" w:right="339" w:bottom="1440" w:gutter="0" w:footer="0" w:header="0"/>
        </w:sectPr>
      </w:pPr>
    </w:p>
    <w:p>
      <w:pPr>
        <w:ind w:left="660" w:hanging="65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beneficial ownership of less than 1%.</w:t>
      </w:r>
    </w:p>
    <w:p>
      <w:pPr>
        <w:spacing w:after="0" w:line="249" w:lineRule="exact"/>
        <w:rPr>
          <w:sz w:val="20"/>
          <w:szCs w:val="20"/>
          <w:color w:val="auto"/>
        </w:rPr>
      </w:pPr>
    </w:p>
    <w:p>
      <w:pPr>
        <w:ind w:left="660" w:hanging="653"/>
        <w:spacing w:after="0" w:line="27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such number of shares of Presto Common Stock underlying the Private Placement Warrants, Financing Warrants, Trinity Warrants and penny warrants registered hereby as such warrants are currently exercisable.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8" w:name="page29"/>
    <w:bookmarkEnd w:id="28"/>
    <w:p>
      <w:pPr>
        <w:ind w:left="660" w:hanging="653"/>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Unless otherwise noted, the business address of these securityholders is c/o Presto Automation Inc., 985 Industrial Road, San Carlos, CA 94070.</w:t>
      </w:r>
    </w:p>
    <w:p>
      <w:pPr>
        <w:spacing w:after="0" w:line="271" w:lineRule="exact"/>
        <w:rPr>
          <w:rFonts w:ascii="Arial" w:cs="Arial" w:eastAsia="Arial" w:hAnsi="Arial"/>
          <w:sz w:val="16"/>
          <w:szCs w:val="16"/>
          <w:color w:val="auto"/>
        </w:rPr>
      </w:pPr>
    </w:p>
    <w:p>
      <w:pPr>
        <w:ind w:left="660" w:hanging="653"/>
        <w:spacing w:after="0" w:line="27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business address of each of these securityholders is c/o Ventoux Acquisition Holdings LLC, 1 East Putnam Avenue, Floor 4, Greenwich, CT 06830.</w:t>
      </w:r>
    </w:p>
    <w:p>
      <w:pPr>
        <w:spacing w:after="0" w:line="201" w:lineRule="exact"/>
        <w:rPr>
          <w:rFonts w:ascii="Arial" w:cs="Arial" w:eastAsia="Arial" w:hAnsi="Arial"/>
          <w:sz w:val="18"/>
          <w:szCs w:val="18"/>
          <w:color w:val="auto"/>
        </w:rPr>
      </w:pPr>
    </w:p>
    <w:p>
      <w:pPr>
        <w:ind w:left="660" w:hanging="65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business address of Acadia Woods Partners, LLC is c/o Hawkes Financial LLC, 77 Bedford Road, Katonah, NY 10536.</w:t>
      </w:r>
    </w:p>
    <w:p>
      <w:pPr>
        <w:spacing w:after="0" w:line="248" w:lineRule="exact"/>
        <w:rPr>
          <w:rFonts w:ascii="Arial" w:cs="Arial" w:eastAsia="Arial" w:hAnsi="Arial"/>
          <w:sz w:val="18"/>
          <w:szCs w:val="18"/>
          <w:color w:val="auto"/>
        </w:rPr>
      </w:pPr>
    </w:p>
    <w:p>
      <w:pPr>
        <w:ind w:left="660" w:hanging="65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business address of Aloha Partners, LLC is c/o Hawkes Financial LLC 77 Bedford Road, Omaha, NE 68127.</w:t>
      </w:r>
    </w:p>
    <w:p>
      <w:pPr>
        <w:spacing w:after="0" w:line="248" w:lineRule="exact"/>
        <w:rPr>
          <w:rFonts w:ascii="Arial" w:cs="Arial" w:eastAsia="Arial" w:hAnsi="Arial"/>
          <w:sz w:val="18"/>
          <w:szCs w:val="18"/>
          <w:color w:val="auto"/>
        </w:rPr>
      </w:pPr>
    </w:p>
    <w:p>
      <w:pPr>
        <w:jc w:val="both"/>
        <w:ind w:left="660" w:hanging="653"/>
        <w:spacing w:after="0" w:line="298"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p>
      <w:pPr>
        <w:spacing w:after="0" w:line="185" w:lineRule="exact"/>
        <w:rPr>
          <w:rFonts w:ascii="Arial" w:cs="Arial" w:eastAsia="Arial" w:hAnsi="Arial"/>
          <w:sz w:val="16"/>
          <w:szCs w:val="16"/>
          <w:color w:val="auto"/>
        </w:rPr>
      </w:pPr>
    </w:p>
    <w:p>
      <w:pPr>
        <w:ind w:left="660" w:hanging="65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business address of Cabbaj Capital Ltd. is Georgiou Katsounotou, 6, 3026, Limassol, Cyprus.</w:t>
      </w:r>
    </w:p>
    <w:p>
      <w:pPr>
        <w:spacing w:after="0" w:line="248" w:lineRule="exact"/>
        <w:rPr>
          <w:rFonts w:ascii="Arial" w:cs="Arial" w:eastAsia="Arial" w:hAnsi="Arial"/>
          <w:sz w:val="18"/>
          <w:szCs w:val="18"/>
          <w:color w:val="auto"/>
        </w:rPr>
      </w:pPr>
    </w:p>
    <w:p>
      <w:pPr>
        <w:jc w:val="both"/>
        <w:ind w:left="660" w:hanging="653"/>
        <w:spacing w:after="0" w:line="289"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191" w:lineRule="exact"/>
        <w:rPr>
          <w:rFonts w:ascii="Arial" w:cs="Arial" w:eastAsia="Arial" w:hAnsi="Arial"/>
          <w:sz w:val="16"/>
          <w:szCs w:val="16"/>
          <w:color w:val="auto"/>
        </w:rPr>
      </w:pPr>
    </w:p>
    <w:p>
      <w:pPr>
        <w:jc w:val="both"/>
        <w:ind w:left="660" w:hanging="653"/>
        <w:spacing w:after="0" w:line="28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p>
      <w:pPr>
        <w:spacing w:after="0" w:line="199" w:lineRule="exact"/>
        <w:rPr>
          <w:rFonts w:ascii="Arial" w:cs="Arial" w:eastAsia="Arial" w:hAnsi="Arial"/>
          <w:sz w:val="16"/>
          <w:szCs w:val="16"/>
          <w:color w:val="auto"/>
        </w:rPr>
      </w:pPr>
    </w:p>
    <w:p>
      <w:pPr>
        <w:jc w:val="both"/>
        <w:ind w:left="660" w:hanging="653"/>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spacing w:after="0" w:line="212" w:lineRule="exact"/>
        <w:rPr>
          <w:rFonts w:ascii="Arial" w:cs="Arial" w:eastAsia="Arial" w:hAnsi="Arial"/>
          <w:sz w:val="18"/>
          <w:szCs w:val="18"/>
          <w:color w:val="auto"/>
        </w:rPr>
      </w:pPr>
    </w:p>
    <w:p>
      <w:pPr>
        <w:ind w:left="660" w:right="20" w:hanging="653"/>
        <w:spacing w:after="0" w:line="302"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shares owned by Ventoux Acquisition Holdings LLC, for which Edward Scheetz and Matt MacDonald are the managing members and have voting and/or dispositive powers with respect to such shares. Edward Sheetz currently serves as a director of the Company.</w:t>
      </w:r>
    </w:p>
    <w:p>
      <w:pPr>
        <w:spacing w:after="0" w:line="178" w:lineRule="exact"/>
        <w:rPr>
          <w:rFonts w:ascii="Arial" w:cs="Arial" w:eastAsia="Arial" w:hAnsi="Arial"/>
          <w:sz w:val="17"/>
          <w:szCs w:val="17"/>
          <w:color w:val="auto"/>
        </w:rPr>
      </w:pPr>
    </w:p>
    <w:p>
      <w:pPr>
        <w:ind w:left="660" w:hanging="653"/>
        <w:spacing w:after="0" w:line="27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business address of White &amp; Case LLP is 1221 Avenue of the Americas New York, NY 10020. White &amp; Case LLP served as counsel to Legacy Presto in connection with the Business Combination.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9" w:name="page30"/>
    <w:bookmarkEnd w:id="29"/>
    <w:p>
      <w:pPr>
        <w:ind w:left="660" w:hanging="653"/>
        <w:spacing w:after="0" w:line="27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business address of Dentons US LLP is 233 South Wacker Drive, Suite 5900, Chicago, IL 60606. Dentons US LLP served as co-counsel to VTAQ in connection with the Business Combination.</w:t>
      </w:r>
    </w:p>
    <w:p>
      <w:pPr>
        <w:spacing w:after="0" w:line="204" w:lineRule="exact"/>
        <w:rPr>
          <w:rFonts w:ascii="Arial" w:cs="Arial" w:eastAsia="Arial" w:hAnsi="Arial"/>
          <w:sz w:val="18"/>
          <w:szCs w:val="18"/>
          <w:color w:val="auto"/>
        </w:rPr>
      </w:pPr>
    </w:p>
    <w:p>
      <w:pPr>
        <w:ind w:left="660" w:hanging="653"/>
        <w:spacing w:after="0" w:line="184" w:lineRule="auto"/>
        <w:tabs>
          <w:tab w:leader="none" w:pos="66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Woolery &amp; Co. PLLC is 1 Pier 76, 408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 New York, NY 10018. Woolery &amp; Co. PLLC served as co-counsel to VTAQ in connection with the Business Combination.</w:t>
      </w:r>
    </w:p>
    <w:p>
      <w:pPr>
        <w:spacing w:after="0" w:line="230" w:lineRule="exact"/>
        <w:rPr>
          <w:rFonts w:ascii="Arial" w:cs="Arial" w:eastAsia="Arial" w:hAnsi="Arial"/>
          <w:sz w:val="36"/>
          <w:szCs w:val="36"/>
          <w:color w:val="auto"/>
          <w:vertAlign w:val="superscript"/>
        </w:rPr>
      </w:pPr>
    </w:p>
    <w:p>
      <w:pPr>
        <w:jc w:val="both"/>
        <w:ind w:left="660" w:hanging="653"/>
        <w:spacing w:after="0" w:line="25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spacing w:after="0" w:line="218" w:lineRule="exact"/>
        <w:rPr>
          <w:rFonts w:ascii="Arial" w:cs="Arial" w:eastAsia="Arial" w:hAnsi="Arial"/>
          <w:sz w:val="18"/>
          <w:szCs w:val="18"/>
          <w:color w:val="auto"/>
        </w:rPr>
      </w:pPr>
    </w:p>
    <w:p>
      <w:pPr>
        <w:ind w:left="660" w:hanging="653"/>
        <w:spacing w:after="0" w:line="27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288,925 shares of Presto Common Stock that are subject to vesting based upon achievement of certain stock price thresholds in accordance with the terms of the Merger Agreement. VTAQ was the corporate predecessor of the Company.</w:t>
      </w:r>
    </w:p>
    <w:p>
      <w:pPr>
        <w:spacing w:after="0" w:line="201" w:lineRule="exact"/>
        <w:rPr>
          <w:rFonts w:ascii="Arial" w:cs="Arial" w:eastAsia="Arial" w:hAnsi="Arial"/>
          <w:sz w:val="18"/>
          <w:szCs w:val="18"/>
          <w:color w:val="auto"/>
        </w:rPr>
      </w:pPr>
    </w:p>
    <w:p>
      <w:pPr>
        <w:ind w:left="660" w:hanging="65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business address of Cindat USA LLC is Beijing Yintai Center, Tower C, Suite 5101, 2 Jianwai Avenue, Beijing 100022, PRC.</w:t>
      </w:r>
    </w:p>
    <w:p>
      <w:pPr>
        <w:spacing w:after="0" w:line="248" w:lineRule="exact"/>
        <w:rPr>
          <w:rFonts w:ascii="Arial" w:cs="Arial" w:eastAsia="Arial" w:hAnsi="Arial"/>
          <w:sz w:val="18"/>
          <w:szCs w:val="18"/>
          <w:color w:val="auto"/>
        </w:rPr>
      </w:pPr>
    </w:p>
    <w:p>
      <w:pPr>
        <w:ind w:left="660" w:hanging="65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business address of Greg Flynn is 225 Bush Street, Suite 1800, San Francisco, CA 94104.</w:t>
      </w:r>
    </w:p>
    <w:p>
      <w:pPr>
        <w:spacing w:after="0" w:line="226" w:lineRule="exact"/>
        <w:rPr>
          <w:rFonts w:ascii="Arial" w:cs="Arial" w:eastAsia="Arial" w:hAnsi="Arial"/>
          <w:sz w:val="18"/>
          <w:szCs w:val="18"/>
          <w:color w:val="auto"/>
        </w:rPr>
      </w:pPr>
    </w:p>
    <w:p>
      <w:pPr>
        <w:ind w:left="660" w:hanging="653"/>
        <w:spacing w:after="0"/>
        <w:tabs>
          <w:tab w:leader="none" w:pos="66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HighSage Ventures, LLC is 200 Clarendon Street, 59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04" w:lineRule="exact"/>
        <w:rPr>
          <w:rFonts w:ascii="Arial" w:cs="Arial" w:eastAsia="Arial" w:hAnsi="Arial"/>
          <w:sz w:val="36"/>
          <w:szCs w:val="36"/>
          <w:color w:val="auto"/>
          <w:vertAlign w:val="superscript"/>
        </w:rPr>
      </w:pPr>
    </w:p>
    <w:p>
      <w:pPr>
        <w:ind w:left="660" w:hanging="65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business address of Jeff Jones is 1180 NW Maple St Ste 105, Issaquah, WA 98027.</w:t>
      </w:r>
    </w:p>
    <w:p>
      <w:pPr>
        <w:spacing w:after="0" w:line="248" w:lineRule="exact"/>
        <w:rPr>
          <w:rFonts w:ascii="Arial" w:cs="Arial" w:eastAsia="Arial" w:hAnsi="Arial"/>
          <w:sz w:val="18"/>
          <w:szCs w:val="18"/>
          <w:color w:val="auto"/>
        </w:rPr>
      </w:pPr>
    </w:p>
    <w:p>
      <w:pPr>
        <w:jc w:val="both"/>
        <w:ind w:left="660" w:hanging="653"/>
        <w:spacing w:after="0" w:line="22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New York 10022. Mr. Bergstrom disclaims beneficial ownership of shares held by CEOF. CEOF is a lender under the Credit Agreement.</w:t>
      </w:r>
    </w:p>
    <w:p>
      <w:pPr>
        <w:spacing w:after="0" w:line="228" w:lineRule="exact"/>
        <w:rPr>
          <w:rFonts w:ascii="Arial" w:cs="Arial" w:eastAsia="Arial" w:hAnsi="Arial"/>
          <w:sz w:val="18"/>
          <w:szCs w:val="18"/>
          <w:color w:val="auto"/>
        </w:rPr>
      </w:pPr>
    </w:p>
    <w:p>
      <w:pPr>
        <w:jc w:val="both"/>
        <w:ind w:left="660" w:hanging="653"/>
        <w:spacing w:after="0" w:line="24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10022. Metropolitan Levered Partners Fund VII, LP, Metropolitan Partners Fund VII, LP, Metropolitan Offshore Partners Fund VII, LP are lenders under the Credit Agreement.</w:t>
      </w:r>
    </w:p>
    <w:p>
      <w:pPr>
        <w:spacing w:after="0" w:line="220" w:lineRule="exact"/>
        <w:rPr>
          <w:rFonts w:ascii="Arial" w:cs="Arial" w:eastAsia="Arial" w:hAnsi="Arial"/>
          <w:sz w:val="17"/>
          <w:szCs w:val="17"/>
          <w:color w:val="auto"/>
        </w:rPr>
      </w:pPr>
    </w:p>
    <w:p>
      <w:pPr>
        <w:jc w:val="both"/>
        <w:ind w:left="660" w:hanging="653"/>
        <w:spacing w:after="0" w:line="269"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Floor, New York, NY 10004. Chardan Capital Markets, LLC served as an advisor to Legacy Presto in connection with the Business Combination</w:t>
      </w:r>
    </w:p>
    <w:p>
      <w:pPr>
        <w:spacing w:after="0" w:line="197" w:lineRule="exact"/>
        <w:rPr>
          <w:rFonts w:ascii="Arial" w:cs="Arial" w:eastAsia="Arial" w:hAnsi="Arial"/>
          <w:sz w:val="16"/>
          <w:szCs w:val="16"/>
          <w:color w:val="auto"/>
        </w:rPr>
      </w:pPr>
    </w:p>
    <w:p>
      <w:pPr>
        <w:ind w:left="660" w:hanging="653"/>
        <w:spacing w:after="0" w:line="184" w:lineRule="auto"/>
        <w:tabs>
          <w:tab w:leader="none" w:pos="66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Jefferies LLC is 520 Madison Avenue,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10022. Jefferies LLC served as financial advisor to Legacy Presto in connection with the Business Combination.</w:t>
      </w:r>
    </w:p>
    <w:p>
      <w:pPr>
        <w:spacing w:after="0" w:line="230" w:lineRule="exact"/>
        <w:rPr>
          <w:rFonts w:ascii="Arial" w:cs="Arial" w:eastAsia="Arial" w:hAnsi="Arial"/>
          <w:sz w:val="36"/>
          <w:szCs w:val="36"/>
          <w:color w:val="auto"/>
          <w:vertAlign w:val="superscript"/>
        </w:rPr>
      </w:pPr>
    </w:p>
    <w:p>
      <w:pPr>
        <w:jc w:val="both"/>
        <w:ind w:left="660" w:hanging="653"/>
        <w:spacing w:after="0" w:line="307"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spacing w:after="0" w:line="178" w:lineRule="exact"/>
        <w:rPr>
          <w:rFonts w:ascii="Arial" w:cs="Arial" w:eastAsia="Arial" w:hAnsi="Arial"/>
          <w:sz w:val="16"/>
          <w:szCs w:val="16"/>
          <w:color w:val="auto"/>
        </w:rPr>
      </w:pPr>
    </w:p>
    <w:p>
      <w:pPr>
        <w:ind w:left="660" w:right="20" w:hanging="653"/>
        <w:spacing w:after="0" w:line="27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266,822 Earnout Shares that may be issued from time to time upon achievement of certain stock price thresholds in accordance with the terms of the Merger Agreement.</w:t>
      </w:r>
    </w:p>
    <w:p>
      <w:pPr>
        <w:spacing w:after="0" w:line="201" w:lineRule="exact"/>
        <w:rPr>
          <w:rFonts w:ascii="Arial" w:cs="Arial" w:eastAsia="Arial" w:hAnsi="Arial"/>
          <w:sz w:val="18"/>
          <w:szCs w:val="18"/>
          <w:color w:val="auto"/>
        </w:rPr>
      </w:pPr>
    </w:p>
    <w:p>
      <w:pPr>
        <w:ind w:left="660" w:hanging="653"/>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business address of Wilton Trustees (IOM) Limited ATO Dalmia Trust is Grosvenor House 66-67 Athol Street, Isle of Man IM1 IJE.</w:t>
      </w:r>
    </w:p>
    <w:p>
      <w:pPr>
        <w:spacing w:after="0" w:line="260" w:lineRule="exact"/>
        <w:rPr>
          <w:rFonts w:ascii="Arial" w:cs="Arial" w:eastAsia="Arial" w:hAnsi="Arial"/>
          <w:sz w:val="17"/>
          <w:szCs w:val="17"/>
          <w:color w:val="auto"/>
        </w:rPr>
      </w:pPr>
    </w:p>
    <w:p>
      <w:pPr>
        <w:ind w:left="660" w:hanging="65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business address of Cosme Fagundo is 711 Calle Artis San Jose, CA 95131.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0" w:name="page31"/>
    <w:bookmarkEnd w:id="30"/>
    <w:p>
      <w:pPr>
        <w:jc w:val="both"/>
        <w:ind w:left="660" w:hanging="653"/>
        <w:spacing w:after="0" w:line="25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pacing w:after="0" w:line="219" w:lineRule="exact"/>
        <w:rPr>
          <w:rFonts w:ascii="Arial" w:cs="Arial" w:eastAsia="Arial" w:hAnsi="Arial"/>
          <w:sz w:val="18"/>
          <w:szCs w:val="18"/>
          <w:color w:val="auto"/>
        </w:rPr>
      </w:pPr>
    </w:p>
    <w:p>
      <w:pPr>
        <w:ind w:left="660" w:right="20" w:hanging="653"/>
        <w:spacing w:after="0" w:line="27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otherwise noted, the shares of Common Stock to be sold pursuant to this prospectus represent June 2023 PIPE Shares held by the securityholders.</w:t>
      </w:r>
    </w:p>
    <w:p>
      <w:pPr>
        <w:spacing w:after="0" w:line="201" w:lineRule="exact"/>
        <w:rPr>
          <w:rFonts w:ascii="Arial" w:cs="Arial" w:eastAsia="Arial" w:hAnsi="Arial"/>
          <w:sz w:val="18"/>
          <w:szCs w:val="18"/>
          <w:color w:val="auto"/>
        </w:rPr>
      </w:pPr>
    </w:p>
    <w:p>
      <w:pPr>
        <w:jc w:val="both"/>
        <w:ind w:left="660" w:hanging="653"/>
        <w:spacing w:after="0" w:line="27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10036.</w:t>
      </w:r>
    </w:p>
    <w:p>
      <w:pPr>
        <w:spacing w:after="0" w:line="82" w:lineRule="exact"/>
        <w:rPr>
          <w:rFonts w:ascii="Arial" w:cs="Arial" w:eastAsia="Arial" w:hAnsi="Arial"/>
          <w:sz w:val="17"/>
          <w:szCs w:val="17"/>
          <w:color w:val="auto"/>
        </w:rPr>
      </w:pPr>
    </w:p>
    <w:p>
      <w:pPr>
        <w:jc w:val="both"/>
        <w:ind w:left="660" w:hanging="653"/>
        <w:spacing w:after="0" w:line="26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12" w:lineRule="exact"/>
        <w:rPr>
          <w:rFonts w:ascii="Arial" w:cs="Arial" w:eastAsia="Arial" w:hAnsi="Arial"/>
          <w:sz w:val="18"/>
          <w:szCs w:val="18"/>
          <w:color w:val="auto"/>
        </w:rPr>
      </w:pPr>
    </w:p>
    <w:p>
      <w:pPr>
        <w:jc w:val="both"/>
        <w:ind w:left="660" w:hanging="653"/>
        <w:spacing w:after="0" w:line="25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8" w:lineRule="exact"/>
        <w:rPr>
          <w:rFonts w:ascii="Arial" w:cs="Arial" w:eastAsia="Arial" w:hAnsi="Arial"/>
          <w:sz w:val="18"/>
          <w:szCs w:val="18"/>
          <w:color w:val="auto"/>
        </w:rPr>
      </w:pPr>
    </w:p>
    <w:p>
      <w:pPr>
        <w:ind w:left="660" w:hanging="653"/>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Prior to the Business Combination, Brock Strasbourger was the Chief Operating Officer of the Company’s corporate predecessor, VTAQ.</w:t>
      </w:r>
    </w:p>
    <w:p>
      <w:pPr>
        <w:spacing w:after="0" w:line="260" w:lineRule="exact"/>
        <w:rPr>
          <w:rFonts w:ascii="Arial" w:cs="Arial" w:eastAsia="Arial" w:hAnsi="Arial"/>
          <w:sz w:val="17"/>
          <w:szCs w:val="17"/>
          <w:color w:val="auto"/>
        </w:rPr>
      </w:pPr>
    </w:p>
    <w:p>
      <w:pPr>
        <w:ind w:left="660" w:hanging="65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the Business Combination, Julie Atkinson was a director of the Company’s corporate predecessor, VTAQ.</w:t>
      </w:r>
    </w:p>
    <w:p>
      <w:pPr>
        <w:spacing w:after="0" w:line="248" w:lineRule="exact"/>
        <w:rPr>
          <w:rFonts w:ascii="Arial" w:cs="Arial" w:eastAsia="Arial" w:hAnsi="Arial"/>
          <w:sz w:val="18"/>
          <w:szCs w:val="18"/>
          <w:color w:val="auto"/>
        </w:rPr>
      </w:pPr>
    </w:p>
    <w:p>
      <w:pPr>
        <w:ind w:left="660" w:right="20" w:hanging="653"/>
        <w:spacing w:after="0" w:line="27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the Business Combination, Matt MacDonald was the Chief Financial Officer, Secretary, and a director of the Company’s corporate predecessor, VTAQ.</w:t>
      </w:r>
    </w:p>
    <w:p>
      <w:pPr>
        <w:spacing w:after="0" w:line="201" w:lineRule="exact"/>
        <w:rPr>
          <w:rFonts w:ascii="Arial" w:cs="Arial" w:eastAsia="Arial" w:hAnsi="Arial"/>
          <w:sz w:val="18"/>
          <w:szCs w:val="18"/>
          <w:color w:val="auto"/>
        </w:rPr>
      </w:pPr>
    </w:p>
    <w:p>
      <w:pPr>
        <w:ind w:left="660" w:hanging="653"/>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Prior to the Business Combination, Prasad Phatak was the Chief Investment Officer of the Company’s corporate predecessor, VTAQ.</w:t>
      </w:r>
    </w:p>
    <w:p>
      <w:pPr>
        <w:spacing w:after="0" w:line="260" w:lineRule="exact"/>
        <w:rPr>
          <w:rFonts w:ascii="Arial" w:cs="Arial" w:eastAsia="Arial" w:hAnsi="Arial"/>
          <w:sz w:val="17"/>
          <w:szCs w:val="17"/>
          <w:color w:val="auto"/>
        </w:rPr>
      </w:pPr>
    </w:p>
    <w:p>
      <w:pPr>
        <w:ind w:left="660" w:hanging="65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the Business Combination, Chris Ahrens was a director of the Company’s corporate predecessor, VTAQ.</w:t>
      </w:r>
    </w:p>
    <w:p>
      <w:pPr>
        <w:spacing w:after="0" w:line="221" w:lineRule="exact"/>
        <w:rPr>
          <w:rFonts w:ascii="Arial" w:cs="Arial" w:eastAsia="Arial" w:hAnsi="Arial"/>
          <w:sz w:val="18"/>
          <w:szCs w:val="18"/>
          <w:color w:val="auto"/>
        </w:rPr>
      </w:pPr>
    </w:p>
    <w:p>
      <w:pPr>
        <w:ind w:left="660" w:hanging="65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business address of Trinity Capital Fund II, L.P., LLC is 2121 West Chandler Boulevard, Suite 103, Chandler, Arizona 85224.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of the proceeds from the sale of the securities by the Selling Securityholders.</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spacing w:after="0" w:line="180"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Subject to the limitations set forth in any applicable registration rights agreement, we and the Selling Securityholders may use any one or more of the following methods when selling the securities offered by this prospectus:</w:t>
      </w:r>
    </w:p>
    <w:p>
      <w:pPr>
        <w:spacing w:after="0" w:line="174" w:lineRule="exact"/>
        <w:rPr>
          <w:sz w:val="20"/>
          <w:szCs w:val="20"/>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1"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applicable exchange;</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w:t>
      </w:r>
    </w:p>
    <w:p>
      <w:pPr>
        <w:spacing w:after="0" w:line="221"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5"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directly to purchasers, including through a specific bidding, auction or other process or in privately negotiated transactions;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or</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2" w:name="page33"/>
    <w:bookmarkEnd w:id="32"/>
    <w:p>
      <w:pPr>
        <w:jc w:val="both"/>
        <w:spacing w:after="0" w:line="254"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197"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174" w:lineRule="exact"/>
        <w:rPr>
          <w:sz w:val="20"/>
          <w:szCs w:val="20"/>
          <w:color w:val="auto"/>
        </w:rPr>
      </w:pPr>
    </w:p>
    <w:p>
      <w:pPr>
        <w:ind w:left="980" w:hanging="651"/>
        <w:spacing w:after="0" w:line="302"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64">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June 30, 2023, filed with the SEC on October 11, 2023, as amended by amendment no. 1 to our Annual Report for the year ended June 30, 2023 on </w:t>
      </w:r>
      <w:hyperlink r:id="rId65">
        <w:r>
          <w:rPr>
            <w:rFonts w:ascii="Arial" w:cs="Arial" w:eastAsia="Arial" w:hAnsi="Arial"/>
            <w:sz w:val="17"/>
            <w:szCs w:val="17"/>
            <w:u w:val="single" w:color="auto"/>
            <w:color w:val="0000EE"/>
          </w:rPr>
          <w:t>Form 10-K/A</w:t>
        </w:r>
      </w:hyperlink>
      <w:r>
        <w:rPr>
          <w:rFonts w:ascii="Arial" w:cs="Arial" w:eastAsia="Arial" w:hAnsi="Arial"/>
          <w:sz w:val="17"/>
          <w:szCs w:val="17"/>
          <w:color w:val="auto"/>
        </w:rPr>
        <w:t>, filed with the SEC on October 12, 2023;</w:t>
      </w:r>
    </w:p>
    <w:p>
      <w:pPr>
        <w:spacing w:after="0" w:line="151" w:lineRule="exact"/>
        <w:rPr>
          <w:rFonts w:ascii="Arial" w:cs="Arial" w:eastAsia="Arial" w:hAnsi="Arial"/>
          <w:sz w:val="17"/>
          <w:szCs w:val="17"/>
          <w:color w:val="auto"/>
        </w:rPr>
      </w:pPr>
    </w:p>
    <w:p>
      <w:pPr>
        <w:ind w:left="980" w:hanging="651"/>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66">
        <w:r>
          <w:rPr>
            <w:rFonts w:ascii="Arial" w:cs="Arial" w:eastAsia="Arial" w:hAnsi="Arial"/>
            <w:sz w:val="17"/>
            <w:szCs w:val="17"/>
            <w:u w:val="single" w:color="auto"/>
            <w:color w:val="0000EE"/>
          </w:rPr>
          <w:t>August 2, 2023</w:t>
        </w:r>
      </w:hyperlink>
      <w:r>
        <w:rPr>
          <w:rFonts w:ascii="Arial" w:cs="Arial" w:eastAsia="Arial" w:hAnsi="Arial"/>
          <w:sz w:val="17"/>
          <w:szCs w:val="17"/>
          <w:color w:val="auto"/>
        </w:rPr>
        <w:t xml:space="preserve">, </w:t>
      </w:r>
      <w:hyperlink r:id="rId67">
        <w:r>
          <w:rPr>
            <w:rFonts w:ascii="Arial" w:cs="Arial" w:eastAsia="Arial" w:hAnsi="Arial"/>
            <w:sz w:val="17"/>
            <w:szCs w:val="17"/>
            <w:u w:val="single" w:color="auto"/>
            <w:color w:val="0000EE"/>
          </w:rPr>
          <w:t>August 31, 2023</w:t>
        </w:r>
      </w:hyperlink>
      <w:r>
        <w:rPr>
          <w:rFonts w:ascii="Arial" w:cs="Arial" w:eastAsia="Arial" w:hAnsi="Arial"/>
          <w:sz w:val="17"/>
          <w:szCs w:val="17"/>
          <w:color w:val="auto"/>
        </w:rPr>
        <w:t xml:space="preserve">, </w:t>
      </w:r>
      <w:hyperlink r:id="rId68">
        <w:r>
          <w:rPr>
            <w:rFonts w:ascii="Arial" w:cs="Arial" w:eastAsia="Arial" w:hAnsi="Arial"/>
            <w:sz w:val="17"/>
            <w:szCs w:val="17"/>
            <w:u w:val="single" w:color="auto"/>
            <w:color w:val="0000EE"/>
          </w:rPr>
          <w:t>October 11, 2023</w:t>
        </w:r>
      </w:hyperlink>
      <w:r>
        <w:rPr>
          <w:rFonts w:ascii="Arial" w:cs="Arial" w:eastAsia="Arial" w:hAnsi="Arial"/>
          <w:sz w:val="17"/>
          <w:szCs w:val="17"/>
          <w:color w:val="auto"/>
        </w:rPr>
        <w:t xml:space="preserve">, and </w:t>
      </w:r>
      <w:hyperlink r:id="rId69">
        <w:r>
          <w:rPr>
            <w:rFonts w:ascii="Arial" w:cs="Arial" w:eastAsia="Arial" w:hAnsi="Arial"/>
            <w:sz w:val="17"/>
            <w:szCs w:val="17"/>
            <w:u w:val="single" w:color="auto"/>
            <w:color w:val="0000EE"/>
          </w:rPr>
          <w:t>October 20, 2023</w:t>
        </w:r>
      </w:hyperlink>
      <w:r>
        <w:rPr>
          <w:rFonts w:ascii="Arial" w:cs="Arial" w:eastAsia="Arial" w:hAnsi="Arial"/>
          <w:sz w:val="17"/>
          <w:szCs w:val="17"/>
          <w:color w:val="auto"/>
        </w:rPr>
        <w:t>; and</w:t>
      </w:r>
    </w:p>
    <w:p>
      <w:pPr>
        <w:spacing w:after="0" w:line="233" w:lineRule="exact"/>
        <w:rPr>
          <w:rFonts w:ascii="Arial" w:cs="Arial" w:eastAsia="Arial" w:hAnsi="Arial"/>
          <w:sz w:val="17"/>
          <w:szCs w:val="17"/>
          <w:color w:val="auto"/>
        </w:rPr>
      </w:pPr>
    </w:p>
    <w:p>
      <w:pPr>
        <w:jc w:val="both"/>
        <w:ind w:left="980" w:hanging="651"/>
        <w:spacing w:after="0" w:line="26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description of our capital stock contained in our registration statement on </w:t>
      </w:r>
      <w:hyperlink r:id="rId7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001-39830) filed on December 23, 2020, and any amendments or reports filed for the purposes of updating this description (including </w:t>
      </w:r>
      <w:hyperlink r:id="rId71">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for the year ended June 30, 2023).</w:t>
      </w:r>
    </w:p>
    <w:p>
      <w:pPr>
        <w:spacing w:after="0" w:line="185" w:lineRule="exact"/>
        <w:rPr>
          <w:rFonts w:ascii="Arial" w:cs="Arial" w:eastAsia="Arial" w:hAnsi="Arial"/>
          <w:sz w:val="18"/>
          <w:szCs w:val="18"/>
          <w:color w:val="auto"/>
        </w:rPr>
      </w:pPr>
    </w:p>
    <w:p>
      <w:pPr>
        <w:jc w:val="both"/>
        <w:spacing w:after="0" w:line="276" w:lineRule="auto"/>
        <w:rPr>
          <w:sz w:val="20"/>
          <w:szCs w:val="20"/>
          <w:color w:val="auto"/>
        </w:rPr>
      </w:pPr>
      <w:r>
        <w:rPr>
          <w:rFonts w:ascii="Arial" w:cs="Arial" w:eastAsia="Arial" w:hAnsi="Arial"/>
          <w:sz w:val="17"/>
          <w:szCs w:val="17"/>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73" w:lineRule="exact"/>
        <w:rPr>
          <w:rFonts w:ascii="Arial" w:cs="Arial" w:eastAsia="Arial" w:hAnsi="Arial"/>
          <w:sz w:val="18"/>
          <w:szCs w:val="18"/>
          <w:color w:val="auto"/>
        </w:rPr>
      </w:pPr>
    </w:p>
    <w:p>
      <w:pPr>
        <w:jc w:val="center"/>
        <w:ind w:right="360"/>
        <w:spacing w:after="0"/>
        <w:rPr>
          <w:sz w:val="20"/>
          <w:szCs w:val="20"/>
          <w:color w:val="auto"/>
        </w:rPr>
      </w:pPr>
      <w:r>
        <w:rPr>
          <w:rFonts w:ascii="Arial" w:cs="Arial" w:eastAsia="Arial" w:hAnsi="Arial"/>
          <w:sz w:val="16"/>
          <w:szCs w:val="16"/>
          <w:color w:val="auto"/>
        </w:rPr>
        <w:t>You may request a free copy of any of the documents incorporated by reference in this prospectus by writing or telephoning us at the following address:</w:t>
      </w:r>
    </w:p>
    <w:p>
      <w:pPr>
        <w:spacing w:after="0" w:line="24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Presto Automation Inc.</w:t>
      </w:r>
    </w:p>
    <w:p>
      <w:pPr>
        <w:spacing w:after="0" w:line="2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985 Industrial Road</w:t>
      </w:r>
    </w:p>
    <w:p>
      <w:pPr>
        <w:spacing w:after="0" w:line="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 Carlos, CA 94070</w:t>
      </w:r>
    </w:p>
    <w:p>
      <w:pPr>
        <w:spacing w:after="0" w:line="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Telephone: (650) 817-9012</w:t>
      </w:r>
    </w:p>
    <w:p>
      <w:pPr>
        <w:spacing w:after="0" w:line="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Xavier Casanova</w:t>
      </w:r>
    </w:p>
    <w:p>
      <w:pPr>
        <w:spacing w:after="0" w:line="209" w:lineRule="exact"/>
        <w:rPr>
          <w:rFonts w:ascii="Arial" w:cs="Arial" w:eastAsia="Arial" w:hAnsi="Arial"/>
          <w:sz w:val="18"/>
          <w:szCs w:val="18"/>
          <w:color w:val="auto"/>
        </w:rPr>
      </w:pPr>
    </w:p>
    <w:p>
      <w:pPr>
        <w:jc w:val="both"/>
        <w:spacing w:after="0" w:line="272"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7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INDEMNIFICATION FOR SECURITIES ACT LIABILITIES</w:t>
      </w:r>
    </w:p>
    <w:p>
      <w:pPr>
        <w:spacing w:after="0" w:line="226" w:lineRule="exact"/>
        <w:rPr>
          <w:rFonts w:ascii="Arial" w:cs="Arial" w:eastAsia="Arial" w:hAnsi="Arial"/>
          <w:sz w:val="18"/>
          <w:szCs w:val="18"/>
          <w:color w:val="auto"/>
        </w:rPr>
      </w:pPr>
    </w:p>
    <w:p>
      <w:pPr>
        <w:jc w:val="both"/>
        <w:spacing w:after="0" w:line="260"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40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Presto Automation Inc.</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Primary Offering of</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$75,000,000 of</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16,823,660 Shares of Common Stock Issuable Upon Exercise of Outstanding Warrants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Secondary Offering of</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52,709,824 Shares of Common Stock</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7,625,000 Warrants to Purchase Shares of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1667510</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22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the estimated expenses expected to be borne by the registrant in connection with the securities being registered hereby, other than underwriting discounts and commissions. All of the amounts are estimates, other than the SEC registration fee and the FINRA filing fee. The amounts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53,815.08(1)</w:t>
            </w:r>
          </w:p>
        </w:tc>
      </w:tr>
      <w:tr>
        <w:trPr>
          <w:trHeight w:val="214"/>
        </w:trPr>
        <w:tc>
          <w:tcPr>
            <w:tcW w:w="99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4"/>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Financial Industry Regulatory Authority (FINRA) filing fee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14"/>
        </w:trPr>
        <w:tc>
          <w:tcPr>
            <w:tcW w:w="99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48"/>
        </w:trPr>
        <w:tc>
          <w:tcPr>
            <w:tcW w:w="9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printing and miscellaneous expenses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5"/>
        </w:trPr>
        <w:tc>
          <w:tcPr>
            <w:tcW w:w="99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17875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247" w:lineRule="exact"/>
        <w:rPr>
          <w:sz w:val="20"/>
          <w:szCs w:val="20"/>
          <w:color w:val="auto"/>
        </w:rPr>
      </w:pPr>
    </w:p>
    <w:p>
      <w:pPr>
        <w:ind w:left="660" w:hanging="653"/>
        <w:spacing w:after="0" w:line="27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estimated amounts of fees and expenses to be incurred in connection with any offering of securities pursuant to this registration statement will be determined from time to time and reflected in the applicable prospectus supplement.</w:t>
      </w:r>
    </w:p>
    <w:p>
      <w:pPr>
        <w:spacing w:after="0" w:line="174" w:lineRule="exact"/>
        <w:rPr>
          <w:sz w:val="20"/>
          <w:szCs w:val="20"/>
          <w:color w:val="auto"/>
        </w:rPr>
      </w:pPr>
    </w:p>
    <w:p>
      <w:pPr>
        <w:ind w:left="660" w:hanging="653"/>
        <w:spacing w:after="0" w:line="27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$41,996.58 of the SEC registration fee has been offset against fees previously paid with respect to a prior registration statement pursuant to Rule 457(p) under the Securities Act of 1933, as amended (see Exhibit 107 to this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7" w:name="page38"/>
    <w:bookmarkEnd w:id="37"/>
    <w:p>
      <w:pPr>
        <w:jc w:val="both"/>
        <w:spacing w:after="0" w:line="267" w:lineRule="auto"/>
        <w:rPr>
          <w:sz w:val="20"/>
          <w:szCs w:val="20"/>
          <w:color w:val="auto"/>
        </w:rPr>
      </w:pPr>
      <w:r>
        <w:rPr>
          <w:rFonts w:ascii="Arial" w:cs="Arial" w:eastAsia="Arial" w:hAnsi="Arial"/>
          <w:sz w:val="17"/>
          <w:szCs w:val="17"/>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102(b)(7) of the DGCL provides that a corporation’s Certificate of Incorporation may contain a provision eliminating or limiting the personal liability of a director to the corporation or its stockholders 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Additionally, our Certificate of Incorporation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16. Exhibits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gridSpan w:val="2"/>
          </w:tcPr>
          <w:p>
            <w:pPr>
              <w:spacing w:after="0"/>
              <w:rPr>
                <w:sz w:val="20"/>
                <w:szCs w:val="20"/>
                <w:color w:val="auto"/>
              </w:rPr>
            </w:pPr>
            <w:r>
              <w:rPr>
                <w:rFonts w:ascii="Arial" w:cs="Arial" w:eastAsia="Arial" w:hAnsi="Arial"/>
                <w:sz w:val="18"/>
                <w:szCs w:val="18"/>
                <w:color w:val="auto"/>
              </w:rPr>
              <w:t>(a) Exhibits</w:t>
            </w: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gridSpan w:val="8"/>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w:t>
            </w:r>
          </w:p>
        </w:tc>
        <w:tc>
          <w:tcPr>
            <w:tcW w:w="10100" w:type="dxa"/>
            <w:vAlign w:val="bottom"/>
            <w:tcBorders>
              <w:top w:val="single" w:sz="8" w:color="auto"/>
            </w:tcBorders>
            <w:gridSpan w:val="8"/>
            <w:shd w:val="clear" w:color="auto" w:fill="CCEEFF"/>
          </w:tcPr>
          <w:p>
            <w:pPr>
              <w:spacing w:after="0"/>
              <w:rPr>
                <w:sz w:val="20"/>
                <w:szCs w:val="20"/>
                <w:color w:val="auto"/>
              </w:rPr>
            </w:pPr>
            <w:r>
              <w:rPr>
                <w:rFonts w:ascii="Arial" w:cs="Arial" w:eastAsia="Arial" w:hAnsi="Arial"/>
                <w:sz w:val="18"/>
                <w:szCs w:val="18"/>
                <w:color w:val="auto"/>
              </w:rPr>
              <w:t>Form of Underwriting Agreement for Securities Offered Hereby.</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2.1</w:t>
            </w:r>
          </w:p>
        </w:tc>
        <w:tc>
          <w:tcPr>
            <w:tcW w:w="10100" w:type="dxa"/>
            <w:vAlign w:val="bottom"/>
            <w:tcBorders>
              <w:bottom w:val="single" w:sz="8" w:color="0000EE"/>
            </w:tcBorders>
            <w:gridSpan w:val="8"/>
            <w:shd w:val="clear" w:color="auto" w:fill="CCEEFF"/>
          </w:tcPr>
          <w:p>
            <w:pPr>
              <w:spacing w:after="0" w:line="175" w:lineRule="exact"/>
              <w:rPr>
                <w:rFonts w:ascii="Arial" w:cs="Arial" w:eastAsia="Arial" w:hAnsi="Arial"/>
                <w:sz w:val="18"/>
                <w:szCs w:val="18"/>
                <w:color w:val="0000EE"/>
                <w:w w:val="89"/>
              </w:rPr>
            </w:pPr>
            <w:hyperlink r:id="rId77">
              <w:r>
                <w:rPr>
                  <w:rFonts w:ascii="Arial" w:cs="Arial" w:eastAsia="Arial" w:hAnsi="Arial"/>
                  <w:sz w:val="18"/>
                  <w:szCs w:val="18"/>
                  <w:color w:val="0000EE"/>
                  <w:w w:val="89"/>
                </w:rPr>
                <w:t>Merger Agreement, dated as of November 10, 2021, by and among VTAQ, Ventoux Merger Sub I, Ventoux Merger Sub II and Legacy Presto</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5" w:lineRule="exact"/>
              <w:rPr>
                <w:rFonts w:ascii="Arial" w:cs="Arial" w:eastAsia="Arial" w:hAnsi="Arial"/>
                <w:sz w:val="18"/>
                <w:szCs w:val="18"/>
                <w:color w:val="0000EE"/>
              </w:rPr>
            </w:pPr>
            <w:hyperlink r:id="rId77">
              <w:r>
                <w:rPr>
                  <w:rFonts w:ascii="Arial" w:cs="Arial" w:eastAsia="Arial" w:hAnsi="Arial"/>
                  <w:sz w:val="18"/>
                  <w:szCs w:val="18"/>
                  <w:color w:val="0000EE"/>
                </w:rPr>
                <w:t>(incorporated by reference to Exhibit 2.1 to the Current Report on Form 8-K filed on November 10, 2021).</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720" w:type="dxa"/>
            <w:vAlign w:val="bottom"/>
            <w:tcBorders>
              <w:top w:val="single" w:sz="8" w:color="0000EE"/>
            </w:tcBorders>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2.2</w:t>
            </w:r>
          </w:p>
        </w:tc>
        <w:tc>
          <w:tcPr>
            <w:tcW w:w="10100" w:type="dxa"/>
            <w:vAlign w:val="bottom"/>
            <w:tcBorders>
              <w:bottom w:val="single" w:sz="8" w:color="0000EE"/>
            </w:tcBorders>
            <w:gridSpan w:val="8"/>
            <w:shd w:val="clear" w:color="auto" w:fill="CCEEFF"/>
          </w:tcPr>
          <w:p>
            <w:pPr>
              <w:spacing w:after="0" w:line="175"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Amendment No. 1 to Merger Agreement, dated as of April 1, 2022, by and among VTAQ, Ventoux Merger Sub I, Ventoux Merger Sub II</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5" w:lineRule="exact"/>
              <w:rPr>
                <w:rFonts w:ascii="Arial" w:cs="Arial" w:eastAsia="Arial" w:hAnsi="Arial"/>
                <w:sz w:val="18"/>
                <w:szCs w:val="18"/>
                <w:color w:val="0000EE"/>
              </w:rPr>
            </w:pPr>
            <w:hyperlink r:id="rId78">
              <w:r>
                <w:rPr>
                  <w:rFonts w:ascii="Arial" w:cs="Arial" w:eastAsia="Arial" w:hAnsi="Arial"/>
                  <w:sz w:val="18"/>
                  <w:szCs w:val="18"/>
                  <w:color w:val="0000EE"/>
                </w:rPr>
                <w:t>and Presto (incorporated by reference to Exhibit 2.1 to the Current Report on Form 8-K filed on April 4, 2022).</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720" w:type="dxa"/>
            <w:vAlign w:val="bottom"/>
            <w:tcBorders>
              <w:top w:val="single" w:sz="8" w:color="0000EE"/>
            </w:tcBorders>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2.2</w:t>
            </w:r>
          </w:p>
        </w:tc>
        <w:tc>
          <w:tcPr>
            <w:tcW w:w="10100" w:type="dxa"/>
            <w:vAlign w:val="bottom"/>
            <w:tcBorders>
              <w:bottom w:val="single" w:sz="8" w:color="0000EE"/>
            </w:tcBorders>
            <w:gridSpan w:val="8"/>
            <w:shd w:val="clear" w:color="auto" w:fill="CCEEFF"/>
          </w:tcPr>
          <w:p>
            <w:pPr>
              <w:spacing w:after="0" w:line="175"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Amendment No. 2 to Merger Agreement, dated as of July 25, 2022, by and among VTAQ, Ventoux Merger Sub I, Ventoux Merger Sub II</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5" w:lineRule="exact"/>
              <w:rPr>
                <w:rFonts w:ascii="Arial" w:cs="Arial" w:eastAsia="Arial" w:hAnsi="Arial"/>
                <w:sz w:val="18"/>
                <w:szCs w:val="18"/>
                <w:color w:val="0000EE"/>
              </w:rPr>
            </w:pPr>
            <w:hyperlink r:id="rId79">
              <w:r>
                <w:rPr>
                  <w:rFonts w:ascii="Arial" w:cs="Arial" w:eastAsia="Arial" w:hAnsi="Arial"/>
                  <w:sz w:val="18"/>
                  <w:szCs w:val="18"/>
                  <w:color w:val="0000EE"/>
                </w:rPr>
                <w:t>and Presto (incorporated by reference to Exhibit 2.1 to the Current Report on Form 8-K filed on July 26, 2022).</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720" w:type="dxa"/>
            <w:vAlign w:val="bottom"/>
            <w:tcBorders>
              <w:top w:val="single" w:sz="8" w:color="0000EE"/>
            </w:tcBorders>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01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Form of Preferred Stock Certificate.</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4.2+</w:t>
            </w:r>
          </w:p>
        </w:tc>
        <w:tc>
          <w:tcPr>
            <w:tcW w:w="10100" w:type="dxa"/>
            <w:vAlign w:val="bottom"/>
            <w:gridSpan w:val="8"/>
            <w:shd w:val="clear" w:color="auto" w:fill="CCEEFF"/>
          </w:tcPr>
          <w:p>
            <w:pPr>
              <w:spacing w:after="0" w:line="175" w:lineRule="exact"/>
              <w:rPr>
                <w:sz w:val="20"/>
                <w:szCs w:val="20"/>
                <w:color w:val="auto"/>
              </w:rPr>
            </w:pPr>
            <w:r>
              <w:rPr>
                <w:rFonts w:ascii="Arial" w:cs="Arial" w:eastAsia="Arial" w:hAnsi="Arial"/>
                <w:sz w:val="18"/>
                <w:szCs w:val="18"/>
                <w:color w:val="0000EE"/>
              </w:rPr>
              <w:t>Form of Indenture Relating to the Company’s Debt Securities.</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720" w:type="dxa"/>
            <w:vAlign w:val="bottom"/>
            <w:tcBorders>
              <w:top w:val="single" w:sz="8" w:color="0000EE"/>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101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Form of Debt Security.</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101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101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101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Form of Rights Certificate.</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4.7*</w:t>
            </w:r>
          </w:p>
        </w:tc>
        <w:tc>
          <w:tcPr>
            <w:tcW w:w="101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Form of Rights Agreement.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101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Form of Unit Certificate.</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101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4.10</w:t>
            </w:r>
          </w:p>
        </w:tc>
        <w:tc>
          <w:tcPr>
            <w:tcW w:w="10100" w:type="dxa"/>
            <w:vAlign w:val="bottom"/>
            <w:tcBorders>
              <w:bottom w:val="single" w:sz="8" w:color="0000EE"/>
            </w:tcBorders>
            <w:gridSpan w:val="8"/>
            <w:shd w:val="clear" w:color="auto" w:fill="CCEEFF"/>
          </w:tcPr>
          <w:p>
            <w:pPr>
              <w:spacing w:after="0" w:line="175"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Second Amended &amp; Restated Certificate of Incorporation (incorporated by reference to Exhibit 3.1 to the Current Report on Form 8-K filed</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5" w:lineRule="exact"/>
              <w:rPr>
                <w:rFonts w:ascii="Arial" w:cs="Arial" w:eastAsia="Arial" w:hAnsi="Arial"/>
                <w:sz w:val="18"/>
                <w:szCs w:val="18"/>
                <w:color w:val="0000EE"/>
              </w:rPr>
            </w:pPr>
            <w:hyperlink r:id="rId80">
              <w:r>
                <w:rPr>
                  <w:rFonts w:ascii="Arial" w:cs="Arial" w:eastAsia="Arial" w:hAnsi="Arial"/>
                  <w:sz w:val="18"/>
                  <w:szCs w:val="18"/>
                  <w:color w:val="0000EE"/>
                </w:rPr>
                <w:t>on September 27, 2022).</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4.11</w:t>
            </w:r>
          </w:p>
        </w:tc>
        <w:tc>
          <w:tcPr>
            <w:tcW w:w="10100" w:type="dxa"/>
            <w:vAlign w:val="bottom"/>
            <w:tcBorders>
              <w:bottom w:val="single" w:sz="8" w:color="0000EE"/>
            </w:tcBorders>
            <w:gridSpan w:val="8"/>
            <w:shd w:val="clear" w:color="auto" w:fill="CCEEFF"/>
          </w:tcPr>
          <w:p>
            <w:pPr>
              <w:spacing w:after="0" w:line="175" w:lineRule="exact"/>
              <w:rPr>
                <w:rFonts w:ascii="Arial" w:cs="Arial" w:eastAsia="Arial" w:hAnsi="Arial"/>
                <w:sz w:val="18"/>
                <w:szCs w:val="18"/>
                <w:color w:val="0000EE"/>
                <w:w w:val="95"/>
              </w:rPr>
            </w:pPr>
            <w:hyperlink r:id="rId81">
              <w:r>
                <w:rPr>
                  <w:rFonts w:ascii="Arial" w:cs="Arial" w:eastAsia="Arial" w:hAnsi="Arial"/>
                  <w:sz w:val="18"/>
                  <w:szCs w:val="18"/>
                  <w:color w:val="0000EE"/>
                  <w:w w:val="95"/>
                </w:rPr>
                <w:t>Bylaws of Presto Automation Inc. (incorporated by reference to Exhibit 3.2 to the Current Report on Form 8-K filed on September 27,</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line="195" w:lineRule="exact"/>
              <w:rPr>
                <w:rFonts w:ascii="Arial" w:cs="Arial" w:eastAsia="Arial" w:hAnsi="Arial"/>
                <w:sz w:val="18"/>
                <w:szCs w:val="18"/>
                <w:color w:val="0000EE"/>
              </w:rPr>
            </w:pPr>
            <w:hyperlink r:id="rId81">
              <w:r>
                <w:rPr>
                  <w:rFonts w:ascii="Arial" w:cs="Arial" w:eastAsia="Arial" w:hAnsi="Arial"/>
                  <w:sz w:val="18"/>
                  <w:szCs w:val="18"/>
                  <w:color w:val="0000EE"/>
                </w:rPr>
                <w:t>2022).</w:t>
              </w:r>
            </w:hyperlink>
          </w:p>
        </w:tc>
        <w:tc>
          <w:tcPr>
            <w:tcW w:w="27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4.12</w:t>
            </w:r>
          </w:p>
        </w:tc>
        <w:tc>
          <w:tcPr>
            <w:tcW w:w="10100" w:type="dxa"/>
            <w:vAlign w:val="bottom"/>
            <w:gridSpan w:val="8"/>
            <w:shd w:val="clear" w:color="auto" w:fill="CCEEFF"/>
          </w:tcPr>
          <w:p>
            <w:pPr>
              <w:spacing w:after="0" w:line="175"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Amended &amp; Restated Warrant Agreement dated as of September 21, 2022, by and among, New Presto, the Sponsors and Continental Stock</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7"/>
            <w:shd w:val="clear" w:color="auto" w:fill="CCEEFF"/>
          </w:tcPr>
          <w:p>
            <w:pPr>
              <w:spacing w:after="0" w:line="195" w:lineRule="exact"/>
              <w:rPr>
                <w:rFonts w:ascii="Arial" w:cs="Arial" w:eastAsia="Arial" w:hAnsi="Arial"/>
                <w:sz w:val="18"/>
                <w:szCs w:val="18"/>
                <w:color w:val="0000EE"/>
                <w:w w:val="94"/>
              </w:rPr>
            </w:pPr>
            <w:hyperlink r:id="rId82">
              <w:r>
                <w:rPr>
                  <w:rFonts w:ascii="Arial" w:cs="Arial" w:eastAsia="Arial" w:hAnsi="Arial"/>
                  <w:sz w:val="18"/>
                  <w:szCs w:val="18"/>
                  <w:color w:val="0000EE"/>
                  <w:w w:val="94"/>
                </w:rPr>
                <w:t>Transfer &amp; Trust Company (incorporated by reference to Exhibit 10.3 to the Current Report on Form 8-K filed on September 27, 2022).</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720" w:type="dxa"/>
            <w:vAlign w:val="bottom"/>
            <w:tcBorders>
              <w:top w:val="single" w:sz="8" w:color="0000EE"/>
            </w:tcBorders>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4.13</w:t>
            </w:r>
          </w:p>
        </w:tc>
        <w:tc>
          <w:tcPr>
            <w:tcW w:w="10100" w:type="dxa"/>
            <w:vAlign w:val="bottom"/>
            <w:tcBorders>
              <w:bottom w:val="single" w:sz="8" w:color="0000EE"/>
            </w:tcBorders>
            <w:gridSpan w:val="8"/>
            <w:shd w:val="clear" w:color="auto" w:fill="CCEEFF"/>
          </w:tcPr>
          <w:p>
            <w:pPr>
              <w:spacing w:after="0" w:line="175"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Amended &amp; Restated Registration Rights Agreement dated as of September 21, 2022, by and among New Presto, the Sponsors, Cleveland</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100" w:type="dxa"/>
            <w:vAlign w:val="bottom"/>
            <w:tcBorders>
              <w:bottom w:val="single" w:sz="8" w:color="0000EE"/>
            </w:tcBorders>
            <w:gridSpan w:val="8"/>
            <w:shd w:val="clear" w:color="auto" w:fill="CCEEFF"/>
          </w:tcPr>
          <w:p>
            <w:pPr>
              <w:spacing w:after="0" w:line="195"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Avenue, VTAQ’s officers and directors, Metropolitan and certain Legacy Presto stockholders (incorporated by reference to Exhibit 10.2 to</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100" w:type="dxa"/>
            <w:vAlign w:val="bottom"/>
            <w:gridSpan w:val="8"/>
            <w:shd w:val="clear" w:color="auto" w:fill="CCEEFF"/>
          </w:tcPr>
          <w:p>
            <w:pPr>
              <w:spacing w:after="0" w:line="195" w:lineRule="exact"/>
              <w:rPr>
                <w:rFonts w:ascii="Arial" w:cs="Arial" w:eastAsia="Arial" w:hAnsi="Arial"/>
                <w:sz w:val="18"/>
                <w:szCs w:val="18"/>
                <w:color w:val="0000EE"/>
              </w:rPr>
            </w:pPr>
            <w:hyperlink r:id="rId83">
              <w:r>
                <w:rPr>
                  <w:rFonts w:ascii="Arial" w:cs="Arial" w:eastAsia="Arial" w:hAnsi="Arial"/>
                  <w:sz w:val="18"/>
                  <w:szCs w:val="18"/>
                  <w:color w:val="0000EE"/>
                </w:rPr>
                <w:t>the Current Report on Form 8-K filed on September 27, 2022).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2720" w:type="dxa"/>
            <w:vAlign w:val="bottom"/>
            <w:tcBorders>
              <w:top w:val="single" w:sz="8" w:color="0000EE"/>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4.14</w:t>
            </w:r>
          </w:p>
        </w:tc>
        <w:tc>
          <w:tcPr>
            <w:tcW w:w="1010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Amended &amp; Restated Cleveland Avenue Subscription Agreement, dated as of July 25, 2022, by and between VTAQ and Presto CA, LLC</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5" w:lineRule="exact"/>
              <w:rPr>
                <w:rFonts w:ascii="Arial" w:cs="Arial" w:eastAsia="Arial" w:hAnsi="Arial"/>
                <w:sz w:val="18"/>
                <w:szCs w:val="18"/>
                <w:color w:val="0000EE"/>
              </w:rPr>
            </w:pPr>
            <w:hyperlink r:id="rId85">
              <w:r>
                <w:rPr>
                  <w:rFonts w:ascii="Arial" w:cs="Arial" w:eastAsia="Arial" w:hAnsi="Arial"/>
                  <w:sz w:val="18"/>
                  <w:szCs w:val="18"/>
                  <w:color w:val="0000EE"/>
                </w:rPr>
                <w:t>(incorporated by reference to Exhibit 10.2 to the Current Report on Form 8-K filed on July 26, 2022).</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4.15</w:t>
            </w:r>
          </w:p>
        </w:tc>
        <w:tc>
          <w:tcPr>
            <w:tcW w:w="10100" w:type="dxa"/>
            <w:vAlign w:val="bottom"/>
            <w:tcBorders>
              <w:bottom w:val="single" w:sz="8" w:color="0000EE"/>
            </w:tcBorders>
            <w:gridSpan w:val="12"/>
            <w:shd w:val="clear" w:color="auto" w:fill="CCEEFF"/>
          </w:tcPr>
          <w:p>
            <w:pPr>
              <w:spacing w:after="0" w:line="175"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Form of Amended &amp; Restated Equity Subscription Agreement (incorporated by reference to Exhibit 10.3 to the Current Report on Form 8-K</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5" w:lineRule="exact"/>
              <w:rPr>
                <w:rFonts w:ascii="Arial" w:cs="Arial" w:eastAsia="Arial" w:hAnsi="Arial"/>
                <w:sz w:val="18"/>
                <w:szCs w:val="18"/>
                <w:color w:val="0000EE"/>
              </w:rPr>
            </w:pPr>
            <w:hyperlink r:id="rId86">
              <w:r>
                <w:rPr>
                  <w:rFonts w:ascii="Arial" w:cs="Arial" w:eastAsia="Arial" w:hAnsi="Arial"/>
                  <w:sz w:val="18"/>
                  <w:szCs w:val="18"/>
                  <w:color w:val="0000EE"/>
                </w:rPr>
                <w:t>filed on July 26, 2022).</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4.16</w:t>
            </w:r>
          </w:p>
        </w:tc>
        <w:tc>
          <w:tcPr>
            <w:tcW w:w="10100" w:type="dxa"/>
            <w:vAlign w:val="bottom"/>
            <w:gridSpan w:val="12"/>
            <w:shd w:val="clear" w:color="auto" w:fill="CCEEFF"/>
          </w:tcPr>
          <w:p>
            <w:pPr>
              <w:spacing w:after="0" w:line="175"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Warrant to Purchase Common Stock, dated March 31, 2023, by and between Presto Automation Inc. and Metropolitan Levered Partners</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1"/>
            <w:shd w:val="clear" w:color="auto" w:fill="CCEEFF"/>
          </w:tcPr>
          <w:p>
            <w:pPr>
              <w:spacing w:after="0" w:line="195" w:lineRule="exact"/>
              <w:rPr>
                <w:rFonts w:ascii="Arial" w:cs="Arial" w:eastAsia="Arial" w:hAnsi="Arial"/>
                <w:sz w:val="18"/>
                <w:szCs w:val="18"/>
                <w:color w:val="0000EE"/>
              </w:rPr>
            </w:pPr>
            <w:hyperlink r:id="rId87">
              <w:r>
                <w:rPr>
                  <w:rFonts w:ascii="Arial" w:cs="Arial" w:eastAsia="Arial" w:hAnsi="Arial"/>
                  <w:sz w:val="18"/>
                  <w:szCs w:val="18"/>
                  <w:color w:val="0000EE"/>
                </w:rPr>
                <w:t>Fund VII, LP (incorporated by reference to Exhibit 10.3 to the Current Report on Form 8-K filed on April 6, 2023).</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4.17</w:t>
            </w:r>
          </w:p>
        </w:tc>
        <w:tc>
          <w:tcPr>
            <w:tcW w:w="10100" w:type="dxa"/>
            <w:vAlign w:val="bottom"/>
            <w:tcBorders>
              <w:bottom w:val="single" w:sz="8" w:color="0000EE"/>
            </w:tcBorders>
            <w:gridSpan w:val="12"/>
            <w:shd w:val="clear" w:color="auto" w:fill="CCEEFF"/>
          </w:tcPr>
          <w:p>
            <w:pPr>
              <w:spacing w:after="0" w:line="175"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Warrant to Purchase Common Stock, dated March 31, 2023, by and between Presto Automation Inc. and Metropolitan Partners Fund VII, LP</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5" w:lineRule="exact"/>
              <w:rPr>
                <w:rFonts w:ascii="Arial" w:cs="Arial" w:eastAsia="Arial" w:hAnsi="Arial"/>
                <w:sz w:val="18"/>
                <w:szCs w:val="18"/>
                <w:color w:val="0000EE"/>
              </w:rPr>
            </w:pPr>
            <w:hyperlink r:id="rId88">
              <w:r>
                <w:rPr>
                  <w:rFonts w:ascii="Arial" w:cs="Arial" w:eastAsia="Arial" w:hAnsi="Arial"/>
                  <w:sz w:val="18"/>
                  <w:szCs w:val="18"/>
                  <w:color w:val="0000EE"/>
                </w:rPr>
                <w:t>(incorporated by reference to Exhibit 10.4 to the Current Report on Form 8-K filed on April 6, 2023).</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4.18</w:t>
            </w:r>
          </w:p>
        </w:tc>
        <w:tc>
          <w:tcPr>
            <w:tcW w:w="10100" w:type="dxa"/>
            <w:vAlign w:val="bottom"/>
            <w:tcBorders>
              <w:bottom w:val="single" w:sz="8" w:color="0000EE"/>
            </w:tcBorders>
            <w:gridSpan w:val="12"/>
            <w:shd w:val="clear" w:color="auto" w:fill="CCEEFF"/>
          </w:tcPr>
          <w:p>
            <w:pPr>
              <w:spacing w:after="0" w:line="175"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Warrant to Purchase Common Stock, dated March 31, 2023, by and between Presto Automation Inc. and Metropolitan Offshore Partners</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5" w:lineRule="exact"/>
              <w:rPr>
                <w:rFonts w:ascii="Arial" w:cs="Arial" w:eastAsia="Arial" w:hAnsi="Arial"/>
                <w:sz w:val="18"/>
                <w:szCs w:val="18"/>
                <w:color w:val="0000EE"/>
              </w:rPr>
            </w:pPr>
            <w:hyperlink r:id="rId89">
              <w:r>
                <w:rPr>
                  <w:rFonts w:ascii="Arial" w:cs="Arial" w:eastAsia="Arial" w:hAnsi="Arial"/>
                  <w:sz w:val="18"/>
                  <w:szCs w:val="18"/>
                  <w:color w:val="0000EE"/>
                </w:rPr>
                <w:t>Fund VII, LP (incorporated by reference to Exhibit 10.5 to the Current Report on Form 8-K filed on April 6, 2023).</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4.19</w:t>
            </w:r>
          </w:p>
        </w:tc>
        <w:tc>
          <w:tcPr>
            <w:tcW w:w="10100" w:type="dxa"/>
            <w:vAlign w:val="bottom"/>
            <w:gridSpan w:val="12"/>
            <w:shd w:val="clear" w:color="auto" w:fill="CCEEFF"/>
          </w:tcPr>
          <w:p>
            <w:pPr>
              <w:spacing w:after="0" w:line="175"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Warrant to Purchase Common Stock, dated March 31, 2023, by and between Presto Automation Inc. and CEOF Holdings, LP (incorporated</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1"/>
            <w:shd w:val="clear" w:color="auto" w:fill="CCEEFF"/>
          </w:tcPr>
          <w:p>
            <w:pPr>
              <w:spacing w:after="0" w:line="195" w:lineRule="exact"/>
              <w:rPr>
                <w:rFonts w:ascii="Arial" w:cs="Arial" w:eastAsia="Arial" w:hAnsi="Arial"/>
                <w:sz w:val="18"/>
                <w:szCs w:val="18"/>
                <w:color w:val="0000EE"/>
              </w:rPr>
            </w:pPr>
            <w:hyperlink r:id="rId90">
              <w:r>
                <w:rPr>
                  <w:rFonts w:ascii="Arial" w:cs="Arial" w:eastAsia="Arial" w:hAnsi="Arial"/>
                  <w:sz w:val="18"/>
                  <w:szCs w:val="18"/>
                  <w:color w:val="0000EE"/>
                </w:rPr>
                <w:t>by reference to Exhibit 10.6 to the Current Report on Form 8-K filed on April 6, 2023).</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4.20</w:t>
            </w:r>
          </w:p>
        </w:tc>
        <w:tc>
          <w:tcPr>
            <w:tcW w:w="10100" w:type="dxa"/>
            <w:vAlign w:val="bottom"/>
            <w:tcBorders>
              <w:bottom w:val="single" w:sz="8" w:color="0000EE"/>
            </w:tcBorders>
            <w:gridSpan w:val="12"/>
            <w:shd w:val="clear" w:color="auto" w:fill="CCEEFF"/>
          </w:tcPr>
          <w:p>
            <w:pPr>
              <w:spacing w:after="0" w:line="175" w:lineRule="exact"/>
              <w:rPr>
                <w:rFonts w:ascii="Arial" w:cs="Arial" w:eastAsia="Arial" w:hAnsi="Arial"/>
                <w:sz w:val="18"/>
                <w:szCs w:val="18"/>
                <w:color w:val="0000EE"/>
                <w:w w:val="95"/>
              </w:rPr>
            </w:pPr>
            <w:hyperlink r:id="rId91">
              <w:r>
                <w:rPr>
                  <w:rFonts w:ascii="Arial" w:cs="Arial" w:eastAsia="Arial" w:hAnsi="Arial"/>
                  <w:sz w:val="18"/>
                  <w:szCs w:val="18"/>
                  <w:color w:val="0000EE"/>
                  <w:w w:val="95"/>
                </w:rPr>
                <w:t>Registration Rights Agreement, dated as of March 31, 2023, by and among Presto Automation Inc. and certain persons listed therein</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5" w:lineRule="exact"/>
              <w:rPr>
                <w:rFonts w:ascii="Arial" w:cs="Arial" w:eastAsia="Arial" w:hAnsi="Arial"/>
                <w:sz w:val="18"/>
                <w:szCs w:val="18"/>
                <w:color w:val="0000EE"/>
              </w:rPr>
            </w:pPr>
            <w:hyperlink r:id="rId91">
              <w:r>
                <w:rPr>
                  <w:rFonts w:ascii="Arial" w:cs="Arial" w:eastAsia="Arial" w:hAnsi="Arial"/>
                  <w:sz w:val="18"/>
                  <w:szCs w:val="18"/>
                  <w:color w:val="0000EE"/>
                </w:rPr>
                <w:t>(incorporated by reference to Exhibit 10.7 to the Current Report on Form 8-K filed on April 6, 2023).</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4.21</w:t>
            </w:r>
          </w:p>
        </w:tc>
        <w:tc>
          <w:tcPr>
            <w:tcW w:w="10100" w:type="dxa"/>
            <w:vAlign w:val="bottom"/>
            <w:tcBorders>
              <w:bottom w:val="single" w:sz="8" w:color="0000EE"/>
            </w:tcBorders>
            <w:gridSpan w:val="12"/>
            <w:shd w:val="clear" w:color="auto" w:fill="CCEEFF"/>
          </w:tcPr>
          <w:p>
            <w:pPr>
              <w:spacing w:after="0" w:line="175" w:lineRule="exact"/>
              <w:rPr>
                <w:rFonts w:ascii="Arial" w:cs="Arial" w:eastAsia="Arial" w:hAnsi="Arial"/>
                <w:sz w:val="18"/>
                <w:szCs w:val="18"/>
                <w:color w:val="0000EE"/>
                <w:w w:val="89"/>
              </w:rPr>
            </w:pPr>
            <w:hyperlink r:id="rId92">
              <w:r>
                <w:rPr>
                  <w:rFonts w:ascii="Arial" w:cs="Arial" w:eastAsia="Arial" w:hAnsi="Arial"/>
                  <w:sz w:val="18"/>
                  <w:szCs w:val="18"/>
                  <w:color w:val="0000EE"/>
                  <w:w w:val="89"/>
                </w:rPr>
                <w:t>Form of Securities Purchase Agreement, dated May 22, 2023, by an among Presto Automation Inc. and each purchaser listed in the signature</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5" w:lineRule="exact"/>
              <w:rPr>
                <w:rFonts w:ascii="Arial" w:cs="Arial" w:eastAsia="Arial" w:hAnsi="Arial"/>
                <w:sz w:val="18"/>
                <w:szCs w:val="18"/>
                <w:color w:val="0000EE"/>
              </w:rPr>
            </w:pPr>
            <w:hyperlink r:id="rId92">
              <w:r>
                <w:rPr>
                  <w:rFonts w:ascii="Arial" w:cs="Arial" w:eastAsia="Arial" w:hAnsi="Arial"/>
                  <w:sz w:val="18"/>
                  <w:szCs w:val="18"/>
                  <w:color w:val="0000EE"/>
                </w:rPr>
                <w:t>page thereto (incorporated by reference to Exhibit 10.1 to the Current Report on Form 8-K filed on May 22, 2023).</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4.22</w:t>
            </w:r>
          </w:p>
        </w:tc>
        <w:tc>
          <w:tcPr>
            <w:tcW w:w="10100" w:type="dxa"/>
            <w:vAlign w:val="bottom"/>
            <w:tcBorders>
              <w:bottom w:val="single" w:sz="8" w:color="0000EE"/>
            </w:tcBorders>
            <w:gridSpan w:val="12"/>
            <w:shd w:val="clear" w:color="auto" w:fill="CCEEFF"/>
          </w:tcPr>
          <w:p>
            <w:pPr>
              <w:spacing w:after="0" w:line="175"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Form of Registration Rights Agreement, dated as of May 22, 2023, by and among Presto Automation Inc. and certain persons listed therein</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5" w:lineRule="exact"/>
              <w:rPr>
                <w:rFonts w:ascii="Arial" w:cs="Arial" w:eastAsia="Arial" w:hAnsi="Arial"/>
                <w:sz w:val="18"/>
                <w:szCs w:val="18"/>
                <w:color w:val="0000EE"/>
              </w:rPr>
            </w:pPr>
            <w:hyperlink r:id="rId93">
              <w:r>
                <w:rPr>
                  <w:rFonts w:ascii="Arial" w:cs="Arial" w:eastAsia="Arial" w:hAnsi="Arial"/>
                  <w:sz w:val="18"/>
                  <w:szCs w:val="18"/>
                  <w:color w:val="0000EE"/>
                </w:rPr>
                <w:t>(incorporated by reference to Exhibit 10.2 to the Current Report on Form 8-K filed on May 22, 2023).</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4.23</w:t>
            </w:r>
          </w:p>
        </w:tc>
        <w:tc>
          <w:tcPr>
            <w:tcW w:w="10100" w:type="dxa"/>
            <w:vAlign w:val="bottom"/>
            <w:tcBorders>
              <w:bottom w:val="single" w:sz="8" w:color="0000EE"/>
            </w:tcBorders>
            <w:gridSpan w:val="12"/>
            <w:shd w:val="clear" w:color="auto" w:fill="CCEEFF"/>
          </w:tcPr>
          <w:p>
            <w:pPr>
              <w:spacing w:after="0" w:line="175"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Warrant to Purchase Common Stock, dated May 22, 2023, by and between Presto Automation Inc. and Metropolitan Levered Partners Fund</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5" w:lineRule="exact"/>
              <w:rPr>
                <w:rFonts w:ascii="Arial" w:cs="Arial" w:eastAsia="Arial" w:hAnsi="Arial"/>
                <w:sz w:val="18"/>
                <w:szCs w:val="18"/>
                <w:color w:val="0000EE"/>
              </w:rPr>
            </w:pPr>
            <w:hyperlink r:id="rId94">
              <w:r>
                <w:rPr>
                  <w:rFonts w:ascii="Arial" w:cs="Arial" w:eastAsia="Arial" w:hAnsi="Arial"/>
                  <w:sz w:val="18"/>
                  <w:szCs w:val="18"/>
                  <w:color w:val="0000EE"/>
                </w:rPr>
                <w:t>VII, LP (incorporated by reference to Exhibit 10.5 to the Current Report on Form 8-K filed on May 22, 2023).</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4.24</w:t>
            </w:r>
          </w:p>
        </w:tc>
        <w:tc>
          <w:tcPr>
            <w:tcW w:w="10100" w:type="dxa"/>
            <w:vAlign w:val="bottom"/>
            <w:tcBorders>
              <w:bottom w:val="single" w:sz="8" w:color="0000EE"/>
            </w:tcBorders>
            <w:gridSpan w:val="12"/>
            <w:shd w:val="clear" w:color="auto" w:fill="CCEEFF"/>
          </w:tcPr>
          <w:p>
            <w:pPr>
              <w:spacing w:after="0" w:line="175"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Warrant to Purchase Common Stock, dated May 22, 2023, by and between Presto Automation Inc. and Metropolitan Partners Fund VII, LP</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5" w:lineRule="exact"/>
              <w:rPr>
                <w:rFonts w:ascii="Arial" w:cs="Arial" w:eastAsia="Arial" w:hAnsi="Arial"/>
                <w:sz w:val="18"/>
                <w:szCs w:val="18"/>
                <w:color w:val="0000EE"/>
              </w:rPr>
            </w:pPr>
            <w:hyperlink r:id="rId95">
              <w:r>
                <w:rPr>
                  <w:rFonts w:ascii="Arial" w:cs="Arial" w:eastAsia="Arial" w:hAnsi="Arial"/>
                  <w:sz w:val="18"/>
                  <w:szCs w:val="18"/>
                  <w:color w:val="0000EE"/>
                </w:rPr>
                <w:t>(incorporated by reference to Exhibit 10.6 to the Current Report on Form 8-K filed on May 22, 2023).</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4.25</w:t>
            </w:r>
          </w:p>
        </w:tc>
        <w:tc>
          <w:tcPr>
            <w:tcW w:w="10100" w:type="dxa"/>
            <w:vAlign w:val="bottom"/>
            <w:tcBorders>
              <w:bottom w:val="single" w:sz="8" w:color="0000EE"/>
            </w:tcBorders>
            <w:gridSpan w:val="12"/>
            <w:shd w:val="clear" w:color="auto" w:fill="CCEEFF"/>
          </w:tcPr>
          <w:p>
            <w:pPr>
              <w:spacing w:after="0" w:line="175"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Warrant to Purchase Common Stock, dated May 22, 2023, by and between Presto Automation Inc. and Metropolitan Offshore Partners Fund</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5" w:lineRule="exact"/>
              <w:rPr>
                <w:rFonts w:ascii="Arial" w:cs="Arial" w:eastAsia="Arial" w:hAnsi="Arial"/>
                <w:sz w:val="18"/>
                <w:szCs w:val="18"/>
                <w:color w:val="0000EE"/>
              </w:rPr>
            </w:pPr>
            <w:hyperlink r:id="rId96">
              <w:r>
                <w:rPr>
                  <w:rFonts w:ascii="Arial" w:cs="Arial" w:eastAsia="Arial" w:hAnsi="Arial"/>
                  <w:sz w:val="18"/>
                  <w:szCs w:val="18"/>
                  <w:color w:val="0000EE"/>
                </w:rPr>
                <w:t>VII, LP (incorporated by reference to Exhibit 10.7 to the Current Report on Form 8-K filed on May 22, 2023).</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4.26</w:t>
            </w:r>
          </w:p>
        </w:tc>
        <w:tc>
          <w:tcPr>
            <w:tcW w:w="10100" w:type="dxa"/>
            <w:vAlign w:val="bottom"/>
            <w:tcBorders>
              <w:bottom w:val="single" w:sz="8" w:color="0000EE"/>
            </w:tcBorders>
            <w:gridSpan w:val="12"/>
            <w:shd w:val="clear" w:color="auto" w:fill="CCEEFF"/>
          </w:tcPr>
          <w:p>
            <w:pPr>
              <w:spacing w:after="0" w:line="175"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Warrant to Purchase Common Stock, dated May 22, 2023, by and between Presto Automation Inc. and CEOF Holdings, LP (incorporated by</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5" w:lineRule="exact"/>
              <w:rPr>
                <w:rFonts w:ascii="Arial" w:cs="Arial" w:eastAsia="Arial" w:hAnsi="Arial"/>
                <w:sz w:val="18"/>
                <w:szCs w:val="18"/>
                <w:color w:val="0000EE"/>
              </w:rPr>
            </w:pPr>
            <w:hyperlink r:id="rId97">
              <w:r>
                <w:rPr>
                  <w:rFonts w:ascii="Arial" w:cs="Arial" w:eastAsia="Arial" w:hAnsi="Arial"/>
                  <w:sz w:val="18"/>
                  <w:szCs w:val="18"/>
                  <w:color w:val="0000EE"/>
                </w:rPr>
                <w:t>reference to Exhibit 10.8 to the Current Report on Form 8-K filed on May 22, 2023).</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1"/>
              <w:spacing w:after="0" w:line="175" w:lineRule="exact"/>
              <w:rPr>
                <w:sz w:val="20"/>
                <w:szCs w:val="20"/>
                <w:color w:val="auto"/>
              </w:rPr>
            </w:pPr>
            <w:r>
              <w:rPr>
                <w:rFonts w:ascii="Arial" w:cs="Arial" w:eastAsia="Arial" w:hAnsi="Arial"/>
                <w:sz w:val="18"/>
                <w:szCs w:val="18"/>
                <w:color w:val="auto"/>
                <w:w w:val="79"/>
              </w:rPr>
              <w:t>4.27</w:t>
            </w:r>
          </w:p>
        </w:tc>
        <w:tc>
          <w:tcPr>
            <w:tcW w:w="10100" w:type="dxa"/>
            <w:vAlign w:val="bottom"/>
            <w:tcBorders>
              <w:bottom w:val="single" w:sz="8" w:color="0000EE"/>
            </w:tcBorders>
            <w:gridSpan w:val="12"/>
            <w:shd w:val="clear" w:color="auto" w:fill="CCEEFF"/>
          </w:tcPr>
          <w:p>
            <w:pPr>
              <w:spacing w:after="0" w:line="175" w:lineRule="exact"/>
              <w:rPr>
                <w:rFonts w:ascii="Arial" w:cs="Arial" w:eastAsia="Arial" w:hAnsi="Arial"/>
                <w:sz w:val="18"/>
                <w:szCs w:val="18"/>
                <w:color w:val="0000EE"/>
                <w:w w:val="95"/>
              </w:rPr>
            </w:pPr>
            <w:hyperlink r:id="rId98">
              <w:r>
                <w:rPr>
                  <w:rFonts w:ascii="Arial" w:cs="Arial" w:eastAsia="Arial" w:hAnsi="Arial"/>
                  <w:sz w:val="18"/>
                  <w:szCs w:val="18"/>
                  <w:color w:val="0000EE"/>
                  <w:w w:val="95"/>
                </w:rPr>
                <w:t>Securities Purchase Agreement, dated as of October 10, 2023, between Presto Automation Inc. and Presto CA LLC (incorporated by</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100" w:type="dxa"/>
            <w:vAlign w:val="bottom"/>
            <w:gridSpan w:val="12"/>
            <w:shd w:val="clear" w:color="auto" w:fill="CCEEFF"/>
          </w:tcPr>
          <w:p>
            <w:pPr>
              <w:spacing w:after="0" w:line="195" w:lineRule="exact"/>
              <w:rPr>
                <w:rFonts w:ascii="Arial" w:cs="Arial" w:eastAsia="Arial" w:hAnsi="Arial"/>
                <w:sz w:val="18"/>
                <w:szCs w:val="18"/>
                <w:color w:val="0000EE"/>
              </w:rPr>
            </w:pPr>
            <w:hyperlink r:id="rId98">
              <w:r>
                <w:rPr>
                  <w:rFonts w:ascii="Arial" w:cs="Arial" w:eastAsia="Arial" w:hAnsi="Arial"/>
                  <w:sz w:val="18"/>
                  <w:szCs w:val="18"/>
                  <w:color w:val="0000EE"/>
                </w:rPr>
                <w:t>reference to Exhibit 10.1 to the Current Report on Form 8-K filed on October 11, 2023).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4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4.28</w:t>
            </w:r>
          </w:p>
        </w:tc>
        <w:tc>
          <w:tcPr>
            <w:tcW w:w="1010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Warrant to Purchase Common Stock, dated October 10, 2023, by and between Presto Automation Inc. and Metropolitan Levered Partners</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5" w:lineRule="exact"/>
              <w:rPr>
                <w:rFonts w:ascii="Arial" w:cs="Arial" w:eastAsia="Arial" w:hAnsi="Arial"/>
                <w:sz w:val="18"/>
                <w:szCs w:val="18"/>
                <w:color w:val="0000EE"/>
              </w:rPr>
            </w:pPr>
            <w:hyperlink r:id="rId100">
              <w:r>
                <w:rPr>
                  <w:rFonts w:ascii="Arial" w:cs="Arial" w:eastAsia="Arial" w:hAnsi="Arial"/>
                  <w:sz w:val="18"/>
                  <w:szCs w:val="18"/>
                  <w:color w:val="0000EE"/>
                </w:rPr>
                <w:t>Fund VII, LP (incorporated by reference to Exhibit 10.8 to the Current Report on Form 8-K filed on October 11, 2023).</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4.29</w:t>
            </w:r>
          </w:p>
        </w:tc>
        <w:tc>
          <w:tcPr>
            <w:tcW w:w="10100" w:type="dxa"/>
            <w:vAlign w:val="bottom"/>
            <w:gridSpan w:val="16"/>
            <w:shd w:val="clear" w:color="auto" w:fill="CCEEFF"/>
          </w:tcPr>
          <w:p>
            <w:pPr>
              <w:spacing w:after="0" w:line="175"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Warrant to Purchase Common Stock, dated October 10, 2023, by and between Presto Automation Inc. and Metropolitan Partners Fund VII,</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5"/>
            <w:shd w:val="clear" w:color="auto" w:fill="CCEEFF"/>
          </w:tcPr>
          <w:p>
            <w:pPr>
              <w:spacing w:after="0" w:line="195" w:lineRule="exact"/>
              <w:rPr>
                <w:rFonts w:ascii="Arial" w:cs="Arial" w:eastAsia="Arial" w:hAnsi="Arial"/>
                <w:sz w:val="18"/>
                <w:szCs w:val="18"/>
                <w:color w:val="0000EE"/>
              </w:rPr>
            </w:pPr>
            <w:hyperlink r:id="rId101">
              <w:r>
                <w:rPr>
                  <w:rFonts w:ascii="Arial" w:cs="Arial" w:eastAsia="Arial" w:hAnsi="Arial"/>
                  <w:sz w:val="18"/>
                  <w:szCs w:val="18"/>
                  <w:color w:val="0000EE"/>
                </w:rPr>
                <w:t>LP (incorporated by reference to Exhibit 10.9 to the Current Report on Form 8-K filed on October 11, 2023).</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4.30</w:t>
            </w:r>
          </w:p>
        </w:tc>
        <w:tc>
          <w:tcPr>
            <w:tcW w:w="10100" w:type="dxa"/>
            <w:vAlign w:val="bottom"/>
            <w:tcBorders>
              <w:bottom w:val="single" w:sz="8" w:color="0000EE"/>
            </w:tcBorders>
            <w:gridSpan w:val="16"/>
            <w:shd w:val="clear" w:color="auto" w:fill="CCEEFF"/>
          </w:tcPr>
          <w:p>
            <w:pPr>
              <w:spacing w:after="0" w:line="175"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Warrant to Purchase Common Stock, dated October 10, 2023, by and between Presto Automation Inc. and Metropolitan Offshore Partners</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5" w:lineRule="exact"/>
              <w:rPr>
                <w:rFonts w:ascii="Arial" w:cs="Arial" w:eastAsia="Arial" w:hAnsi="Arial"/>
                <w:sz w:val="18"/>
                <w:szCs w:val="18"/>
                <w:color w:val="0000EE"/>
              </w:rPr>
            </w:pPr>
            <w:hyperlink r:id="rId102">
              <w:r>
                <w:rPr>
                  <w:rFonts w:ascii="Arial" w:cs="Arial" w:eastAsia="Arial" w:hAnsi="Arial"/>
                  <w:sz w:val="18"/>
                  <w:szCs w:val="18"/>
                  <w:color w:val="0000EE"/>
                </w:rPr>
                <w:t>Fund VII, LP (incorporated by reference to Exhibit 10.10 to the Current Report on Form 8-K filed on October 11, 2023).</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4.31</w:t>
            </w:r>
          </w:p>
        </w:tc>
        <w:tc>
          <w:tcPr>
            <w:tcW w:w="10100" w:type="dxa"/>
            <w:vAlign w:val="bottom"/>
            <w:tcBorders>
              <w:bottom w:val="single" w:sz="8" w:color="0000EE"/>
            </w:tcBorders>
            <w:gridSpan w:val="16"/>
            <w:shd w:val="clear" w:color="auto" w:fill="CCEEFF"/>
          </w:tcPr>
          <w:p>
            <w:pPr>
              <w:spacing w:after="0" w:line="175"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Warrant to Purchase Common Stock, dated October 10, 2023, by and between Presto Automation Inc. and CEOF Holdings, LP (incorporated</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5" w:lineRule="exact"/>
              <w:rPr>
                <w:rFonts w:ascii="Arial" w:cs="Arial" w:eastAsia="Arial" w:hAnsi="Arial"/>
                <w:sz w:val="18"/>
                <w:szCs w:val="18"/>
                <w:color w:val="0000EE"/>
              </w:rPr>
            </w:pPr>
            <w:hyperlink r:id="rId103">
              <w:r>
                <w:rPr>
                  <w:rFonts w:ascii="Arial" w:cs="Arial" w:eastAsia="Arial" w:hAnsi="Arial"/>
                  <w:sz w:val="18"/>
                  <w:szCs w:val="18"/>
                  <w:color w:val="0000EE"/>
                </w:rPr>
                <w:t>by reference to Exhibit 10.11 to the Current Report on Form 8-K filed on October 11, 2023).</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4.32+</w:t>
            </w:r>
          </w:p>
        </w:tc>
        <w:tc>
          <w:tcPr>
            <w:tcW w:w="10100" w:type="dxa"/>
            <w:vAlign w:val="bottom"/>
            <w:tcBorders>
              <w:bottom w:val="single" w:sz="8" w:color="0000EE"/>
            </w:tcBorders>
            <w:gridSpan w:val="16"/>
            <w:shd w:val="clear" w:color="auto" w:fill="CCEEFF"/>
          </w:tcPr>
          <w:p>
            <w:pPr>
              <w:spacing w:after="0" w:line="175" w:lineRule="exact"/>
              <w:rPr>
                <w:sz w:val="20"/>
                <w:szCs w:val="20"/>
                <w:color w:val="auto"/>
              </w:rPr>
            </w:pPr>
            <w:r>
              <w:rPr>
                <w:rFonts w:ascii="Arial" w:cs="Arial" w:eastAsia="Arial" w:hAnsi="Arial"/>
                <w:sz w:val="18"/>
                <w:szCs w:val="18"/>
                <w:color w:val="0000EE"/>
                <w:w w:val="98"/>
              </w:rPr>
              <w:t>Warrant to Purchase Common Stock (Conversion Warrant), dated October 17, 2023, by and between Presto Automation Inc. and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5" w:lineRule="exact"/>
              <w:rPr>
                <w:sz w:val="20"/>
                <w:szCs w:val="20"/>
                <w:color w:val="auto"/>
              </w:rPr>
            </w:pPr>
            <w:r>
              <w:rPr>
                <w:rFonts w:ascii="Arial" w:cs="Arial" w:eastAsia="Arial" w:hAnsi="Arial"/>
                <w:sz w:val="18"/>
                <w:szCs w:val="18"/>
                <w:color w:val="0000EE"/>
              </w:rPr>
              <w:t>Metropolitan Levered Partners Fund VII, LP.</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4.33+</w:t>
            </w:r>
          </w:p>
        </w:tc>
        <w:tc>
          <w:tcPr>
            <w:tcW w:w="10100" w:type="dxa"/>
            <w:vAlign w:val="bottom"/>
            <w:tcBorders>
              <w:bottom w:val="single" w:sz="8" w:color="0000EE"/>
            </w:tcBorders>
            <w:gridSpan w:val="16"/>
            <w:shd w:val="clear" w:color="auto" w:fill="CCEEFF"/>
          </w:tcPr>
          <w:p>
            <w:pPr>
              <w:spacing w:after="0" w:line="175" w:lineRule="exact"/>
              <w:rPr>
                <w:sz w:val="20"/>
                <w:szCs w:val="20"/>
                <w:color w:val="auto"/>
              </w:rPr>
            </w:pPr>
            <w:r>
              <w:rPr>
                <w:rFonts w:ascii="Arial" w:cs="Arial" w:eastAsia="Arial" w:hAnsi="Arial"/>
                <w:sz w:val="18"/>
                <w:szCs w:val="18"/>
                <w:color w:val="0000EE"/>
                <w:w w:val="98"/>
              </w:rPr>
              <w:t>Warrant to Purchase Common Stock (Conversion Warrant), dated October 17, 2023, by and between Presto Automation Inc. and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5" w:lineRule="exact"/>
              <w:rPr>
                <w:sz w:val="20"/>
                <w:szCs w:val="20"/>
                <w:color w:val="auto"/>
              </w:rPr>
            </w:pPr>
            <w:r>
              <w:rPr>
                <w:rFonts w:ascii="Arial" w:cs="Arial" w:eastAsia="Arial" w:hAnsi="Arial"/>
                <w:sz w:val="18"/>
                <w:szCs w:val="18"/>
                <w:color w:val="0000EE"/>
              </w:rPr>
              <w:t>Metropolitan Partners Fund VII, LP.</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4.34+</w:t>
            </w:r>
          </w:p>
        </w:tc>
        <w:tc>
          <w:tcPr>
            <w:tcW w:w="10100" w:type="dxa"/>
            <w:vAlign w:val="bottom"/>
            <w:tcBorders>
              <w:bottom w:val="single" w:sz="8" w:color="0000EE"/>
            </w:tcBorders>
            <w:gridSpan w:val="16"/>
            <w:shd w:val="clear" w:color="auto" w:fill="CCEEFF"/>
          </w:tcPr>
          <w:p>
            <w:pPr>
              <w:spacing w:after="0" w:line="175" w:lineRule="exact"/>
              <w:rPr>
                <w:sz w:val="20"/>
                <w:szCs w:val="20"/>
                <w:color w:val="auto"/>
              </w:rPr>
            </w:pPr>
            <w:r>
              <w:rPr>
                <w:rFonts w:ascii="Arial" w:cs="Arial" w:eastAsia="Arial" w:hAnsi="Arial"/>
                <w:sz w:val="18"/>
                <w:szCs w:val="18"/>
                <w:color w:val="0000EE"/>
                <w:w w:val="98"/>
              </w:rPr>
              <w:t>Warrant to Purchase Common Stock (Conversion Warrant), dated October 17, 2023, by and between Presto Automation Inc. and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5" w:lineRule="exact"/>
              <w:rPr>
                <w:sz w:val="20"/>
                <w:szCs w:val="20"/>
                <w:color w:val="auto"/>
              </w:rPr>
            </w:pPr>
            <w:r>
              <w:rPr>
                <w:rFonts w:ascii="Arial" w:cs="Arial" w:eastAsia="Arial" w:hAnsi="Arial"/>
                <w:sz w:val="18"/>
                <w:szCs w:val="18"/>
                <w:color w:val="0000EE"/>
              </w:rPr>
              <w:t>Metropolitan Offshore Partners Fund VII, LP.</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4.35+</w:t>
            </w:r>
          </w:p>
        </w:tc>
        <w:tc>
          <w:tcPr>
            <w:tcW w:w="10100" w:type="dxa"/>
            <w:vAlign w:val="bottom"/>
            <w:tcBorders>
              <w:bottom w:val="single" w:sz="8" w:color="0000EE"/>
            </w:tcBorders>
            <w:gridSpan w:val="16"/>
            <w:shd w:val="clear" w:color="auto" w:fill="CCEEFF"/>
          </w:tcPr>
          <w:p>
            <w:pPr>
              <w:spacing w:after="0" w:line="175" w:lineRule="exact"/>
              <w:rPr>
                <w:sz w:val="20"/>
                <w:szCs w:val="20"/>
                <w:color w:val="auto"/>
              </w:rPr>
            </w:pPr>
            <w:r>
              <w:rPr>
                <w:rFonts w:ascii="Arial" w:cs="Arial" w:eastAsia="Arial" w:hAnsi="Arial"/>
                <w:sz w:val="18"/>
                <w:szCs w:val="18"/>
                <w:color w:val="0000EE"/>
                <w:w w:val="93"/>
              </w:rPr>
              <w:t>Warrant to Purchase Common Stock (Conversion Warrant), dated October 17, 2023 by and between Presto Automation Inc. and CEOF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5" w:lineRule="exact"/>
              <w:rPr>
                <w:sz w:val="20"/>
                <w:szCs w:val="20"/>
                <w:color w:val="auto"/>
              </w:rPr>
            </w:pPr>
            <w:r>
              <w:rPr>
                <w:rFonts w:ascii="Arial" w:cs="Arial" w:eastAsia="Arial" w:hAnsi="Arial"/>
                <w:sz w:val="18"/>
                <w:szCs w:val="18"/>
                <w:color w:val="0000EE"/>
              </w:rPr>
              <w:t>Holdings, LP.</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4.36+</w:t>
            </w:r>
          </w:p>
        </w:tc>
        <w:tc>
          <w:tcPr>
            <w:tcW w:w="10100" w:type="dxa"/>
            <w:vAlign w:val="bottom"/>
            <w:gridSpan w:val="16"/>
            <w:shd w:val="clear" w:color="auto" w:fill="CCEEFF"/>
          </w:tcPr>
          <w:p>
            <w:pPr>
              <w:spacing w:after="0" w:line="175" w:lineRule="exact"/>
              <w:rPr>
                <w:sz w:val="20"/>
                <w:szCs w:val="20"/>
                <w:color w:val="auto"/>
              </w:rPr>
            </w:pPr>
            <w:r>
              <w:rPr>
                <w:rFonts w:ascii="Arial" w:cs="Arial" w:eastAsia="Arial" w:hAnsi="Arial"/>
                <w:sz w:val="18"/>
                <w:szCs w:val="18"/>
                <w:color w:val="0000EE"/>
                <w:w w:val="93"/>
              </w:rPr>
              <w:t>Registration Rights Agreement, dated as of October 17, 2023, by and among Presto Automation Inc. and certain persons listed therein.</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5.1+</w:t>
            </w:r>
          </w:p>
        </w:tc>
        <w:tc>
          <w:tcPr>
            <w:tcW w:w="10100" w:type="dxa"/>
            <w:vAlign w:val="bottom"/>
            <w:gridSpan w:val="16"/>
            <w:shd w:val="clear" w:color="auto" w:fill="CCEEFF"/>
          </w:tcPr>
          <w:p>
            <w:pPr>
              <w:spacing w:after="0" w:line="175" w:lineRule="exact"/>
              <w:rPr>
                <w:sz w:val="20"/>
                <w:szCs w:val="20"/>
                <w:color w:val="auto"/>
              </w:rPr>
            </w:pPr>
            <w:r>
              <w:rPr>
                <w:rFonts w:ascii="Arial" w:cs="Arial" w:eastAsia="Arial" w:hAnsi="Arial"/>
                <w:sz w:val="18"/>
                <w:szCs w:val="18"/>
                <w:color w:val="0000EE"/>
              </w:rPr>
              <w:t>Opinion of White &amp; Case LLP.</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23.1+</w:t>
            </w:r>
          </w:p>
        </w:tc>
        <w:tc>
          <w:tcPr>
            <w:tcW w:w="10100" w:type="dxa"/>
            <w:vAlign w:val="bottom"/>
            <w:gridSpan w:val="16"/>
            <w:shd w:val="clear" w:color="auto" w:fill="CCEEFF"/>
          </w:tcPr>
          <w:p>
            <w:pPr>
              <w:spacing w:after="0" w:line="175" w:lineRule="exact"/>
              <w:rPr>
                <w:sz w:val="20"/>
                <w:szCs w:val="20"/>
                <w:color w:val="auto"/>
              </w:rPr>
            </w:pPr>
            <w:r>
              <w:rPr>
                <w:rFonts w:ascii="Arial" w:cs="Arial" w:eastAsia="Arial" w:hAnsi="Arial"/>
                <w:sz w:val="18"/>
                <w:szCs w:val="18"/>
                <w:color w:val="0000EE"/>
              </w:rPr>
              <w:t>Consent of Moss Adams LLP.</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23.2+</w:t>
            </w:r>
          </w:p>
        </w:tc>
        <w:tc>
          <w:tcPr>
            <w:tcW w:w="10100" w:type="dxa"/>
            <w:vAlign w:val="bottom"/>
            <w:gridSpan w:val="16"/>
            <w:shd w:val="clear" w:color="auto" w:fill="CCEEFF"/>
          </w:tcPr>
          <w:p>
            <w:pPr>
              <w:spacing w:after="0" w:line="175" w:lineRule="exact"/>
              <w:rPr>
                <w:sz w:val="20"/>
                <w:szCs w:val="20"/>
                <w:color w:val="auto"/>
              </w:rPr>
            </w:pPr>
            <w:r>
              <w:rPr>
                <w:rFonts w:ascii="Arial" w:cs="Arial" w:eastAsia="Arial" w:hAnsi="Arial"/>
                <w:sz w:val="18"/>
                <w:szCs w:val="18"/>
                <w:color w:val="0000EE"/>
              </w:rPr>
              <w:t>Consent of White &amp; Case LLP (included in Exhibit 5.1).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24.1+</w:t>
            </w:r>
          </w:p>
        </w:tc>
        <w:tc>
          <w:tcPr>
            <w:tcW w:w="10100" w:type="dxa"/>
            <w:vAlign w:val="bottom"/>
            <w:gridSpan w:val="16"/>
            <w:shd w:val="clear" w:color="auto" w:fill="CCEEFF"/>
          </w:tcPr>
          <w:p>
            <w:pPr>
              <w:spacing w:after="0" w:line="175" w:lineRule="exact"/>
              <w:rPr>
                <w:sz w:val="20"/>
                <w:szCs w:val="20"/>
                <w:color w:val="auto"/>
              </w:rPr>
            </w:pPr>
            <w:r>
              <w:rPr>
                <w:rFonts w:ascii="Arial" w:cs="Arial" w:eastAsia="Arial" w:hAnsi="Arial"/>
                <w:sz w:val="18"/>
                <w:szCs w:val="18"/>
                <w:color w:val="0000EE"/>
              </w:rPr>
              <w:t>Power of Attorney (included on signature page hereto).</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25.1**</w:t>
            </w:r>
          </w:p>
        </w:tc>
        <w:tc>
          <w:tcPr>
            <w:tcW w:w="101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Statement of Eligibility of Trustee on Form T-1, as Trustee under the Indenture for Debt Securities.</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107+</w:t>
            </w:r>
          </w:p>
        </w:tc>
        <w:tc>
          <w:tcPr>
            <w:tcW w:w="10100" w:type="dxa"/>
            <w:vAlign w:val="bottom"/>
            <w:gridSpan w:val="16"/>
            <w:shd w:val="clear" w:color="auto" w:fill="CCEEFF"/>
          </w:tcPr>
          <w:p>
            <w:pPr>
              <w:spacing w:after="0" w:line="175" w:lineRule="exact"/>
              <w:rPr>
                <w:sz w:val="20"/>
                <w:szCs w:val="20"/>
                <w:color w:val="auto"/>
              </w:rPr>
            </w:pPr>
            <w:r>
              <w:rPr>
                <w:rFonts w:ascii="Arial" w:cs="Arial" w:eastAsia="Arial" w:hAnsi="Arial"/>
                <w:sz w:val="18"/>
                <w:szCs w:val="18"/>
                <w:color w:val="0000EE"/>
              </w:rPr>
              <w:t>Filing Fee Table.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17875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247" w:lineRule="exact"/>
        <w:rPr>
          <w:sz w:val="20"/>
          <w:szCs w:val="20"/>
          <w:color w:val="auto"/>
        </w:rPr>
      </w:pPr>
    </w:p>
    <w:p>
      <w:pPr>
        <w:ind w:left="660" w:hanging="65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49" w:lineRule="exact"/>
        <w:rPr>
          <w:sz w:val="20"/>
          <w:szCs w:val="20"/>
          <w:color w:val="auto"/>
        </w:rPr>
      </w:pPr>
    </w:p>
    <w:p>
      <w:pPr>
        <w:ind w:left="660" w:hanging="653"/>
        <w:spacing w:after="0" w:line="336"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be filed, if applicable, as an exhibit to a post-effective amendment to this registration statement or as an exhibit to a Current Report on Form 8-K or other report to be filed by the Company pursuant to Section 13(a) or 15(d) of the Exchange Act and incorporated herein by reference.</w:t>
      </w:r>
    </w:p>
    <w:p>
      <w:pPr>
        <w:spacing w:after="0" w:line="155" w:lineRule="exact"/>
        <w:rPr>
          <w:sz w:val="20"/>
          <w:szCs w:val="20"/>
          <w:color w:val="auto"/>
        </w:rPr>
      </w:pPr>
    </w:p>
    <w:p>
      <w:pPr>
        <w:ind w:left="660" w:hanging="653"/>
        <w:spacing w:after="0" w:line="27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applicable, to be incorporated by referenced to a subsequent filing in accordance with Section 305(b)(2) of the Trust Indenture Act of 1939,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Carlos, State of California, on October 20,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PRESTO AUTOMATION INC.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By: /s/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13970</wp:posOffset>
            </wp:positionV>
            <wp:extent cx="26390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2639060" cy="1714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Xavier Casanova</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Chief Executive Officer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Xavier Casanova and Nathan Cook, or either of them, as his or her true and lawful attorneys-in-fact and agents, with full power of substitution and resubstitution, for him or her and in his or her name, place and stead, in any and all capacities, to file and sign any and all amendments (including pre-effective and post-effective amendments), supplements and additions to this registration statement and any registration statement for the same offering filed pursuant to Rule 462 under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Xavier Casanova</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Executive Officer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October 20, 2023</w:t>
            </w:r>
          </w:p>
        </w:tc>
      </w:tr>
      <w:tr>
        <w:trPr>
          <w:trHeight w:val="227"/>
        </w:trPr>
        <w:tc>
          <w:tcPr>
            <w:tcW w:w="3380" w:type="dxa"/>
            <w:vAlign w:val="bottom"/>
          </w:tcPr>
          <w:p>
            <w:pPr>
              <w:jc w:val="center"/>
              <w:spacing w:after="0"/>
              <w:rPr>
                <w:sz w:val="20"/>
                <w:szCs w:val="20"/>
                <w:color w:val="auto"/>
              </w:rPr>
            </w:pPr>
            <w:r>
              <w:rPr>
                <w:rFonts w:ascii="Arial" w:cs="Arial" w:eastAsia="Arial" w:hAnsi="Arial"/>
                <w:sz w:val="18"/>
                <w:szCs w:val="18"/>
                <w:color w:val="auto"/>
                <w:w w:val="88"/>
              </w:rPr>
              <w:t>Xavier Casanova</w:t>
            </w:r>
          </w:p>
        </w:tc>
        <w:tc>
          <w:tcPr>
            <w:tcW w:w="120" w:type="dxa"/>
            <w:vAlign w:val="bottom"/>
          </w:tcPr>
          <w:p>
            <w:pPr>
              <w:spacing w:after="0"/>
              <w:rPr>
                <w:sz w:val="19"/>
                <w:szCs w:val="19"/>
                <w:color w:val="auto"/>
              </w:rPr>
            </w:pPr>
          </w:p>
        </w:tc>
        <w:tc>
          <w:tcPr>
            <w:tcW w:w="49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(Principal Executive Officer)</w:t>
            </w:r>
          </w:p>
        </w:tc>
        <w:tc>
          <w:tcPr>
            <w:tcW w:w="2800" w:type="dxa"/>
            <w:vAlign w:val="bottom"/>
          </w:tcPr>
          <w:p>
            <w:pPr>
              <w:spacing w:after="0"/>
              <w:rPr>
                <w:sz w:val="19"/>
                <w:szCs w:val="19"/>
                <w:color w:val="auto"/>
              </w:rPr>
            </w:pPr>
          </w:p>
        </w:tc>
      </w:tr>
      <w:tr>
        <w:trPr>
          <w:trHeight w:val="42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Nathan Cook</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Interim Chief Financial Officer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October 20, 2023</w:t>
            </w:r>
          </w:p>
        </w:tc>
      </w:tr>
      <w:tr>
        <w:trPr>
          <w:trHeight w:val="227"/>
        </w:trPr>
        <w:tc>
          <w:tcPr>
            <w:tcW w:w="3380" w:type="dxa"/>
            <w:vAlign w:val="bottom"/>
          </w:tcPr>
          <w:p>
            <w:pPr>
              <w:jc w:val="center"/>
              <w:spacing w:after="0"/>
              <w:rPr>
                <w:sz w:val="20"/>
                <w:szCs w:val="20"/>
                <w:color w:val="auto"/>
              </w:rPr>
            </w:pPr>
            <w:r>
              <w:rPr>
                <w:rFonts w:ascii="Arial" w:cs="Arial" w:eastAsia="Arial" w:hAnsi="Arial"/>
                <w:sz w:val="18"/>
                <w:szCs w:val="18"/>
                <w:color w:val="auto"/>
                <w:w w:val="91"/>
              </w:rPr>
              <w:t>Nathan Cook</w:t>
            </w:r>
          </w:p>
        </w:tc>
        <w:tc>
          <w:tcPr>
            <w:tcW w:w="120" w:type="dxa"/>
            <w:vAlign w:val="bottom"/>
          </w:tcPr>
          <w:p>
            <w:pPr>
              <w:spacing w:after="0"/>
              <w:rPr>
                <w:sz w:val="19"/>
                <w:szCs w:val="19"/>
                <w:color w:val="auto"/>
              </w:rPr>
            </w:pPr>
          </w:p>
        </w:tc>
        <w:tc>
          <w:tcPr>
            <w:tcW w:w="49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(Principal Financial Officer)</w:t>
            </w:r>
          </w:p>
        </w:tc>
        <w:tc>
          <w:tcPr>
            <w:tcW w:w="2800" w:type="dxa"/>
            <w:vAlign w:val="bottom"/>
          </w:tcPr>
          <w:p>
            <w:pPr>
              <w:spacing w:after="0"/>
              <w:rPr>
                <w:sz w:val="19"/>
                <w:szCs w:val="19"/>
                <w:color w:val="auto"/>
              </w:rPr>
            </w:pPr>
          </w:p>
        </w:tc>
      </w:tr>
      <w:tr>
        <w:trPr>
          <w:trHeight w:val="42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Stanley Mbugua</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Accounting Officer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October 20, 2023</w:t>
            </w:r>
          </w:p>
        </w:tc>
      </w:tr>
      <w:tr>
        <w:trPr>
          <w:trHeight w:val="227"/>
        </w:trPr>
        <w:tc>
          <w:tcPr>
            <w:tcW w:w="3380" w:type="dxa"/>
            <w:vAlign w:val="bottom"/>
          </w:tcPr>
          <w:p>
            <w:pPr>
              <w:jc w:val="center"/>
              <w:spacing w:after="0"/>
              <w:rPr>
                <w:sz w:val="20"/>
                <w:szCs w:val="20"/>
                <w:color w:val="auto"/>
              </w:rPr>
            </w:pPr>
            <w:r>
              <w:rPr>
                <w:rFonts w:ascii="Arial" w:cs="Arial" w:eastAsia="Arial" w:hAnsi="Arial"/>
                <w:sz w:val="18"/>
                <w:szCs w:val="18"/>
                <w:color w:val="auto"/>
                <w:w w:val="90"/>
              </w:rPr>
              <w:t>Stanley Mbugua</w:t>
            </w:r>
          </w:p>
        </w:tc>
        <w:tc>
          <w:tcPr>
            <w:tcW w:w="120" w:type="dxa"/>
            <w:vAlign w:val="bottom"/>
          </w:tcPr>
          <w:p>
            <w:pPr>
              <w:spacing w:after="0"/>
              <w:rPr>
                <w:sz w:val="19"/>
                <w:szCs w:val="19"/>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Accounting Officer)</w:t>
            </w:r>
          </w:p>
        </w:tc>
        <w:tc>
          <w:tcPr>
            <w:tcW w:w="2800" w:type="dxa"/>
            <w:vAlign w:val="bottom"/>
          </w:tcPr>
          <w:p>
            <w:pPr>
              <w:spacing w:after="0"/>
              <w:rPr>
                <w:sz w:val="19"/>
                <w:szCs w:val="19"/>
                <w:color w:val="auto"/>
              </w:rPr>
            </w:pPr>
          </w:p>
        </w:tc>
      </w:tr>
      <w:tr>
        <w:trPr>
          <w:trHeight w:val="42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Krishna Gupta</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October 20, 2023</w:t>
            </w:r>
          </w:p>
        </w:tc>
      </w:tr>
      <w:tr>
        <w:trPr>
          <w:trHeight w:val="227"/>
        </w:trPr>
        <w:tc>
          <w:tcPr>
            <w:tcW w:w="3380" w:type="dxa"/>
            <w:vAlign w:val="bottom"/>
          </w:tcPr>
          <w:p>
            <w:pPr>
              <w:jc w:val="center"/>
              <w:spacing w:after="0"/>
              <w:rPr>
                <w:sz w:val="20"/>
                <w:szCs w:val="20"/>
                <w:color w:val="auto"/>
              </w:rPr>
            </w:pPr>
            <w:r>
              <w:rPr>
                <w:rFonts w:ascii="Arial" w:cs="Arial" w:eastAsia="Arial" w:hAnsi="Arial"/>
                <w:sz w:val="18"/>
                <w:szCs w:val="18"/>
                <w:color w:val="auto"/>
                <w:w w:val="90"/>
              </w:rPr>
              <w:t>Krishna Gupta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2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Ilya Golubovich</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October 20, 2023</w:t>
            </w:r>
          </w:p>
        </w:tc>
      </w:tr>
      <w:tr>
        <w:trPr>
          <w:trHeight w:val="227"/>
        </w:trPr>
        <w:tc>
          <w:tcPr>
            <w:tcW w:w="3380" w:type="dxa"/>
            <w:vAlign w:val="bottom"/>
          </w:tcPr>
          <w:p>
            <w:pPr>
              <w:jc w:val="center"/>
              <w:spacing w:after="0"/>
              <w:rPr>
                <w:sz w:val="20"/>
                <w:szCs w:val="20"/>
                <w:color w:val="auto"/>
              </w:rPr>
            </w:pPr>
            <w:r>
              <w:rPr>
                <w:rFonts w:ascii="Arial" w:cs="Arial" w:eastAsia="Arial" w:hAnsi="Arial"/>
                <w:sz w:val="18"/>
                <w:szCs w:val="18"/>
                <w:color w:val="auto"/>
                <w:w w:val="94"/>
              </w:rPr>
              <w:t>Ilya Golubovich</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2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Keith Kravcik</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October 20, 2023</w:t>
            </w:r>
          </w:p>
        </w:tc>
      </w:tr>
      <w:tr>
        <w:trPr>
          <w:trHeight w:val="227"/>
        </w:trPr>
        <w:tc>
          <w:tcPr>
            <w:tcW w:w="3380" w:type="dxa"/>
            <w:vAlign w:val="bottom"/>
          </w:tcPr>
          <w:p>
            <w:pPr>
              <w:jc w:val="center"/>
              <w:spacing w:after="0"/>
              <w:rPr>
                <w:sz w:val="20"/>
                <w:szCs w:val="20"/>
                <w:color w:val="auto"/>
              </w:rPr>
            </w:pPr>
            <w:r>
              <w:rPr>
                <w:rFonts w:ascii="Arial" w:cs="Arial" w:eastAsia="Arial" w:hAnsi="Arial"/>
                <w:sz w:val="18"/>
                <w:szCs w:val="18"/>
                <w:color w:val="auto"/>
                <w:w w:val="97"/>
              </w:rPr>
              <w:t>Keith Kravcik</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2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Scott Raskin</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October 20, 2023</w:t>
            </w:r>
          </w:p>
        </w:tc>
      </w:tr>
      <w:tr>
        <w:trPr>
          <w:trHeight w:val="227"/>
        </w:trPr>
        <w:tc>
          <w:tcPr>
            <w:tcW w:w="3380" w:type="dxa"/>
            <w:vAlign w:val="bottom"/>
          </w:tcPr>
          <w:p>
            <w:pPr>
              <w:jc w:val="center"/>
              <w:spacing w:after="0"/>
              <w:rPr>
                <w:sz w:val="20"/>
                <w:szCs w:val="20"/>
                <w:color w:val="auto"/>
              </w:rPr>
            </w:pPr>
            <w:r>
              <w:rPr>
                <w:rFonts w:ascii="Arial" w:cs="Arial" w:eastAsia="Arial" w:hAnsi="Arial"/>
                <w:sz w:val="18"/>
                <w:szCs w:val="18"/>
                <w:color w:val="auto"/>
                <w:w w:val="91"/>
              </w:rPr>
              <w:t>Scott Raskin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2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Gail Zauder</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October 20, 2023</w:t>
            </w:r>
          </w:p>
        </w:tc>
      </w:tr>
      <w:tr>
        <w:trPr>
          <w:trHeight w:val="227"/>
        </w:trPr>
        <w:tc>
          <w:tcPr>
            <w:tcW w:w="3380" w:type="dxa"/>
            <w:vAlign w:val="bottom"/>
          </w:tcPr>
          <w:p>
            <w:pPr>
              <w:jc w:val="center"/>
              <w:spacing w:after="0"/>
              <w:rPr>
                <w:sz w:val="20"/>
                <w:szCs w:val="20"/>
                <w:color w:val="auto"/>
              </w:rPr>
            </w:pPr>
            <w:r>
              <w:rPr>
                <w:rFonts w:ascii="Arial" w:cs="Arial" w:eastAsia="Arial" w:hAnsi="Arial"/>
                <w:sz w:val="18"/>
                <w:szCs w:val="18"/>
                <w:color w:val="auto"/>
                <w:w w:val="91"/>
              </w:rPr>
              <w:t>Gail Zauder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2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Edward Scheetz</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October 20, 2023</w:t>
            </w:r>
          </w:p>
        </w:tc>
      </w:tr>
      <w:tr>
        <w:trPr>
          <w:trHeight w:val="227"/>
        </w:trPr>
        <w:tc>
          <w:tcPr>
            <w:tcW w:w="3380" w:type="dxa"/>
            <w:vAlign w:val="bottom"/>
          </w:tcPr>
          <w:p>
            <w:pPr>
              <w:jc w:val="center"/>
              <w:spacing w:after="0"/>
              <w:rPr>
                <w:sz w:val="20"/>
                <w:szCs w:val="20"/>
                <w:color w:val="auto"/>
              </w:rPr>
            </w:pPr>
            <w:r>
              <w:rPr>
                <w:rFonts w:ascii="Arial" w:cs="Arial" w:eastAsia="Arial" w:hAnsi="Arial"/>
                <w:sz w:val="18"/>
                <w:szCs w:val="18"/>
                <w:color w:val="auto"/>
                <w:w w:val="88"/>
              </w:rPr>
              <w:t>Edward Scheetz</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bl>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PRESTO AUTOMATION INC.</w:t>
      </w:r>
    </w:p>
    <w:p>
      <w:pPr>
        <w:spacing w:after="0" w:line="200" w:lineRule="exact"/>
        <w:rPr>
          <w:sz w:val="20"/>
          <w:szCs w:val="20"/>
          <w:color w:val="auto"/>
        </w:rPr>
      </w:pPr>
    </w:p>
    <w:p>
      <w:pPr>
        <w:spacing w:after="0" w:line="2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[___]</w:t>
      </w:r>
    </w:p>
    <w:p>
      <w:pPr>
        <w:spacing w:after="0" w:line="2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Dated as of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439420</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620" w:type="dxa"/>
            <w:vAlign w:val="bottom"/>
          </w:tcPr>
          <w:p>
            <w:pPr>
              <w:ind w:left="464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1.1 Definitions</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1.2 Other Definitions</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1.3 Incorporation by Reference of Trust Indenture Act</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1.4 Rules of Construction</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Article II. THE SECURITIES</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 Issuable in Series</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2.2 Establishment of Terms of Series of Securities</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2.3 Execution and Authentication</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2.4 Registrar, Paying Agent and Notice Agent</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2.5 Paying Agent to Hold Money in Trust</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2.6 Holder Lists</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2.7 Transfer and Exchange</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2.8 Mutilated, Destroyed, Lost and Stolen Securities</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2.9 Outstanding Securities</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2.10 Treasury Securities</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2.11 Temporary Securities</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2.12 Cancellation</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2.13 Defaulted Interest</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2.14 Global Securities</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2.15 CUSIP Numbers</w:t>
            </w:r>
          </w:p>
        </w:tc>
        <w:tc>
          <w:tcPr>
            <w:tcW w:w="260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Article III. REDEMPTION</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3.1 Notice to Trustee</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3.2 Selection of Securities to be Redeemed</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3.3 Notice of Redemption</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3.4 Effect of Notice of Redemption</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3.5 Deposit of Redemption Price</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3.6 Securities Redeemed in Part</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Article IV. COVENANTS</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4.1 Payment of Principal and Interest</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4.2 SEC Reports</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4.3 Compliance Certificate</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4.4 Stay, Extension and Usury Laws</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Article V. SUCCESSORS</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5.1 When Company May Merge, Etc</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5.2 Successor Corporation Substituted</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Article VI. DEFAULTS AND REMEDIES</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6.1 Events of Default</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6.2 Acceleration of Maturity; Rescission and Annulment</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6.3 Collection of Indebtedness and Suits for Enforcement by Trustee</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6.4 Trustee May File Proofs of Claim</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6.5 Trustee May Enforce Claims Without Possession of Securities</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6.6 Application of Money Collected</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6.7 Limitation on Suits</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6.8 Unconditional Right of Holders to Receive Principal and Interest</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6.9 Restoration of Rights and Remedies</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6.10 Rights and Remedies Cumulative</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6.11 Delay or Omission Not Waiver</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6.12 Control by Holders</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6.13 Waiver of Past Defaults</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6.14 Undertaking for Costs</w:t>
            </w:r>
          </w:p>
        </w:tc>
        <w:tc>
          <w:tcPr>
            <w:tcW w:w="28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Article VII. TRUSTEE</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7.1 Duties of Trustee</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7.2 Rights of Trustee</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7.3 Individual Rights of Trustee</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7.4 Trustee’s Disclaimer</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7.5 Notice of Defaults</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7.6 Reports by Trustee to Holders</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7.7 Compensation and Indemnity</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7.8 Replacement of Trustee</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7.9 Successor Trustee by Merger, Etc</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7.10 Eligibility; Disqualification</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7.11 Preferential Collection of Claims Against Company</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Article VIII. SATISFACTION AND DISCHARGE; DEFEASANCE</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8.1 Satisfaction and Discharge of Indenture</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8.2 Application of Trust Funds; Indemnification</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8.3 Legal Defeasance of Securities of any Series</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8.4 Covenant Defeasance</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8.5 Repayment to Company</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8.6 Reinstatement</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Article IX. AMENDMENTS AND WAIVERS</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9.1 Without Consent of Holders</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9.2 With Consent of Holders</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9.3 Limitations</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9.4 Compliance with Trust Indenture Act</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9.5 Revocation and Effect of Consents</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9.6 Notation on or Exchange of Securities</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9.7 Trustee Protected</w:t>
            </w:r>
          </w:p>
        </w:tc>
        <w:tc>
          <w:tcPr>
            <w:tcW w:w="32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Article X. MISCELLANEOUS</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10.1 Trust Indenture Act Controls</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10.2 Notices</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10.3 Communication by Holders with Other Holders</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10.4 Certificate and Opinion as to Conditions Precedent</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10.5 Statements Required in Certificate or Opinion</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10.6 Rules by Trustee and Agents</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10.7 Legal Holidays</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10.8 No Recourse Against Others</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10.9 Counterparts</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10.10 Governing Law; Waiver of Jury Trial; Consent to Jurisdiction</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10.11 No Adverse Interpretation of Other Agreements</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10.12 Successors</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10.13 Severability</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10.14 Table of Contents, Headings, Etc</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10.15 Securities in a Foreign Currency</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10.16 Judgment Currency</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10.17 Force Majeure</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10.18 U.S.A. Patriot Act</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Article XI. SINKING FUNDS</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11.1 Applicability of Article</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11.2 Satisfaction of Sinking Fund Payments with Securities</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11.3 Redemption of Securities for Sinking Fund</w:t>
            </w:r>
          </w:p>
        </w:tc>
        <w:tc>
          <w:tcPr>
            <w:tcW w:w="28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16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9"/>
              </w:rPr>
              <w:t>PRESTO AUTOMATION INC.</w:t>
            </w: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160" w:type="dxa"/>
            <w:vAlign w:val="bottom"/>
            <w:gridSpan w:val="3"/>
          </w:tcPr>
          <w:p>
            <w:pPr>
              <w:jc w:val="center"/>
              <w:ind w:right="2060"/>
              <w:spacing w:after="0"/>
              <w:rPr>
                <w:sz w:val="20"/>
                <w:szCs w:val="20"/>
                <w:color w:val="auto"/>
              </w:rPr>
            </w:pPr>
            <w:r>
              <w:rPr>
                <w:rFonts w:ascii="Arial" w:cs="Arial" w:eastAsia="Arial" w:hAnsi="Arial"/>
                <w:sz w:val="18"/>
                <w:szCs w:val="18"/>
                <w:color w:val="auto"/>
                <w:w w:val="90"/>
              </w:rPr>
              <w:t>Reconciliation and tie between Trust Indenture Act of 1939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160" w:type="dxa"/>
            <w:vAlign w:val="bottom"/>
            <w:gridSpan w:val="3"/>
          </w:tcPr>
          <w:p>
            <w:pPr>
              <w:jc w:val="center"/>
              <w:ind w:right="2060"/>
              <w:spacing w:after="0" w:line="189" w:lineRule="exact"/>
              <w:rPr>
                <w:sz w:val="20"/>
                <w:szCs w:val="20"/>
                <w:color w:val="auto"/>
              </w:rPr>
            </w:pPr>
            <w:r>
              <w:rPr>
                <w:rFonts w:ascii="Arial" w:cs="Arial" w:eastAsia="Arial" w:hAnsi="Arial"/>
                <w:sz w:val="18"/>
                <w:szCs w:val="18"/>
                <w:color w:val="auto"/>
                <w:w w:val="88"/>
              </w:rPr>
              <w:t>Indenture, dated as of __, 20__</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20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 310(a)(1)</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(a)(2)</w:t>
            </w:r>
          </w:p>
        </w:tc>
        <w:tc>
          <w:tcPr>
            <w:tcW w:w="4020" w:type="dxa"/>
            <w:vAlign w:val="bottom"/>
          </w:tcPr>
          <w:p>
            <w:pPr>
              <w:ind w:left="3540"/>
              <w:spacing w:after="0"/>
              <w:rPr>
                <w:sz w:val="20"/>
                <w:szCs w:val="20"/>
                <w:color w:val="auto"/>
              </w:rPr>
            </w:pPr>
            <w:r>
              <w:rPr>
                <w:rFonts w:ascii="Arial" w:cs="Arial" w:eastAsia="Arial" w:hAnsi="Arial"/>
                <w:sz w:val="18"/>
                <w:szCs w:val="18"/>
                <w:color w:val="auto"/>
              </w:rPr>
              <w:t>7.10</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9160" w:type="dxa"/>
            <w:vAlign w:val="bottom"/>
            <w:gridSpan w:val="3"/>
            <w:shd w:val="clear" w:color="auto" w:fill="CCEEFF"/>
          </w:tcPr>
          <w:p>
            <w:pPr>
              <w:ind w:left="35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(a)(4)</w:t>
            </w:r>
          </w:p>
        </w:tc>
        <w:tc>
          <w:tcPr>
            <w:tcW w:w="9160" w:type="dxa"/>
            <w:vAlign w:val="bottom"/>
            <w:gridSpan w:val="3"/>
          </w:tcPr>
          <w:p>
            <w:pPr>
              <w:ind w:left="35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(a)(5)</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w:t>
            </w:r>
          </w:p>
        </w:tc>
        <w:tc>
          <w:tcPr>
            <w:tcW w:w="4020" w:type="dxa"/>
            <w:vAlign w:val="bottom"/>
          </w:tcPr>
          <w:p>
            <w:pPr>
              <w:ind w:left="3540"/>
              <w:spacing w:after="0"/>
              <w:rPr>
                <w:sz w:val="20"/>
                <w:szCs w:val="20"/>
                <w:color w:val="auto"/>
              </w:rPr>
            </w:pPr>
            <w:r>
              <w:rPr>
                <w:rFonts w:ascii="Arial" w:cs="Arial" w:eastAsia="Arial" w:hAnsi="Arial"/>
                <w:sz w:val="18"/>
                <w:szCs w:val="18"/>
                <w:color w:val="auto"/>
              </w:rPr>
              <w:t>7.10</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 311(a)</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7.11</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w:t>
            </w:r>
          </w:p>
        </w:tc>
        <w:tc>
          <w:tcPr>
            <w:tcW w:w="4020" w:type="dxa"/>
            <w:vAlign w:val="bottom"/>
          </w:tcPr>
          <w:p>
            <w:pPr>
              <w:ind w:left="3540"/>
              <w:spacing w:after="0"/>
              <w:rPr>
                <w:sz w:val="20"/>
                <w:szCs w:val="20"/>
                <w:color w:val="auto"/>
              </w:rPr>
            </w:pPr>
            <w:r>
              <w:rPr>
                <w:rFonts w:ascii="Arial" w:cs="Arial" w:eastAsia="Arial" w:hAnsi="Arial"/>
                <w:sz w:val="18"/>
                <w:szCs w:val="18"/>
                <w:color w:val="auto"/>
              </w:rPr>
              <w:t>7.11</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9160" w:type="dxa"/>
            <w:vAlign w:val="bottom"/>
            <w:gridSpan w:val="3"/>
            <w:shd w:val="clear" w:color="auto" w:fill="CCEEFF"/>
          </w:tcPr>
          <w:p>
            <w:pPr>
              <w:ind w:left="35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 312(a)</w:t>
            </w:r>
          </w:p>
        </w:tc>
        <w:tc>
          <w:tcPr>
            <w:tcW w:w="4020" w:type="dxa"/>
            <w:vAlign w:val="bottom"/>
          </w:tcPr>
          <w:p>
            <w:pPr>
              <w:ind w:left="35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w:t>
            </w:r>
          </w:p>
        </w:tc>
        <w:tc>
          <w:tcPr>
            <w:tcW w:w="4020" w:type="dxa"/>
            <w:vAlign w:val="bottom"/>
          </w:tcPr>
          <w:p>
            <w:pPr>
              <w:ind w:left="354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 313(a)</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(b)(1)</w:t>
            </w:r>
          </w:p>
        </w:tc>
        <w:tc>
          <w:tcPr>
            <w:tcW w:w="4020" w:type="dxa"/>
            <w:vAlign w:val="bottom"/>
          </w:tcPr>
          <w:p>
            <w:pPr>
              <w:ind w:left="354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(b)(2)</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(c)(1)</w:t>
            </w:r>
          </w:p>
        </w:tc>
        <w:tc>
          <w:tcPr>
            <w:tcW w:w="4020" w:type="dxa"/>
            <w:vAlign w:val="bottom"/>
          </w:tcPr>
          <w:p>
            <w:pPr>
              <w:ind w:left="354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 314(a)</w:t>
            </w:r>
          </w:p>
        </w:tc>
        <w:tc>
          <w:tcPr>
            <w:tcW w:w="4200" w:type="dxa"/>
            <w:vAlign w:val="bottom"/>
            <w:gridSpan w:val="2"/>
          </w:tcPr>
          <w:p>
            <w:pPr>
              <w:ind w:left="3540"/>
              <w:spacing w:after="0"/>
              <w:rPr>
                <w:sz w:val="20"/>
                <w:szCs w:val="20"/>
                <w:color w:val="auto"/>
              </w:rPr>
            </w:pPr>
            <w:r>
              <w:rPr>
                <w:rFonts w:ascii="Arial" w:cs="Arial" w:eastAsia="Arial" w:hAnsi="Arial"/>
                <w:sz w:val="18"/>
                <w:szCs w:val="18"/>
                <w:color w:val="auto"/>
                <w:w w:val="91"/>
              </w:rPr>
              <w:t>4.2, 10.5</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9160" w:type="dxa"/>
            <w:vAlign w:val="bottom"/>
            <w:gridSpan w:val="3"/>
            <w:shd w:val="clear" w:color="auto" w:fill="CCEEFF"/>
          </w:tcPr>
          <w:p>
            <w:pPr>
              <w:ind w:left="35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(c)(1)</w:t>
            </w:r>
          </w:p>
        </w:tc>
        <w:tc>
          <w:tcPr>
            <w:tcW w:w="4020" w:type="dxa"/>
            <w:vAlign w:val="bottom"/>
          </w:tcPr>
          <w:p>
            <w:pPr>
              <w:ind w:left="35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(c)(2)</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(c)(3)</w:t>
            </w:r>
          </w:p>
        </w:tc>
        <w:tc>
          <w:tcPr>
            <w:tcW w:w="9160" w:type="dxa"/>
            <w:vAlign w:val="bottom"/>
            <w:gridSpan w:val="3"/>
          </w:tcPr>
          <w:p>
            <w:pPr>
              <w:ind w:left="35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9160" w:type="dxa"/>
            <w:vAlign w:val="bottom"/>
            <w:gridSpan w:val="3"/>
            <w:shd w:val="clear" w:color="auto" w:fill="CCEEFF"/>
          </w:tcPr>
          <w:p>
            <w:pPr>
              <w:ind w:left="35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(e)</w:t>
            </w:r>
          </w:p>
        </w:tc>
        <w:tc>
          <w:tcPr>
            <w:tcW w:w="4020" w:type="dxa"/>
            <w:vAlign w:val="bottom"/>
          </w:tcPr>
          <w:p>
            <w:pPr>
              <w:ind w:left="354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(f)</w:t>
            </w:r>
          </w:p>
        </w:tc>
        <w:tc>
          <w:tcPr>
            <w:tcW w:w="9160" w:type="dxa"/>
            <w:vAlign w:val="bottom"/>
            <w:gridSpan w:val="3"/>
            <w:shd w:val="clear" w:color="auto" w:fill="CCEEFF"/>
          </w:tcPr>
          <w:p>
            <w:pPr>
              <w:ind w:left="35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 315(a)</w:t>
            </w:r>
          </w:p>
        </w:tc>
        <w:tc>
          <w:tcPr>
            <w:tcW w:w="4020" w:type="dxa"/>
            <w:vAlign w:val="bottom"/>
          </w:tcPr>
          <w:p>
            <w:pPr>
              <w:ind w:left="354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w:t>
            </w:r>
          </w:p>
        </w:tc>
        <w:tc>
          <w:tcPr>
            <w:tcW w:w="4020" w:type="dxa"/>
            <w:vAlign w:val="bottom"/>
          </w:tcPr>
          <w:p>
            <w:pPr>
              <w:ind w:left="354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(e)</w:t>
            </w:r>
          </w:p>
        </w:tc>
        <w:tc>
          <w:tcPr>
            <w:tcW w:w="4020" w:type="dxa"/>
            <w:vAlign w:val="bottom"/>
          </w:tcPr>
          <w:p>
            <w:pPr>
              <w:ind w:left="3540"/>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 316(a)</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(a)(1)(A)</w:t>
            </w:r>
          </w:p>
        </w:tc>
        <w:tc>
          <w:tcPr>
            <w:tcW w:w="4020" w:type="dxa"/>
            <w:vAlign w:val="bottom"/>
          </w:tcPr>
          <w:p>
            <w:pPr>
              <w:ind w:left="354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(a)(1)(B)</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w:t>
            </w:r>
          </w:p>
        </w:tc>
        <w:tc>
          <w:tcPr>
            <w:tcW w:w="4020" w:type="dxa"/>
            <w:vAlign w:val="bottom"/>
          </w:tcPr>
          <w:p>
            <w:pPr>
              <w:ind w:left="354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 317(a)(1)</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(a)(2)</w:t>
            </w:r>
          </w:p>
        </w:tc>
        <w:tc>
          <w:tcPr>
            <w:tcW w:w="4020" w:type="dxa"/>
            <w:vAlign w:val="bottom"/>
          </w:tcPr>
          <w:p>
            <w:pPr>
              <w:ind w:left="354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40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 318(a)</w:t>
            </w:r>
          </w:p>
        </w:tc>
        <w:tc>
          <w:tcPr>
            <w:tcW w:w="4020" w:type="dxa"/>
            <w:vAlign w:val="bottom"/>
          </w:tcPr>
          <w:p>
            <w:pPr>
              <w:ind w:left="35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 __________, 20__, between Presto Automation Inc., a company incorporated under the laws of Delaware (“</w:t>
      </w:r>
      <w:r>
        <w:rPr>
          <w:rFonts w:ascii="Arial" w:cs="Arial" w:eastAsia="Arial" w:hAnsi="Arial"/>
          <w:sz w:val="16"/>
          <w:szCs w:val="16"/>
          <w:i w:val="1"/>
          <w:iCs w:val="1"/>
          <w:color w:val="auto"/>
        </w:rPr>
        <w:t>Company</w:t>
      </w:r>
      <w:r>
        <w:rPr>
          <w:rFonts w:ascii="Arial" w:cs="Arial" w:eastAsia="Arial" w:hAnsi="Arial"/>
          <w:sz w:val="16"/>
          <w:szCs w:val="16"/>
          <w:color w:val="auto"/>
        </w:rPr>
        <w:t>”), and [______]</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2" w:lineRule="exact"/>
        <w:rPr>
          <w:sz w:val="20"/>
          <w:szCs w:val="20"/>
          <w:color w:val="auto"/>
        </w:rPr>
      </w:pPr>
    </w:p>
    <w:p>
      <w:pPr>
        <w:jc w:val="both"/>
        <w:ind w:right="20"/>
        <w:spacing w:after="0" w:line="30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Amounts</w:t>
      </w:r>
      <w:r>
        <w:rPr>
          <w:rFonts w:ascii="Arial" w:cs="Arial" w:eastAsia="Arial" w:hAnsi="Arial"/>
          <w:sz w:val="17"/>
          <w:szCs w:val="17"/>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2" w:lineRule="exact"/>
        <w:rPr>
          <w:sz w:val="20"/>
          <w:szCs w:val="20"/>
          <w:color w:val="auto"/>
        </w:rPr>
      </w:pPr>
    </w:p>
    <w:p>
      <w:pPr>
        <w:jc w:val="both"/>
        <w:ind w:right="20"/>
        <w:spacing w:after="0" w:line="33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 Resolution</w:t>
      </w:r>
      <w:r>
        <w:rPr>
          <w:rFonts w:ascii="Arial" w:cs="Arial" w:eastAsia="Arial" w:hAnsi="Arial"/>
          <w:sz w:val="16"/>
          <w:szCs w:val="16"/>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any and all shares, interests, participations, rights or other equivalents (however designated) of corporate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 and delivered to the Trustee.</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related to this Indenture shall be principally administered.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passage of time or both would be, an Event of Default.</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Currency</w:t>
      </w:r>
      <w:r>
        <w:rPr>
          <w:rFonts w:ascii="Arial" w:cs="Arial" w:eastAsia="Arial" w:hAnsi="Arial"/>
          <w:sz w:val="18"/>
          <w:szCs w:val="18"/>
          <w:color w:val="auto"/>
        </w:rPr>
        <w:t>” means any currency or currency unit issued by a government other than the government of the United States of America.</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9" w:name="page50"/>
    <w:bookmarkEnd w:id="49"/>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9" w:lineRule="exact"/>
        <w:rPr>
          <w:sz w:val="20"/>
          <w:szCs w:val="20"/>
          <w:color w:val="auto"/>
        </w:rPr>
      </w:pPr>
    </w:p>
    <w:p>
      <w:pPr>
        <w:jc w:val="both"/>
        <w:spacing w:after="0" w:line="33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Global Security</w:t>
      </w:r>
      <w:r>
        <w:rPr>
          <w:rFonts w:ascii="Arial" w:cs="Arial" w:eastAsia="Arial" w:hAnsi="Arial"/>
          <w:sz w:val="16"/>
          <w:szCs w:val="16"/>
          <w:color w:val="auto"/>
        </w:rPr>
        <w:t>” or “</w:t>
      </w:r>
      <w:r>
        <w:rPr>
          <w:rFonts w:ascii="Arial" w:cs="Arial" w:eastAsia="Arial" w:hAnsi="Arial"/>
          <w:sz w:val="16"/>
          <w:szCs w:val="16"/>
          <w:i w:val="1"/>
          <w:iCs w:val="1"/>
          <w:color w:val="auto"/>
        </w:rPr>
        <w:t>Global Securities</w:t>
      </w:r>
      <w:r>
        <w:rPr>
          <w:rFonts w:ascii="Arial" w:cs="Arial" w:eastAsia="Arial" w:hAnsi="Arial"/>
          <w:sz w:val="16"/>
          <w:szCs w:val="16"/>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Security is registered on the Registrar’s books.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with respect to any Discount Security which by its terms bears interest only after Maturity, means interest payable after Maturity.</w:t>
      </w:r>
    </w:p>
    <w:p>
      <w:pPr>
        <w:spacing w:after="0" w:line="22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4" w:lineRule="exact"/>
        <w:rPr>
          <w:sz w:val="20"/>
          <w:szCs w:val="20"/>
          <w:color w:val="auto"/>
        </w:rPr>
      </w:pPr>
    </w:p>
    <w:p>
      <w:pPr>
        <w:jc w:val="both"/>
        <w:spacing w:after="0" w:line="33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Officer</w:t>
      </w:r>
      <w:r>
        <w:rPr>
          <w:rFonts w:ascii="Arial" w:cs="Arial" w:eastAsia="Arial" w:hAnsi="Arial"/>
          <w:sz w:val="16"/>
          <w:szCs w:val="16"/>
          <w:color w:val="auto"/>
        </w:rPr>
        <w:t>” means the Chairman of the Board of Directors, the Chief Executive Officer, President, the Chief Financial Officer, the Treasurer or any Assistant Treasurer, the Secretary or any Assistant Secretary, any Executive Vice President, any Senior Vice President or any Vice President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 that meets the requirements of this Indenture.</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which may be an employee of or counsel to the Company and which opinion may contain customary limitations, conditions and exceptions.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w:t>
      </w:r>
      <w:r>
        <w:rPr>
          <w:rFonts w:ascii="Arial" w:cs="Arial" w:eastAsia="Arial" w:hAnsi="Arial"/>
          <w:sz w:val="18"/>
          <w:szCs w:val="18"/>
          <w:color w:val="auto"/>
        </w:rPr>
        <w:t>” or “</w:t>
      </w:r>
      <w:r>
        <w:rPr>
          <w:rFonts w:ascii="Arial" w:cs="Arial" w:eastAsia="Arial" w:hAnsi="Arial"/>
          <w:sz w:val="18"/>
          <w:szCs w:val="18"/>
          <w:i w:val="1"/>
          <w:iCs w:val="1"/>
          <w:color w:val="auto"/>
        </w:rPr>
        <w:t>Securities</w:t>
      </w:r>
      <w:r>
        <w:rPr>
          <w:rFonts w:ascii="Arial" w:cs="Arial" w:eastAsia="Arial" w:hAnsi="Arial"/>
          <w:sz w:val="18"/>
          <w:szCs w:val="18"/>
          <w:color w:val="auto"/>
        </w:rPr>
        <w:t>” means the debentures, notes or other debt instruments of the Company of any Series authenticated and delivered under this Indenture.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4"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0" w:name="page51"/>
    <w:bookmarkEnd w:id="50"/>
    <w:p>
      <w:pPr>
        <w:jc w:val="both"/>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Trustee</w:t>
      </w:r>
      <w:r>
        <w:rPr>
          <w:rFonts w:ascii="Arial" w:cs="Arial" w:eastAsia="Arial" w:hAnsi="Arial"/>
          <w:sz w:val="16"/>
          <w:szCs w:val="16"/>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Government Obligations</w:t>
      </w:r>
      <w:r>
        <w:rPr>
          <w:rFonts w:ascii="Arial" w:cs="Arial" w:eastAsia="Arial" w:hAnsi="Arial"/>
          <w:sz w:val="17"/>
          <w:szCs w:val="17"/>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20" w:type="dxa"/>
            <w:vAlign w:val="bottom"/>
            <w:gridSpan w:val="4"/>
          </w:tcPr>
          <w:p>
            <w:pPr>
              <w:spacing w:after="0"/>
              <w:rPr>
                <w:sz w:val="20"/>
                <w:szCs w:val="20"/>
                <w:color w:val="auto"/>
              </w:rPr>
            </w:pPr>
            <w:r>
              <w:rPr>
                <w:rFonts w:ascii="Arial" w:cs="Arial" w:eastAsia="Arial" w:hAnsi="Arial"/>
                <w:sz w:val="18"/>
                <w:szCs w:val="18"/>
                <w:color w:val="auto"/>
              </w:rPr>
              <w:t>Section 1.2 Other Definitions.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5"/>
        </w:trPr>
        <w:tc>
          <w:tcPr>
            <w:tcW w:w="8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DEFINED IN</w:t>
            </w:r>
          </w:p>
        </w:tc>
      </w:tr>
      <w:tr>
        <w:trPr>
          <w:trHeight w:val="236"/>
        </w:trPr>
        <w:tc>
          <w:tcPr>
            <w:tcW w:w="10020" w:type="dxa"/>
            <w:vAlign w:val="bottom"/>
            <w:gridSpan w:val="4"/>
          </w:tcPr>
          <w:p>
            <w:pPr>
              <w:spacing w:after="0"/>
              <w:rPr>
                <w:sz w:val="20"/>
                <w:szCs w:val="20"/>
                <w:color w:val="auto"/>
              </w:rPr>
            </w:pPr>
            <w:r>
              <w:rPr>
                <w:rFonts w:ascii="Arial" w:cs="Arial" w:eastAsia="Arial" w:hAnsi="Arial"/>
                <w:sz w:val="18"/>
                <w:szCs w:val="18"/>
                <w:color w:val="auto"/>
              </w:rPr>
              <w:t>TERM</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SECTION</w:t>
            </w:r>
          </w:p>
        </w:tc>
      </w:tr>
      <w:tr>
        <w:trPr>
          <w:trHeight w:val="214"/>
        </w:trPr>
        <w:tc>
          <w:tcPr>
            <w:tcW w:w="99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 Member</w:t>
            </w: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100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4"/>
        </w:trPr>
        <w:tc>
          <w:tcPr>
            <w:tcW w:w="10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4"/>
        </w:trPr>
        <w:tc>
          <w:tcPr>
            <w:tcW w:w="100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4"/>
        </w:trPr>
        <w:tc>
          <w:tcPr>
            <w:tcW w:w="10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Document</w:t>
            </w: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4"/>
        </w:trPr>
        <w:tc>
          <w:tcPr>
            <w:tcW w:w="100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14"/>
        </w:trPr>
        <w:tc>
          <w:tcPr>
            <w:tcW w:w="10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4"/>
        </w:trPr>
        <w:tc>
          <w:tcPr>
            <w:tcW w:w="100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14"/>
        </w:trPr>
        <w:tc>
          <w:tcPr>
            <w:tcW w:w="10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4"/>
        </w:trPr>
        <w:tc>
          <w:tcPr>
            <w:tcW w:w="100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4"/>
        </w:trPr>
        <w:tc>
          <w:tcPr>
            <w:tcW w:w="10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4"/>
        </w:trPr>
        <w:tc>
          <w:tcPr>
            <w:tcW w:w="100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4"/>
        </w:trPr>
        <w:tc>
          <w:tcPr>
            <w:tcW w:w="10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r>
      <w:tr>
        <w:trPr>
          <w:trHeight w:val="214"/>
        </w:trPr>
        <w:tc>
          <w:tcPr>
            <w:tcW w:w="100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Courts</w:t>
            </w: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r>
      <w:tr>
        <w:trPr>
          <w:trHeight w:val="214"/>
        </w:trPr>
        <w:tc>
          <w:tcPr>
            <w:tcW w:w="10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Holder.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1" w:name="page52"/>
    <w:bookmarkEnd w:id="51"/>
    <w:p>
      <w:pPr>
        <w:spacing w:after="0" w:line="272"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w:t>
      </w:r>
    </w:p>
    <w:p>
      <w:pPr>
        <w:spacing w:after="0" w:line="222" w:lineRule="exact"/>
        <w:rPr>
          <w:sz w:val="20"/>
          <w:szCs w:val="20"/>
          <w:color w:val="auto"/>
        </w:rPr>
      </w:pPr>
    </w:p>
    <w:p>
      <w:pPr>
        <w:ind w:left="1300" w:hanging="649"/>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1"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and the words “to” and “until” each mean “to but excluding”; and</w:t>
      </w:r>
    </w:p>
    <w:p>
      <w:pPr>
        <w:spacing w:after="0" w:line="174"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phrase “in writing” as used herein shall be deemed to include PDFs, e-mails and other electronic means of transmission, unless otherwise indicated.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(any such Board Resolution, supplemental indenture or Officer’s Certificate, as applicable, for such Series, an “</w:t>
      </w:r>
      <w:r>
        <w:rPr>
          <w:rFonts w:ascii="Arial" w:cs="Arial" w:eastAsia="Arial" w:hAnsi="Arial"/>
          <w:sz w:val="18"/>
          <w:szCs w:val="18"/>
          <w:i w:val="1"/>
          <w:iCs w:val="1"/>
          <w:color w:val="auto"/>
        </w:rPr>
        <w:t>Issuing Document</w:t>
      </w:r>
      <w:r>
        <w:rPr>
          <w:rFonts w:ascii="Arial" w:cs="Arial" w:eastAsia="Arial" w:hAnsi="Arial"/>
          <w:sz w:val="18"/>
          <w:szCs w:val="18"/>
          <w:color w:val="auto"/>
        </w:rPr>
        <w:t>”). In the case of Securities of a Series to be issued from time to time, the Issuing Document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clause (a) below and either as to such Securities within the Series or as to the Series generally in the case of clauses (b) through (w)) by or pursuant to a Board Resolution, and set forth or determined in the manner provided in an Issuing Document:</w:t>
      </w:r>
    </w:p>
    <w:p>
      <w:pPr>
        <w:spacing w:after="0" w:line="185" w:lineRule="exact"/>
        <w:rPr>
          <w:sz w:val="20"/>
          <w:szCs w:val="20"/>
          <w:color w:val="auto"/>
        </w:rPr>
      </w:pPr>
    </w:p>
    <w:p>
      <w:pPr>
        <w:ind w:left="1300" w:hanging="649"/>
        <w:spacing w:after="0" w:line="272"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(which shall distinguish the Securities of that particular Series from the Securities of any other Series) and ranking (including the terms of any subordination provisions) of the Series;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2" w:name="page53"/>
    <w:bookmarkEnd w:id="52"/>
    <w:p>
      <w:pPr>
        <w:ind w:left="649" w:hanging="649"/>
        <w:spacing w:after="0"/>
        <w:tabs>
          <w:tab w:leader="none" w:pos="64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price or prices (expressed as a percentage of the principal amount thereof) at which the Securities of the Series will be issued;</w:t>
      </w:r>
    </w:p>
    <w:p>
      <w:pPr>
        <w:spacing w:after="0" w:line="233" w:lineRule="exact"/>
        <w:rPr>
          <w:rFonts w:ascii="Arial" w:cs="Arial" w:eastAsia="Arial" w:hAnsi="Arial"/>
          <w:sz w:val="17"/>
          <w:szCs w:val="17"/>
          <w:color w:val="auto"/>
        </w:rPr>
      </w:pPr>
    </w:p>
    <w:p>
      <w:pPr>
        <w:jc w:val="both"/>
        <w:ind w:left="649" w:hanging="649"/>
        <w:spacing w:after="0" w:line="260" w:lineRule="auto"/>
        <w:tabs>
          <w:tab w:leader="none" w:pos="6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5" w:lineRule="exact"/>
        <w:rPr>
          <w:rFonts w:ascii="Arial" w:cs="Arial" w:eastAsia="Arial" w:hAnsi="Arial"/>
          <w:sz w:val="18"/>
          <w:szCs w:val="18"/>
          <w:color w:val="auto"/>
        </w:rPr>
      </w:pPr>
    </w:p>
    <w:p>
      <w:pPr>
        <w:ind w:left="649" w:hanging="649"/>
        <w:spacing w:after="0"/>
        <w:tabs>
          <w:tab w:leader="none" w:pos="6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1" w:lineRule="exact"/>
        <w:rPr>
          <w:rFonts w:ascii="Arial" w:cs="Arial" w:eastAsia="Arial" w:hAnsi="Arial"/>
          <w:sz w:val="18"/>
          <w:szCs w:val="18"/>
          <w:color w:val="auto"/>
        </w:rPr>
      </w:pPr>
    </w:p>
    <w:p>
      <w:pPr>
        <w:jc w:val="both"/>
        <w:ind w:left="649" w:hanging="649"/>
        <w:spacing w:after="0" w:line="276" w:lineRule="auto"/>
        <w:tabs>
          <w:tab w:leader="none" w:pos="64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3" w:lineRule="exact"/>
        <w:rPr>
          <w:rFonts w:ascii="Arial" w:cs="Arial" w:eastAsia="Arial" w:hAnsi="Arial"/>
          <w:sz w:val="17"/>
          <w:szCs w:val="17"/>
          <w:color w:val="auto"/>
        </w:rPr>
      </w:pPr>
    </w:p>
    <w:p>
      <w:pPr>
        <w:jc w:val="both"/>
        <w:ind w:left="649" w:hanging="649"/>
        <w:spacing w:after="0" w:line="256" w:lineRule="auto"/>
        <w:tabs>
          <w:tab w:leader="none" w:pos="6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89" w:lineRule="exact"/>
        <w:rPr>
          <w:rFonts w:ascii="Arial" w:cs="Arial" w:eastAsia="Arial" w:hAnsi="Arial"/>
          <w:sz w:val="18"/>
          <w:szCs w:val="18"/>
          <w:color w:val="auto"/>
        </w:rPr>
      </w:pPr>
    </w:p>
    <w:p>
      <w:pPr>
        <w:ind w:left="649" w:hanging="649"/>
        <w:spacing w:after="0" w:line="272" w:lineRule="auto"/>
        <w:tabs>
          <w:tab w:leader="none" w:pos="6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74" w:lineRule="exact"/>
        <w:rPr>
          <w:rFonts w:ascii="Arial" w:cs="Arial" w:eastAsia="Arial" w:hAnsi="Arial"/>
          <w:sz w:val="18"/>
          <w:szCs w:val="18"/>
          <w:color w:val="auto"/>
        </w:rPr>
      </w:pPr>
    </w:p>
    <w:p>
      <w:pPr>
        <w:jc w:val="both"/>
        <w:ind w:left="649" w:hanging="649"/>
        <w:spacing w:after="0" w:line="282" w:lineRule="auto"/>
        <w:tabs>
          <w:tab w:leader="none" w:pos="64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8" w:lineRule="exact"/>
        <w:rPr>
          <w:rFonts w:ascii="Arial" w:cs="Arial" w:eastAsia="Arial" w:hAnsi="Arial"/>
          <w:sz w:val="17"/>
          <w:szCs w:val="17"/>
          <w:color w:val="auto"/>
        </w:rPr>
      </w:pPr>
    </w:p>
    <w:p>
      <w:pPr>
        <w:ind w:left="649" w:hanging="649"/>
        <w:spacing w:after="0" w:line="272" w:lineRule="auto"/>
        <w:tabs>
          <w:tab w:leader="none" w:pos="6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4" w:lineRule="exact"/>
        <w:rPr>
          <w:rFonts w:ascii="Arial" w:cs="Arial" w:eastAsia="Arial" w:hAnsi="Arial"/>
          <w:sz w:val="18"/>
          <w:szCs w:val="18"/>
          <w:color w:val="auto"/>
        </w:rPr>
      </w:pPr>
    </w:p>
    <w:p>
      <w:pPr>
        <w:ind w:left="649" w:hanging="649"/>
        <w:spacing w:after="0" w:line="272" w:lineRule="auto"/>
        <w:tabs>
          <w:tab w:leader="none" w:pos="6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denominations in which the Securities of the Series shall be issuable;</w:t>
      </w:r>
    </w:p>
    <w:p>
      <w:pPr>
        <w:spacing w:after="0" w:line="174" w:lineRule="exact"/>
        <w:rPr>
          <w:rFonts w:ascii="Arial" w:cs="Arial" w:eastAsia="Arial" w:hAnsi="Arial"/>
          <w:sz w:val="18"/>
          <w:szCs w:val="18"/>
          <w:color w:val="auto"/>
        </w:rPr>
      </w:pPr>
    </w:p>
    <w:p>
      <w:pPr>
        <w:ind w:left="649" w:hanging="649"/>
        <w:spacing w:after="0"/>
        <w:tabs>
          <w:tab w:leader="none" w:pos="6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forms of the Securities of the Series and whether the Securities will be issuable as Global Securities;</w:t>
      </w:r>
    </w:p>
    <w:p>
      <w:pPr>
        <w:spacing w:after="0" w:line="221" w:lineRule="exact"/>
        <w:rPr>
          <w:rFonts w:ascii="Arial" w:cs="Arial" w:eastAsia="Arial" w:hAnsi="Arial"/>
          <w:sz w:val="18"/>
          <w:szCs w:val="18"/>
          <w:color w:val="auto"/>
        </w:rPr>
      </w:pPr>
    </w:p>
    <w:p>
      <w:pPr>
        <w:ind w:left="649" w:right="20" w:hanging="649"/>
        <w:spacing w:after="0" w:line="272" w:lineRule="auto"/>
        <w:tabs>
          <w:tab w:leader="none" w:pos="6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6.2;</w:t>
      </w:r>
    </w:p>
    <w:p>
      <w:pPr>
        <w:spacing w:after="0" w:line="174" w:lineRule="exact"/>
        <w:rPr>
          <w:rFonts w:ascii="Arial" w:cs="Arial" w:eastAsia="Arial" w:hAnsi="Arial"/>
          <w:sz w:val="18"/>
          <w:szCs w:val="18"/>
          <w:color w:val="auto"/>
        </w:rPr>
      </w:pPr>
    </w:p>
    <w:p>
      <w:pPr>
        <w:ind w:left="649" w:hanging="649"/>
        <w:spacing w:after="0" w:line="302" w:lineRule="auto"/>
        <w:tabs>
          <w:tab w:leader="none" w:pos="64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51" w:lineRule="exact"/>
        <w:rPr>
          <w:rFonts w:ascii="Arial" w:cs="Arial" w:eastAsia="Arial" w:hAnsi="Arial"/>
          <w:sz w:val="17"/>
          <w:szCs w:val="17"/>
          <w:color w:val="auto"/>
        </w:rPr>
      </w:pPr>
    </w:p>
    <w:p>
      <w:pPr>
        <w:ind w:left="649" w:hanging="649"/>
        <w:spacing w:after="0" w:line="272" w:lineRule="auto"/>
        <w:tabs>
          <w:tab w:leader="none" w:pos="6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if any, on the Securities of the Series will be made;</w:t>
      </w:r>
    </w:p>
    <w:p>
      <w:pPr>
        <w:spacing w:after="0" w:line="389" w:lineRule="exact"/>
        <w:rPr>
          <w:sz w:val="20"/>
          <w:szCs w:val="20"/>
          <w:color w:val="auto"/>
        </w:rPr>
      </w:pPr>
    </w:p>
    <w:p>
      <w:pPr>
        <w:ind w:left="492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13970</wp:posOffset>
            </wp:positionV>
            <wp:extent cx="71335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89"/>
          </w:cols>
          <w:pgMar w:left="971" w:top="903" w:right="339" w:bottom="1440" w:gutter="0" w:footer="0" w:header="0"/>
        </w:sectPr>
      </w:pPr>
    </w:p>
    <w:bookmarkStart w:id="53" w:name="page54"/>
    <w:bookmarkEnd w:id="53"/>
    <w:p>
      <w:pPr>
        <w:jc w:val="both"/>
        <w:ind w:left="1300" w:hanging="649"/>
        <w:spacing w:after="0" w:line="260"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5" w:lineRule="exact"/>
        <w:rPr>
          <w:rFonts w:ascii="Arial" w:cs="Arial" w:eastAsia="Arial" w:hAnsi="Arial"/>
          <w:sz w:val="18"/>
          <w:szCs w:val="18"/>
          <w:color w:val="auto"/>
        </w:rPr>
      </w:pPr>
    </w:p>
    <w:p>
      <w:pPr>
        <w:jc w:val="both"/>
        <w:ind w:left="1300" w:hanging="649"/>
        <w:spacing w:after="0" w:line="260"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5" w:lineRule="exact"/>
        <w:rPr>
          <w:rFonts w:ascii="Arial" w:cs="Arial" w:eastAsia="Arial" w:hAnsi="Arial"/>
          <w:sz w:val="18"/>
          <w:szCs w:val="18"/>
          <w:color w:val="auto"/>
        </w:rPr>
      </w:pPr>
    </w:p>
    <w:p>
      <w:pPr>
        <w:ind w:left="1300" w:hanging="649"/>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Securities of the Series;</w:t>
      </w:r>
    </w:p>
    <w:p>
      <w:pPr>
        <w:spacing w:after="0" w:line="221" w:lineRule="exact"/>
        <w:rPr>
          <w:rFonts w:ascii="Arial" w:cs="Arial" w:eastAsia="Arial" w:hAnsi="Arial"/>
          <w:sz w:val="18"/>
          <w:szCs w:val="18"/>
          <w:color w:val="auto"/>
        </w:rPr>
      </w:pPr>
    </w:p>
    <w:p>
      <w:pPr>
        <w:ind w:left="1300" w:hanging="649"/>
        <w:spacing w:after="0" w:line="336"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28" w:lineRule="exact"/>
        <w:rPr>
          <w:rFonts w:ascii="Arial" w:cs="Arial" w:eastAsia="Arial" w:hAnsi="Arial"/>
          <w:sz w:val="16"/>
          <w:szCs w:val="16"/>
          <w:color w:val="auto"/>
        </w:rPr>
      </w:pPr>
    </w:p>
    <w:p>
      <w:pPr>
        <w:ind w:left="1300" w:hanging="649"/>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applicable to Securities of the Series;</w:t>
      </w:r>
    </w:p>
    <w:p>
      <w:pPr>
        <w:spacing w:after="0" w:line="221"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Securities of such Series if other than those appointed herein;</w:t>
      </w:r>
    </w:p>
    <w:p>
      <w:pPr>
        <w:spacing w:after="0" w:line="174" w:lineRule="exact"/>
        <w:rPr>
          <w:rFonts w:ascii="Arial" w:cs="Arial" w:eastAsia="Arial" w:hAnsi="Arial"/>
          <w:sz w:val="18"/>
          <w:szCs w:val="18"/>
          <w:color w:val="auto"/>
        </w:rPr>
      </w:pPr>
    </w:p>
    <w:p>
      <w:pPr>
        <w:jc w:val="both"/>
        <w:ind w:left="1300" w:hanging="649"/>
        <w:spacing w:after="0" w:line="276"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73" w:lineRule="exact"/>
        <w:rPr>
          <w:rFonts w:ascii="Arial" w:cs="Arial" w:eastAsia="Arial" w:hAnsi="Arial"/>
          <w:sz w:val="17"/>
          <w:szCs w:val="17"/>
          <w:color w:val="auto"/>
        </w:rPr>
      </w:pPr>
    </w:p>
    <w:p>
      <w:pPr>
        <w:jc w:val="both"/>
        <w:ind w:left="1300" w:hanging="649"/>
        <w:spacing w:after="0" w:line="260"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5"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any of the Company’s direct or indirect Subsidiaries will guarantee the Securities of that Series, including the terms of subordination, if any, of such guarantees.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Issuing Document referred to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An Officer shall sign the Securities for the Company by manual, facsimile or electronic signature. If an Officer whose signature is on a Security no longer holds that office at the time the Security is authenticated, the Security shall nevertheless be valid.</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Security shall not be valid until authenticated by the manual or electronic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Issuing Document, upon receipt by the Trustee of a Company Order. Each Security shall be dated the date of its authentication.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4" w:name="page55"/>
    <w:bookmarkEnd w:id="54"/>
    <w:p>
      <w:pPr>
        <w:jc w:val="both"/>
        <w:spacing w:after="0" w:line="256" w:lineRule="auto"/>
        <w:rPr>
          <w:sz w:val="20"/>
          <w:szCs w:val="20"/>
          <w:color w:val="auto"/>
        </w:rPr>
      </w:pPr>
      <w:r>
        <w:rPr>
          <w:rFonts w:ascii="Arial" w:cs="Arial" w:eastAsia="Arial" w:hAnsi="Arial"/>
          <w:sz w:val="18"/>
          <w:szCs w:val="18"/>
          <w:color w:val="auto"/>
        </w:rPr>
        <w:t>Prior to the issuance of Securities of any Series, the Trustee shall have received and (subject to Section 7.2) shall be fully protected in relying on: (a) the Issuing Document establishing the form of the Securities of that Series or of Securities within that Series and the terms of the Securities of that Series or of Securities within that Series, (b) an Officer’s Certificate complying with Sections 10.4 and 10.5, and (c) an Opinion of Counsel complying with Sections 10.4 and 10.5.</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Issuing Document delivered pursuant to Section 2.2, except as provided in Section 2.8.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Registrar, Paying Agent and Notice Agent</w:t>
      </w:r>
      <w:r>
        <w:rPr>
          <w:rFonts w:ascii="Arial" w:cs="Arial" w:eastAsia="Arial" w:hAnsi="Arial"/>
          <w:sz w:val="18"/>
          <w:szCs w:val="18"/>
          <w:color w:val="auto"/>
        </w:rPr>
        <w:t>.</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where Securities of such Series may be surrendered for registration of transfer 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where notices and demands to or upon the Company in respect of the Securities of such Series and this Indenture may be delivered (“</w:t>
      </w:r>
      <w:r>
        <w:rPr>
          <w:rFonts w:ascii="Arial" w:cs="Arial" w:eastAsia="Arial" w:hAnsi="Arial"/>
          <w:sz w:val="16"/>
          <w:szCs w:val="16"/>
          <w:i w:val="1"/>
          <w:iCs w:val="1"/>
          <w:color w:val="auto"/>
        </w:rPr>
        <w:t>Notice Agent</w:t>
      </w:r>
      <w:r>
        <w:rPr>
          <w:rFonts w:ascii="Arial" w:cs="Arial" w:eastAsia="Arial" w:hAnsi="Arial"/>
          <w:sz w:val="16"/>
          <w:szCs w:val="16"/>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appointment of the Trustee as the Notice Agent shall exclude the appointment of the Trustee or any office of the Trustee as an agent to receive the service of legal process on the Company.</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Paying 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 may serve as Registrar or Paying Agent.</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Holder Lists</w:t>
      </w:r>
      <w:r>
        <w:rPr>
          <w:rFonts w:ascii="Arial" w:cs="Arial" w:eastAsia="Arial" w:hAnsi="Arial"/>
          <w:sz w:val="18"/>
          <w:szCs w:val="18"/>
          <w:color w:val="auto"/>
        </w:rPr>
        <w:t>.</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there shall be delivered to the Company and the Trustee (a) evidence to their satisfaction of the destruction, loss or theft of any Security and (b)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4" w:lineRule="exact"/>
        <w:rPr>
          <w:sz w:val="20"/>
          <w:szCs w:val="20"/>
          <w:color w:val="auto"/>
        </w:rPr>
      </w:pPr>
    </w:p>
    <w:p>
      <w:pPr>
        <w:jc w:val="both"/>
        <w:ind w:right="20"/>
        <w:spacing w:after="0" w:line="336"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delivered to the Trustee for cancellation.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An Issuing Document shall establish whether the Securities of a Series shall be issued in whole or in part in the form of one or more Global Securities and the Depositary for such Global Security or Securities.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2.14.2 </w:t>
      </w:r>
      <w:r>
        <w:rPr>
          <w:rFonts w:ascii="Arial" w:cs="Arial" w:eastAsia="Arial" w:hAnsi="Arial"/>
          <w:sz w:val="17"/>
          <w:szCs w:val="17"/>
          <w:u w:val="single" w:color="auto"/>
          <w:color w:val="auto"/>
        </w:rPr>
        <w:t>Transfer and Exchange</w:t>
      </w:r>
      <w:r>
        <w:rPr>
          <w:rFonts w:ascii="Arial" w:cs="Arial" w:eastAsia="Arial" w:hAnsi="Arial"/>
          <w:sz w:val="17"/>
          <w:szCs w:val="17"/>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8" w:name="page59"/>
    <w:bookmarkEnd w:id="58"/>
    <w:p>
      <w:pPr>
        <w:jc w:val="both"/>
        <w:spacing w:after="0" w:line="260"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9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Legends</w:t>
      </w:r>
      <w:r>
        <w:rPr>
          <w:rFonts w:ascii="Arial" w:cs="Arial" w:eastAsia="Arial" w:hAnsi="Arial"/>
          <w:sz w:val="18"/>
          <w:szCs w:val="18"/>
          <w:color w:val="auto"/>
        </w:rPr>
        <w:t>. Any Global Security issued hereunder shall bear a legend in substantially the following form:</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addition, so long as the Depository Trust Company (“DTC”) is the Depositary, each Global Security registered in the name of DTC or its nominee shall bear a legend in substantially the following form:</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 xml:space="preserve">2.14.4 </w:t>
      </w:r>
      <w:r>
        <w:rPr>
          <w:rFonts w:ascii="Arial" w:cs="Arial" w:eastAsia="Arial" w:hAnsi="Arial"/>
          <w:sz w:val="18"/>
          <w:szCs w:val="18"/>
          <w:u w:val="single" w:color="auto"/>
          <w:color w:val="auto"/>
        </w:rPr>
        <w:t>Acts of Holders</w:t>
      </w:r>
      <w:r>
        <w:rPr>
          <w:rFonts w:ascii="Arial" w:cs="Arial" w:eastAsia="Arial" w:hAnsi="Arial"/>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9" w:name="page60"/>
    <w:bookmarkEnd w:id="59"/>
    <w:p>
      <w:pPr>
        <w:jc w:val="both"/>
        <w:spacing w:after="0" w:line="272"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2.14.6 </w:t>
      </w:r>
      <w:r>
        <w:rPr>
          <w:rFonts w:ascii="Arial" w:cs="Arial" w:eastAsia="Arial" w:hAnsi="Arial"/>
          <w:sz w:val="17"/>
          <w:szCs w:val="17"/>
          <w:u w:val="single" w:color="auto"/>
          <w:color w:val="auto"/>
        </w:rPr>
        <w:t>Agent Members</w:t>
      </w:r>
      <w:r>
        <w:rPr>
          <w:rFonts w:ascii="Arial" w:cs="Arial" w:eastAsia="Arial" w:hAnsi="Arial"/>
          <w:sz w:val="17"/>
          <w:szCs w:val="17"/>
          <w:color w:val="auto"/>
        </w:rPr>
        <w:t>. The registered Holder of a Security will be treated as the owner of such Security for all purposes and only registered Holders shall have rights under this Indenture and the Securities. Members of, or participants in, the Depositary (“Agent Members”)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three Business Days before the redemption date (or such shorter period as may be acceptable to the Trustee).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Unless otherwise indicated for a particular Series by an Issuing Document,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Unless otherwise indicated for a particular Series by an Issuing Document, at least three Business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2" w:lineRule="exact"/>
        <w:rPr>
          <w:sz w:val="20"/>
          <w:szCs w:val="20"/>
          <w:color w:val="auto"/>
        </w:rPr>
      </w:pPr>
    </w:p>
    <w:p>
      <w:pPr>
        <w:ind w:left="1300" w:hanging="649"/>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1" w:lineRule="exact"/>
        <w:rPr>
          <w:rFonts w:ascii="Arial" w:cs="Arial" w:eastAsia="Arial" w:hAnsi="Arial"/>
          <w:sz w:val="18"/>
          <w:szCs w:val="18"/>
          <w:color w:val="auto"/>
        </w:rPr>
      </w:pPr>
    </w:p>
    <w:p>
      <w:pPr>
        <w:jc w:val="both"/>
        <w:ind w:left="1300" w:hanging="649"/>
        <w:spacing w:after="0" w:line="282"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68" w:lineRule="exact"/>
        <w:rPr>
          <w:rFonts w:ascii="Arial" w:cs="Arial" w:eastAsia="Arial" w:hAnsi="Arial"/>
          <w:sz w:val="17"/>
          <w:szCs w:val="17"/>
          <w:color w:val="auto"/>
        </w:rPr>
      </w:pPr>
    </w:p>
    <w:p>
      <w:pPr>
        <w:ind w:left="1300" w:hanging="649"/>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221"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 unless the Company defaults in the deposit of the redemption price;</w:t>
      </w:r>
    </w:p>
    <w:p>
      <w:pPr>
        <w:spacing w:after="0" w:line="174" w:lineRule="exact"/>
        <w:rPr>
          <w:rFonts w:ascii="Arial" w:cs="Arial" w:eastAsia="Arial" w:hAnsi="Arial"/>
          <w:sz w:val="18"/>
          <w:szCs w:val="18"/>
          <w:color w:val="auto"/>
        </w:rPr>
      </w:pPr>
    </w:p>
    <w:p>
      <w:pPr>
        <w:ind w:left="1300" w:hanging="649"/>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At the Company’s request, the Trustee shall give the notice of redemption in the Company’s name and at its expense, provided, however, that the Company has delivered to the Trustee, at least two Business days (unless a shorter time shall be acceptable to the Trustee) prior to the notice date, an Officer’s Certificate requesting that the Trustee give such notice and setting forth the information to be stated in such notice and the form of such notice.</w:t>
      </w:r>
    </w:p>
    <w:p>
      <w:pPr>
        <w:spacing w:after="0" w:line="15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Notice of any redemption of any Series of the Securities (including upon in connection with another transaction (or series of related transactions)) may, at the Company’s discretion, be given prior to the completion or the occurrence thereof and any such redemption or notice may, at the Company’s discretion, be subject to one or more conditions precedent, including, but not limited to, completion or occurrence of the such transaction or event, as the case may be. In addition, if such redemption or purchase is subject to satisfaction of one or more conditions precedent, such notice shall describe each such condition, and if applicable, shall state that, in the Company’s discretion, the redemption date may be delayed until such time (including more than 60 days after the date the notice of redemption was mailed or delivered, including by electronic transmission) as any or all such conditions shall be satisfied (or waived by the Company in its sole discretion), or such redemption or purchase may not occur and such notice may be rescinded in the event that any or all such conditions shall not have been satisfied (or waived by the Company in its sole discretion) by the redemption date, or by the redemption date as so delayed, or such notice may be rescinded at any time in the Company’s discretion if in the good faith judgment of the Company any or all of such conditions will not be satisfied. In addition, the Company may provide in such notice that payment of the redemption price and performance of the Company’s obligations with respect to such redemption may be performed by another person. In no event shall the Trustee be responsible for monitoring, or charged with knowledge of, the maximum aggregate amount any Series of Securities eligible under this Indenture to be redeemed. If any such notice of redemption is rescinded, the Company shall provide written notice thereof to the Trustee and each Holder of such Series of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Once notice of redemption is sent as provided in Section 3.3 and satisfaction of the conditions precedent set forth therein, if any, Securities of a Series called for redemption become due and payable on the redemption date and at the redemption price. Upon surrender to the Paying Agent, such Securities shall be paid at the redemption price plus accrued interest to the redemption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and Interest</w:t>
      </w:r>
      <w:r>
        <w:rPr>
          <w:rFonts w:ascii="Arial" w:cs="Arial" w:eastAsia="Arial" w:hAnsi="Arial"/>
          <w:sz w:val="18"/>
          <w:szCs w:val="18"/>
          <w:color w:val="auto"/>
        </w:rPr>
        <w:t>.</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SEC Reports</w:t>
      </w:r>
      <w:r>
        <w:rPr>
          <w:rFonts w:ascii="Arial" w:cs="Arial" w:eastAsia="Arial" w:hAnsi="Arial"/>
          <w:sz w:val="18"/>
          <w:szCs w:val="18"/>
          <w:color w:val="auto"/>
        </w:rPr>
        <w:t>.</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When Company May Merge, Etc</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174" w:lineRule="exact"/>
        <w:rPr>
          <w:sz w:val="20"/>
          <w:szCs w:val="20"/>
          <w:color w:val="auto"/>
        </w:rPr>
      </w:pPr>
    </w:p>
    <w:p>
      <w:pPr>
        <w:jc w:val="both"/>
        <w:ind w:left="1300" w:hanging="649"/>
        <w:spacing w:after="0" w:line="26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is the surviving entity or the successor person (if other than the Company) is a corporation, partnership, trust or other entity organized and validly existing under the laws of any U.S. domestic jurisdiction and expressly assumes by supplemental indenture the Company’s obligations on the Securities and under this Indenture; and</w:t>
      </w:r>
    </w:p>
    <w:p>
      <w:pPr>
        <w:spacing w:after="0" w:line="185" w:lineRule="exact"/>
        <w:rPr>
          <w:rFonts w:ascii="Arial" w:cs="Arial" w:eastAsia="Arial" w:hAnsi="Arial"/>
          <w:sz w:val="18"/>
          <w:szCs w:val="18"/>
          <w:color w:val="auto"/>
        </w:rPr>
      </w:pPr>
    </w:p>
    <w:p>
      <w:pPr>
        <w:ind w:left="1300" w:hanging="649"/>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74"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DEFAULTS AND REMEDIES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“Event of Default,” wherever used herein with respect to Securities of any Series, means any one of the following events, unless in the establishing Issuing Document it is provided that such Series shall not have the benefit of said Event of Default:</w:t>
      </w:r>
    </w:p>
    <w:p>
      <w:pPr>
        <w:spacing w:after="0" w:line="174" w:lineRule="exact"/>
        <w:rPr>
          <w:sz w:val="20"/>
          <w:szCs w:val="20"/>
          <w:color w:val="auto"/>
        </w:rPr>
      </w:pPr>
    </w:p>
    <w:p>
      <w:pPr>
        <w:jc w:val="both"/>
        <w:ind w:left="1300" w:hanging="649"/>
        <w:spacing w:after="0" w:line="260"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w:t>
      </w:r>
    </w:p>
    <w:p>
      <w:pPr>
        <w:spacing w:after="0" w:line="185" w:lineRule="exact"/>
        <w:rPr>
          <w:rFonts w:ascii="Arial" w:cs="Arial" w:eastAsia="Arial" w:hAnsi="Arial"/>
          <w:sz w:val="18"/>
          <w:szCs w:val="18"/>
          <w:color w:val="auto"/>
        </w:rPr>
      </w:pPr>
    </w:p>
    <w:p>
      <w:pPr>
        <w:ind w:left="1300" w:hanging="649"/>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default in the payment of principal of any Security of that Series at its Maturity and such default continues for a period of 10 days;</w:t>
      </w:r>
    </w:p>
    <w:p>
      <w:pPr>
        <w:spacing w:after="0" w:line="233" w:lineRule="exact"/>
        <w:rPr>
          <w:rFonts w:ascii="Arial" w:cs="Arial" w:eastAsia="Arial" w:hAnsi="Arial"/>
          <w:sz w:val="17"/>
          <w:szCs w:val="17"/>
          <w:color w:val="auto"/>
        </w:rPr>
      </w:pPr>
    </w:p>
    <w:p>
      <w:pPr>
        <w:jc w:val="both"/>
        <w:ind w:left="1300" w:hanging="649"/>
        <w:spacing w:after="0" w:line="253"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90 days after there has been given, by registered or certified mail, to the Company by the Trustee or to the Company and the Trustee by the Holders of at least 30% in principal amount of the outstanding Securities of that Series a written notice specifying such default or breach and requiring it to be remedied and stating that such notice is a “Notice of Default” hereunder;</w:t>
      </w:r>
    </w:p>
    <w:p>
      <w:pPr>
        <w:spacing w:after="0" w:line="192" w:lineRule="exact"/>
        <w:rPr>
          <w:rFonts w:ascii="Arial" w:cs="Arial" w:eastAsia="Arial" w:hAnsi="Arial"/>
          <w:sz w:val="18"/>
          <w:szCs w:val="18"/>
          <w:color w:val="auto"/>
        </w:rPr>
      </w:pPr>
    </w:p>
    <w:p>
      <w:pPr>
        <w:ind w:left="1300" w:hanging="649"/>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17" w:lineRule="exact"/>
        <w:rPr>
          <w:rFonts w:ascii="Arial" w:cs="Arial" w:eastAsia="Arial" w:hAnsi="Arial"/>
          <w:sz w:val="18"/>
          <w:szCs w:val="18"/>
          <w:color w:val="auto"/>
        </w:rPr>
      </w:pPr>
    </w:p>
    <w:p>
      <w:pPr>
        <w:ind w:left="1940" w:hanging="646"/>
        <w:spacing w:after="0"/>
        <w:tabs>
          <w:tab w:leader="none" w:pos="194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commences a voluntary case,</w:t>
      </w:r>
    </w:p>
    <w:p>
      <w:pPr>
        <w:spacing w:after="0" w:line="221" w:lineRule="exact"/>
        <w:rPr>
          <w:rFonts w:ascii="Arial" w:cs="Arial" w:eastAsia="Arial" w:hAnsi="Arial"/>
          <w:sz w:val="18"/>
          <w:szCs w:val="18"/>
          <w:b w:val="1"/>
          <w:bCs w:val="1"/>
          <w:color w:val="auto"/>
        </w:rPr>
      </w:pPr>
    </w:p>
    <w:p>
      <w:pPr>
        <w:ind w:left="1940" w:hanging="646"/>
        <w:spacing w:after="0"/>
        <w:tabs>
          <w:tab w:leader="none" w:pos="194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consents to the entry of an order for relief against it in an involuntary case,</w:t>
      </w:r>
    </w:p>
    <w:p>
      <w:pPr>
        <w:spacing w:after="0" w:line="221" w:lineRule="exact"/>
        <w:rPr>
          <w:rFonts w:ascii="Arial" w:cs="Arial" w:eastAsia="Arial" w:hAnsi="Arial"/>
          <w:sz w:val="18"/>
          <w:szCs w:val="18"/>
          <w:b w:val="1"/>
          <w:bCs w:val="1"/>
          <w:color w:val="auto"/>
        </w:rPr>
      </w:pPr>
    </w:p>
    <w:p>
      <w:pPr>
        <w:ind w:left="1940" w:hanging="646"/>
        <w:spacing w:after="0"/>
        <w:tabs>
          <w:tab w:leader="none" w:pos="194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consents to the appointment of a Custodian of it or for all or substantially all of its property, or</w:t>
      </w:r>
    </w:p>
    <w:p>
      <w:pPr>
        <w:spacing w:after="0" w:line="221" w:lineRule="exact"/>
        <w:rPr>
          <w:rFonts w:ascii="Arial" w:cs="Arial" w:eastAsia="Arial" w:hAnsi="Arial"/>
          <w:sz w:val="18"/>
          <w:szCs w:val="18"/>
          <w:b w:val="1"/>
          <w:bCs w:val="1"/>
          <w:color w:val="auto"/>
        </w:rPr>
      </w:pPr>
    </w:p>
    <w:p>
      <w:pPr>
        <w:ind w:left="1940" w:hanging="646"/>
        <w:spacing w:after="0"/>
        <w:tabs>
          <w:tab w:leader="none" w:pos="194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makes a general assignment for the benefit of its creditors;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4" w:name="page65"/>
    <w:bookmarkEnd w:id="64"/>
    <w:p>
      <w:pPr>
        <w:ind w:left="1300" w:hanging="649"/>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17" w:lineRule="exact"/>
        <w:rPr>
          <w:rFonts w:ascii="Arial" w:cs="Arial" w:eastAsia="Arial" w:hAnsi="Arial"/>
          <w:sz w:val="18"/>
          <w:szCs w:val="18"/>
          <w:color w:val="auto"/>
        </w:rPr>
      </w:pPr>
    </w:p>
    <w:p>
      <w:pPr>
        <w:ind w:left="1940" w:hanging="646"/>
        <w:spacing w:after="0"/>
        <w:tabs>
          <w:tab w:leader="none" w:pos="194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is for relief against the Company in an involuntary case,</w:t>
      </w:r>
    </w:p>
    <w:p>
      <w:pPr>
        <w:spacing w:after="0" w:line="221" w:lineRule="exact"/>
        <w:rPr>
          <w:rFonts w:ascii="Arial" w:cs="Arial" w:eastAsia="Arial" w:hAnsi="Arial"/>
          <w:sz w:val="18"/>
          <w:szCs w:val="18"/>
          <w:b w:val="1"/>
          <w:bCs w:val="1"/>
          <w:color w:val="auto"/>
        </w:rPr>
      </w:pPr>
    </w:p>
    <w:p>
      <w:pPr>
        <w:ind w:left="1940" w:hanging="646"/>
        <w:spacing w:after="0"/>
        <w:tabs>
          <w:tab w:leader="none" w:pos="194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appoints a Custodian of the Company or for all or substantially all of its property, or</w:t>
      </w:r>
    </w:p>
    <w:p>
      <w:pPr>
        <w:spacing w:after="0" w:line="221" w:lineRule="exact"/>
        <w:rPr>
          <w:rFonts w:ascii="Arial" w:cs="Arial" w:eastAsia="Arial" w:hAnsi="Arial"/>
          <w:sz w:val="18"/>
          <w:szCs w:val="18"/>
          <w:b w:val="1"/>
          <w:bCs w:val="1"/>
          <w:color w:val="auto"/>
        </w:rPr>
      </w:pPr>
    </w:p>
    <w:p>
      <w:pPr>
        <w:ind w:left="1940" w:hanging="646"/>
        <w:spacing w:after="0"/>
        <w:tabs>
          <w:tab w:leader="none" w:pos="194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orders the liquidation of the Company, and</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in each case, the order or decree remains unstayed and in effect for 90 days; or</w:t>
      </w:r>
    </w:p>
    <w:p>
      <w:pPr>
        <w:spacing w:after="0" w:line="226" w:lineRule="exact"/>
        <w:rPr>
          <w:sz w:val="20"/>
          <w:szCs w:val="20"/>
          <w:color w:val="auto"/>
        </w:rPr>
      </w:pPr>
    </w:p>
    <w:p>
      <w:pPr>
        <w:ind w:left="1300" w:hanging="649"/>
        <w:spacing w:after="0" w:line="272"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an Issuing Document, in accordance with Section 2.2.18.</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(unless otherwise stated above)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30%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7"/>
          <w:szCs w:val="17"/>
          <w:i w:val="1"/>
          <w:iCs w:val="1"/>
          <w:color w:val="auto"/>
        </w:rPr>
        <w:t>ipso facto</w:t>
      </w:r>
      <w:r>
        <w:rPr>
          <w:rFonts w:ascii="Arial" w:cs="Arial" w:eastAsia="Arial" w:hAnsi="Arial"/>
          <w:sz w:val="17"/>
          <w:szCs w:val="17"/>
          <w:color w:val="auto"/>
        </w:rPr>
        <w:t xml:space="preserve"> become and be immediately due and payable without any declaration or other act on the part of the Trustee or any Holder.</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 covenants that if:</w:t>
      </w:r>
    </w:p>
    <w:p>
      <w:pPr>
        <w:spacing w:after="0" w:line="222" w:lineRule="exact"/>
        <w:rPr>
          <w:sz w:val="20"/>
          <w:szCs w:val="20"/>
          <w:color w:val="auto"/>
        </w:rPr>
      </w:pPr>
    </w:p>
    <w:p>
      <w:pPr>
        <w:ind w:left="1300" w:hanging="649"/>
        <w:spacing w:after="0" w:line="272"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w:t>
      </w:r>
    </w:p>
    <w:p>
      <w:pPr>
        <w:spacing w:after="0" w:line="174" w:lineRule="exact"/>
        <w:rPr>
          <w:rFonts w:ascii="Arial" w:cs="Arial" w:eastAsia="Arial" w:hAnsi="Arial"/>
          <w:sz w:val="18"/>
          <w:szCs w:val="18"/>
          <w:color w:val="auto"/>
        </w:rPr>
      </w:pPr>
    </w:p>
    <w:p>
      <w:pPr>
        <w:ind w:left="1300" w:hanging="649"/>
        <w:spacing w:after="0"/>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default is made in the payment of principal of any Security at the Maturity thereof and such default continues for a period of 10 days, or</w:t>
      </w:r>
    </w:p>
    <w:p>
      <w:pPr>
        <w:spacing w:after="0" w:line="244" w:lineRule="exact"/>
        <w:rPr>
          <w:rFonts w:ascii="Arial" w:cs="Arial" w:eastAsia="Arial" w:hAnsi="Arial"/>
          <w:sz w:val="16"/>
          <w:szCs w:val="16"/>
          <w:color w:val="auto"/>
        </w:rPr>
      </w:pPr>
    </w:p>
    <w:p>
      <w:pPr>
        <w:ind w:left="1300" w:hanging="64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if any, when and as due by the terms of a Security,</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then, </w:t>
      </w:r>
      <w:r>
        <w:rPr>
          <w:rFonts w:ascii="Arial" w:cs="Arial" w:eastAsia="Arial" w:hAnsi="Arial"/>
          <w:sz w:val="16"/>
          <w:szCs w:val="16"/>
          <w:color w:val="auto"/>
        </w:rPr>
        <w:t>the Company will, upon demand of the Trustee, pay to it, for the benefit of the Holders of such Securities, the whole amount then due and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92" w:lineRule="exact"/>
        <w:rPr>
          <w:sz w:val="20"/>
          <w:szCs w:val="20"/>
          <w:color w:val="auto"/>
        </w:rPr>
      </w:pPr>
    </w:p>
    <w:p>
      <w:pPr>
        <w:jc w:val="both"/>
        <w:ind w:left="1300" w:hanging="649"/>
        <w:spacing w:after="0" w:line="256"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89" w:lineRule="exact"/>
        <w:rPr>
          <w:rFonts w:ascii="Arial" w:cs="Arial" w:eastAsia="Arial" w:hAnsi="Arial"/>
          <w:sz w:val="18"/>
          <w:szCs w:val="18"/>
          <w:color w:val="auto"/>
        </w:rPr>
      </w:pPr>
    </w:p>
    <w:p>
      <w:pPr>
        <w:ind w:left="1300" w:hanging="649"/>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6" w:name="page67"/>
    <w:bookmarkEnd w:id="66"/>
    <w:p>
      <w:pPr>
        <w:jc w:val="both"/>
        <w:spacing w:after="0" w:line="260"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8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To the payment of all amounts due the Trustee under Section 7.7; and</w:t>
      </w:r>
    </w:p>
    <w:p>
      <w:pPr>
        <w:spacing w:after="0" w:line="222" w:lineRule="exact"/>
        <w:rPr>
          <w:sz w:val="20"/>
          <w:szCs w:val="20"/>
          <w:color w:val="auto"/>
        </w:rPr>
      </w:pPr>
    </w:p>
    <w:p>
      <w:pPr>
        <w:jc w:val="both"/>
        <w:ind w:left="1460" w:hanging="799"/>
        <w:spacing w:after="0" w:line="260" w:lineRule="auto"/>
        <w:tabs>
          <w:tab w:leader="none" w:pos="1440" w:val="left"/>
        </w:tabs>
        <w:rPr>
          <w:sz w:val="20"/>
          <w:szCs w:val="20"/>
          <w:color w:val="auto"/>
        </w:rPr>
      </w:pPr>
      <w:r>
        <w:rPr>
          <w:rFonts w:ascii="Arial" w:cs="Arial" w:eastAsia="Arial" w:hAnsi="Arial"/>
          <w:sz w:val="18"/>
          <w:szCs w:val="18"/>
          <w:color w:val="auto"/>
        </w:rPr>
        <w:t>Second:</w:t>
        <w:tab/>
        <w:t>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Third:</w:t>
      </w:r>
      <w:r>
        <w:rPr>
          <w:sz w:val="20"/>
          <w:szCs w:val="20"/>
          <w:color w:val="auto"/>
        </w:rPr>
        <w:tab/>
      </w:r>
      <w:r>
        <w:rPr>
          <w:rFonts w:ascii="Arial" w:cs="Arial" w:eastAsia="Arial" w:hAnsi="Arial"/>
          <w:sz w:val="18"/>
          <w:szCs w:val="18"/>
          <w:color w:val="auto"/>
        </w:rPr>
        <w:t>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4" w:lineRule="exact"/>
        <w:rPr>
          <w:sz w:val="20"/>
          <w:szCs w:val="20"/>
          <w:color w:val="auto"/>
        </w:rPr>
      </w:pPr>
    </w:p>
    <w:p>
      <w:pPr>
        <w:ind w:left="1300" w:hanging="649"/>
        <w:spacing w:after="0" w:line="272"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Securities of that Series;</w:t>
      </w:r>
    </w:p>
    <w:p>
      <w:pPr>
        <w:spacing w:after="0" w:line="174"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Holders of not less than 30% in principal amount of the outstanding Securities of that Series shall have made written request to the Trustee to institute proceedings in respect of such Event of Default in its own name as Trustee hereunder;</w:t>
      </w:r>
    </w:p>
    <w:p>
      <w:pPr>
        <w:spacing w:after="0" w:line="174"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174" w:lineRule="exact"/>
        <w:rPr>
          <w:rFonts w:ascii="Arial" w:cs="Arial" w:eastAsia="Arial" w:hAnsi="Arial"/>
          <w:sz w:val="18"/>
          <w:szCs w:val="18"/>
          <w:color w:val="auto"/>
        </w:rPr>
      </w:pPr>
    </w:p>
    <w:p>
      <w:pPr>
        <w:ind w:left="1300" w:hanging="649"/>
        <w:spacing w:after="0"/>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4" w:lineRule="exact"/>
        <w:rPr>
          <w:rFonts w:ascii="Arial" w:cs="Arial" w:eastAsia="Arial" w:hAnsi="Arial"/>
          <w:sz w:val="16"/>
          <w:szCs w:val="16"/>
          <w:color w:val="auto"/>
        </w:rPr>
      </w:pPr>
    </w:p>
    <w:p>
      <w:pPr>
        <w:ind w:left="1300" w:hanging="649"/>
        <w:spacing w:after="0" w:line="272"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7" w:name="page68"/>
    <w:bookmarkEnd w:id="67"/>
    <w:p>
      <w:pPr>
        <w:jc w:val="both"/>
        <w:spacing w:after="0" w:line="276" w:lineRule="auto"/>
        <w:rPr>
          <w:sz w:val="20"/>
          <w:szCs w:val="20"/>
          <w:color w:val="auto"/>
        </w:rPr>
      </w:pPr>
      <w:r>
        <w:rPr>
          <w:rFonts w:ascii="Arial" w:cs="Arial" w:eastAsia="Arial" w:hAnsi="Arial"/>
          <w:sz w:val="17"/>
          <w:szCs w:val="17"/>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5" w:lineRule="exact"/>
        <w:rPr>
          <w:sz w:val="20"/>
          <w:szCs w:val="20"/>
          <w:color w:val="auto"/>
        </w:rPr>
      </w:pPr>
    </w:p>
    <w:p>
      <w:pPr>
        <w:ind w:left="5540" w:right="4180" w:hanging="4889"/>
        <w:spacing w:after="0" w:line="769"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335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8" w:name="page69"/>
    <w:bookmarkEnd w:id="68"/>
    <w:p>
      <w:pPr>
        <w:ind w:left="1300" w:hanging="649"/>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1" w:lineRule="exact"/>
        <w:rPr>
          <w:rFonts w:ascii="Arial" w:cs="Arial" w:eastAsia="Arial" w:hAnsi="Arial"/>
          <w:sz w:val="18"/>
          <w:szCs w:val="18"/>
          <w:color w:val="auto"/>
        </w:rPr>
      </w:pPr>
    </w:p>
    <w:p>
      <w:pPr>
        <w:jc w:val="both"/>
        <w:ind w:left="1300" w:hanging="649"/>
        <w:spacing w:after="0" w:line="260"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85"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VII.</w:t>
      </w:r>
    </w:p>
    <w:p>
      <w:pPr>
        <w:spacing w:after="0" w:line="2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TRUSTEE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222" w:lineRule="exact"/>
        <w:rPr>
          <w:sz w:val="20"/>
          <w:szCs w:val="20"/>
          <w:color w:val="auto"/>
        </w:rPr>
      </w:pPr>
    </w:p>
    <w:p>
      <w:pPr>
        <w:jc w:val="both"/>
        <w:ind w:left="1300" w:hanging="649"/>
        <w:spacing w:after="0" w:line="260"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9" w:name="page70"/>
    <w:bookmarkEnd w:id="69"/>
    <w:p>
      <w:pPr>
        <w:ind w:left="649" w:hanging="649"/>
        <w:spacing w:after="0"/>
        <w:tabs>
          <w:tab w:leader="none" w:pos="6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17" w:lineRule="exact"/>
        <w:rPr>
          <w:rFonts w:ascii="Arial" w:cs="Arial" w:eastAsia="Arial" w:hAnsi="Arial"/>
          <w:sz w:val="18"/>
          <w:szCs w:val="18"/>
          <w:color w:val="auto"/>
        </w:rPr>
      </w:pPr>
    </w:p>
    <w:p>
      <w:pPr>
        <w:ind w:left="1289" w:hanging="646"/>
        <w:spacing w:after="0" w:line="276" w:lineRule="auto"/>
        <w:tabs>
          <w:tab w:leader="none" w:pos="1289"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The Trustee need perform only those duties that are specifically set forth in this Indenture and no others, and no implied covenants or obligations will be read into this Indenture against the Trustee.</w:t>
      </w:r>
    </w:p>
    <w:p>
      <w:pPr>
        <w:spacing w:after="0" w:line="167" w:lineRule="exact"/>
        <w:rPr>
          <w:rFonts w:ascii="Arial" w:cs="Arial" w:eastAsia="Arial" w:hAnsi="Arial"/>
          <w:sz w:val="18"/>
          <w:szCs w:val="18"/>
          <w:b w:val="1"/>
          <w:bCs w:val="1"/>
          <w:color w:val="auto"/>
        </w:rPr>
      </w:pPr>
    </w:p>
    <w:p>
      <w:pPr>
        <w:jc w:val="both"/>
        <w:ind w:left="1289" w:hanging="646"/>
        <w:spacing w:after="0" w:line="254" w:lineRule="auto"/>
        <w:tabs>
          <w:tab w:leader="none" w:pos="1289"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91" w:lineRule="exact"/>
        <w:rPr>
          <w:rFonts w:ascii="Arial" w:cs="Arial" w:eastAsia="Arial" w:hAnsi="Arial"/>
          <w:sz w:val="18"/>
          <w:szCs w:val="18"/>
          <w:b w:val="1"/>
          <w:bCs w:val="1"/>
          <w:color w:val="auto"/>
        </w:rPr>
      </w:pPr>
    </w:p>
    <w:p>
      <w:pPr>
        <w:ind w:left="649" w:right="20" w:hanging="649"/>
        <w:spacing w:after="0" w:line="272" w:lineRule="auto"/>
        <w:tabs>
          <w:tab w:leader="none" w:pos="6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289" w:hanging="646"/>
        <w:spacing w:after="0"/>
        <w:tabs>
          <w:tab w:leader="none" w:pos="1289"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This paragraph does not limit the effect of paragraph (b) of this Section.</w:t>
      </w:r>
    </w:p>
    <w:p>
      <w:pPr>
        <w:spacing w:after="0" w:line="248" w:lineRule="exact"/>
        <w:rPr>
          <w:rFonts w:ascii="Arial" w:cs="Arial" w:eastAsia="Arial" w:hAnsi="Arial"/>
          <w:sz w:val="18"/>
          <w:szCs w:val="18"/>
          <w:b w:val="1"/>
          <w:bCs w:val="1"/>
          <w:color w:val="auto"/>
        </w:rPr>
      </w:pPr>
    </w:p>
    <w:p>
      <w:pPr>
        <w:ind w:left="1289" w:right="20" w:hanging="646"/>
        <w:spacing w:after="0" w:line="276" w:lineRule="auto"/>
        <w:tabs>
          <w:tab w:leader="none" w:pos="1289"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The Trustee shall not be liable for any error of judgment made in good faith by a Responsible Officer, unless it is proved that the Trustee was negligent in ascertaining the pertinent facts.</w:t>
      </w:r>
    </w:p>
    <w:p>
      <w:pPr>
        <w:spacing w:after="0" w:line="167" w:lineRule="exact"/>
        <w:rPr>
          <w:rFonts w:ascii="Arial" w:cs="Arial" w:eastAsia="Arial" w:hAnsi="Arial"/>
          <w:sz w:val="18"/>
          <w:szCs w:val="18"/>
          <w:b w:val="1"/>
          <w:bCs w:val="1"/>
          <w:color w:val="auto"/>
        </w:rPr>
      </w:pPr>
    </w:p>
    <w:p>
      <w:pPr>
        <w:jc w:val="both"/>
        <w:ind w:left="1289" w:hanging="646"/>
        <w:spacing w:after="0" w:line="274" w:lineRule="auto"/>
        <w:tabs>
          <w:tab w:leader="none" w:pos="1289" w:val="left"/>
        </w:tabs>
        <w:numPr>
          <w:ilvl w:val="1"/>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75" w:lineRule="exact"/>
        <w:rPr>
          <w:rFonts w:ascii="Arial" w:cs="Arial" w:eastAsia="Arial" w:hAnsi="Arial"/>
          <w:sz w:val="17"/>
          <w:szCs w:val="17"/>
          <w:b w:val="1"/>
          <w:bCs w:val="1"/>
          <w:color w:val="auto"/>
        </w:rPr>
      </w:pPr>
    </w:p>
    <w:p>
      <w:pPr>
        <w:ind w:left="649" w:hanging="649"/>
        <w:spacing w:after="0"/>
        <w:tabs>
          <w:tab w:leader="none" w:pos="6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221" w:lineRule="exact"/>
        <w:rPr>
          <w:rFonts w:ascii="Arial" w:cs="Arial" w:eastAsia="Arial" w:hAnsi="Arial"/>
          <w:sz w:val="18"/>
          <w:szCs w:val="18"/>
          <w:color w:val="auto"/>
        </w:rPr>
      </w:pPr>
    </w:p>
    <w:p>
      <w:pPr>
        <w:ind w:left="649" w:hanging="649"/>
        <w:spacing w:after="0" w:line="302" w:lineRule="auto"/>
        <w:tabs>
          <w:tab w:leader="none" w:pos="64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51" w:lineRule="exact"/>
        <w:rPr>
          <w:rFonts w:ascii="Arial" w:cs="Arial" w:eastAsia="Arial" w:hAnsi="Arial"/>
          <w:sz w:val="17"/>
          <w:szCs w:val="17"/>
          <w:color w:val="auto"/>
        </w:rPr>
      </w:pPr>
    </w:p>
    <w:p>
      <w:pPr>
        <w:ind w:left="649" w:hanging="649"/>
        <w:spacing w:after="0" w:line="272" w:lineRule="auto"/>
        <w:tabs>
          <w:tab w:leader="none" w:pos="6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4" w:lineRule="exact"/>
        <w:rPr>
          <w:rFonts w:ascii="Arial" w:cs="Arial" w:eastAsia="Arial" w:hAnsi="Arial"/>
          <w:sz w:val="18"/>
          <w:szCs w:val="18"/>
          <w:color w:val="auto"/>
        </w:rPr>
      </w:pPr>
    </w:p>
    <w:p>
      <w:pPr>
        <w:jc w:val="both"/>
        <w:ind w:left="649" w:hanging="649"/>
        <w:spacing w:after="0" w:line="260" w:lineRule="auto"/>
        <w:tabs>
          <w:tab w:leader="none" w:pos="6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400" w:lineRule="exact"/>
        <w:rPr>
          <w:sz w:val="20"/>
          <w:szCs w:val="20"/>
          <w:color w:val="auto"/>
        </w:rPr>
      </w:pPr>
    </w:p>
    <w:p>
      <w:pPr>
        <w:ind w:left="488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13970</wp:posOffset>
            </wp:positionV>
            <wp:extent cx="71335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89"/>
          </w:cols>
          <w:pgMar w:left="971" w:top="903" w:right="339" w:bottom="1440" w:gutter="0" w:footer="0" w:header="0"/>
        </w:sectPr>
      </w:pPr>
    </w:p>
    <w:bookmarkStart w:id="70" w:name="page71"/>
    <w:bookmarkEnd w:id="70"/>
    <w:p>
      <w:pPr>
        <w:ind w:left="1300" w:hanging="649"/>
        <w:spacing w:after="0" w:line="272"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Paying Agent, the Notice Agent, the Registrar, any authenticating agent and the Trustee when acting in any other capacity hereunder shall be entitled to the protections and immunities as are set forth in this Article VII.</w:t>
      </w:r>
    </w:p>
    <w:p>
      <w:pPr>
        <w:spacing w:after="0" w:line="174" w:lineRule="exact"/>
        <w:rPr>
          <w:rFonts w:ascii="Arial" w:cs="Arial" w:eastAsia="Arial" w:hAnsi="Arial"/>
          <w:sz w:val="18"/>
          <w:szCs w:val="18"/>
          <w:color w:val="auto"/>
        </w:rPr>
      </w:pPr>
    </w:p>
    <w:p>
      <w:pPr>
        <w:ind w:left="1300" w:right="20" w:hanging="649"/>
        <w:spacing w:after="0" w:line="272"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its right to be indemnified, are extended to, and will be enforceable by, the Trustee in each of its capacities under this Indenture.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222" w:lineRule="exact"/>
        <w:rPr>
          <w:sz w:val="20"/>
          <w:szCs w:val="20"/>
          <w:color w:val="auto"/>
        </w:rPr>
      </w:pPr>
    </w:p>
    <w:p>
      <w:pPr>
        <w:jc w:val="both"/>
        <w:ind w:left="1300" w:hanging="649"/>
        <w:spacing w:after="0" w:line="260"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85" w:lineRule="exact"/>
        <w:rPr>
          <w:rFonts w:ascii="Arial" w:cs="Arial" w:eastAsia="Arial" w:hAnsi="Arial"/>
          <w:sz w:val="18"/>
          <w:szCs w:val="18"/>
          <w:color w:val="auto"/>
        </w:rPr>
      </w:pPr>
    </w:p>
    <w:p>
      <w:pPr>
        <w:ind w:left="1300" w:hanging="649"/>
        <w:spacing w:after="0" w:line="302"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51" w:lineRule="exact"/>
        <w:rPr>
          <w:rFonts w:ascii="Arial" w:cs="Arial" w:eastAsia="Arial" w:hAnsi="Arial"/>
          <w:sz w:val="17"/>
          <w:szCs w:val="17"/>
          <w:color w:val="auto"/>
        </w:rPr>
      </w:pPr>
    </w:p>
    <w:p>
      <w:pPr>
        <w:jc w:val="both"/>
        <w:ind w:left="1300" w:hanging="649"/>
        <w:spacing w:after="0" w:line="336"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28" w:lineRule="exact"/>
        <w:rPr>
          <w:rFonts w:ascii="Arial" w:cs="Arial" w:eastAsia="Arial" w:hAnsi="Arial"/>
          <w:sz w:val="16"/>
          <w:szCs w:val="16"/>
          <w:color w:val="auto"/>
        </w:rPr>
      </w:pPr>
    </w:p>
    <w:p>
      <w:pPr>
        <w:ind w:left="1300" w:hanging="649"/>
        <w:spacing w:after="0" w:line="272"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74" w:lineRule="exact"/>
        <w:rPr>
          <w:rFonts w:ascii="Arial" w:cs="Arial" w:eastAsia="Arial" w:hAnsi="Arial"/>
          <w:sz w:val="18"/>
          <w:szCs w:val="18"/>
          <w:color w:val="auto"/>
        </w:rPr>
      </w:pPr>
    </w:p>
    <w:p>
      <w:pPr>
        <w:jc w:val="both"/>
        <w:ind w:left="1300" w:hanging="649"/>
        <w:spacing w:after="0" w:line="260"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85" w:lineRule="exact"/>
        <w:rPr>
          <w:rFonts w:ascii="Arial" w:cs="Arial" w:eastAsia="Arial" w:hAnsi="Arial"/>
          <w:sz w:val="18"/>
          <w:szCs w:val="18"/>
          <w:color w:val="auto"/>
        </w:rPr>
      </w:pPr>
    </w:p>
    <w:p>
      <w:pPr>
        <w:jc w:val="both"/>
        <w:ind w:left="1300" w:hanging="649"/>
        <w:spacing w:after="0" w:line="282"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68" w:lineRule="exact"/>
        <w:rPr>
          <w:rFonts w:ascii="Arial" w:cs="Arial" w:eastAsia="Arial" w:hAnsi="Arial"/>
          <w:sz w:val="17"/>
          <w:szCs w:val="17"/>
          <w:color w:val="auto"/>
        </w:rPr>
      </w:pPr>
    </w:p>
    <w:p>
      <w:pPr>
        <w:jc w:val="both"/>
        <w:ind w:left="1300" w:hanging="649"/>
        <w:spacing w:after="0" w:line="307"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51" w:lineRule="exact"/>
        <w:rPr>
          <w:rFonts w:ascii="Arial" w:cs="Arial" w:eastAsia="Arial" w:hAnsi="Arial"/>
          <w:sz w:val="16"/>
          <w:szCs w:val="16"/>
          <w:color w:val="auto"/>
        </w:rPr>
      </w:pPr>
    </w:p>
    <w:p>
      <w:pPr>
        <w:jc w:val="both"/>
        <w:ind w:left="1300" w:hanging="649"/>
        <w:spacing w:after="0" w:line="25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1" w:name="page72"/>
    <w:bookmarkEnd w:id="71"/>
    <w:p>
      <w:pPr>
        <w:ind w:left="1300" w:hanging="649"/>
        <w:spacing w:after="0" w:line="336"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28" w:lineRule="exact"/>
        <w:rPr>
          <w:rFonts w:ascii="Arial" w:cs="Arial" w:eastAsia="Arial" w:hAnsi="Arial"/>
          <w:sz w:val="16"/>
          <w:szCs w:val="16"/>
          <w:color w:val="auto"/>
        </w:rPr>
      </w:pPr>
    </w:p>
    <w:p>
      <w:pPr>
        <w:ind w:left="1300" w:hanging="649"/>
        <w:spacing w:after="0"/>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 so.</w:t>
      </w:r>
    </w:p>
    <w:p>
      <w:pPr>
        <w:spacing w:after="0" w:line="244" w:lineRule="exact"/>
        <w:rPr>
          <w:rFonts w:ascii="Arial" w:cs="Arial" w:eastAsia="Arial" w:hAnsi="Arial"/>
          <w:sz w:val="16"/>
          <w:szCs w:val="16"/>
          <w:color w:val="auto"/>
        </w:rPr>
      </w:pPr>
    </w:p>
    <w:p>
      <w:pPr>
        <w:ind w:left="1300" w:hanging="649"/>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will not be required to give any bond or surety in respect of the execution of this Indenture or otherwise.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 The Trustee represents and warrants that it is duly authorized to execute and deliver this Indenture, authenticate the Securities and perform its obligations hereunder and thereunder; that the statements made by it in a Statement of Eligibility on Form T-1 supplied or to be supplied to the Company in connection with the registration of any Securities are and will be true and accurate subject to the qualifications set forth therein; and that such Statement complies and will comply in all material respects with the requirements of the TIA and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provided that, in the case of any default or breach of the character specified in Section 6.1(c) with respect to that Series, no such notice to Holders shall be given until at least 60 days after the occurrence thereof.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Within 60 days after each anniversary of this Indenture, the Trustee shall transmit by mail to all Holders, as their names and addresses appear on the register kept by the Registrar, a brief report dated as of such anniversary date, in accordance with, and to the extent required under, TIA § 313.</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2" w:name="page73"/>
    <w:bookmarkEnd w:id="72"/>
    <w:p>
      <w:pPr>
        <w:jc w:val="both"/>
        <w:spacing w:after="0" w:line="260" w:lineRule="auto"/>
        <w:rPr>
          <w:sz w:val="20"/>
          <w:szCs w:val="20"/>
          <w:color w:val="auto"/>
        </w:rPr>
      </w:pPr>
      <w:r>
        <w:rPr>
          <w:rFonts w:ascii="Arial" w:cs="Arial" w:eastAsia="Arial" w:hAnsi="Arial"/>
          <w:sz w:val="18"/>
          <w:szCs w:val="18"/>
          <w:color w:val="auto"/>
        </w:rPr>
        <w:t>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w:t>
      </w:r>
    </w:p>
    <w:p>
      <w:pPr>
        <w:spacing w:after="0" w:line="15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69" w:lineRule="exact"/>
        <w:rPr>
          <w:sz w:val="20"/>
          <w:szCs w:val="20"/>
          <w:color w:val="auto"/>
        </w:rPr>
      </w:pPr>
    </w:p>
    <w:p>
      <w:pPr>
        <w:ind w:left="1300" w:hanging="649"/>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3" w:name="page74"/>
    <w:bookmarkEnd w:id="73"/>
    <w:p>
      <w:pPr>
        <w:ind w:left="1300" w:hanging="649"/>
        <w:spacing w:after="0"/>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244" w:lineRule="exact"/>
        <w:rPr>
          <w:rFonts w:ascii="Arial" w:cs="Arial" w:eastAsia="Arial" w:hAnsi="Arial"/>
          <w:sz w:val="16"/>
          <w:szCs w:val="16"/>
          <w:color w:val="auto"/>
        </w:rPr>
      </w:pPr>
    </w:p>
    <w:p>
      <w:pPr>
        <w:ind w:left="1300" w:hanging="649"/>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2" w:lineRule="exact"/>
        <w:rPr>
          <w:sz w:val="20"/>
          <w:szCs w:val="20"/>
          <w:color w:val="auto"/>
        </w:rPr>
      </w:pPr>
    </w:p>
    <w:p>
      <w:pPr>
        <w:jc w:val="both"/>
        <w:spacing w:after="0" w:line="336" w:lineRule="auto"/>
        <w:rPr>
          <w:sz w:val="20"/>
          <w:szCs w:val="20"/>
          <w:color w:val="auto"/>
        </w:rPr>
      </w:pPr>
      <w:r>
        <w:rPr>
          <w:rFonts w:ascii="Arial" w:cs="Arial" w:eastAsia="Arial" w:hAnsi="Arial"/>
          <w:sz w:val="16"/>
          <w:szCs w:val="16"/>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Article VIII.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Section 8.1</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85" w:lineRule="exact"/>
        <w:rPr>
          <w:sz w:val="20"/>
          <w:szCs w:val="20"/>
          <w:color w:val="auto"/>
        </w:rPr>
      </w:pPr>
    </w:p>
    <w:p>
      <w:pPr>
        <w:ind w:left="1300" w:hanging="649"/>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either</w:t>
      </w:r>
    </w:p>
    <w:p>
      <w:pPr>
        <w:spacing w:after="0" w:line="217" w:lineRule="exact"/>
        <w:rPr>
          <w:rFonts w:ascii="Arial" w:cs="Arial" w:eastAsia="Arial" w:hAnsi="Arial"/>
          <w:sz w:val="18"/>
          <w:szCs w:val="18"/>
          <w:color w:val="auto"/>
        </w:rPr>
      </w:pPr>
    </w:p>
    <w:p>
      <w:pPr>
        <w:ind w:left="1940" w:hanging="646"/>
        <w:spacing w:after="0" w:line="341" w:lineRule="auto"/>
        <w:tabs>
          <w:tab w:leader="none" w:pos="1940"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20" w:lineRule="exact"/>
        <w:rPr>
          <w:rFonts w:ascii="Arial" w:cs="Arial" w:eastAsia="Arial" w:hAnsi="Arial"/>
          <w:sz w:val="16"/>
          <w:szCs w:val="16"/>
          <w:b w:val="1"/>
          <w:bCs w:val="1"/>
          <w:color w:val="auto"/>
        </w:rPr>
      </w:pPr>
    </w:p>
    <w:p>
      <w:pPr>
        <w:ind w:left="1940" w:hanging="646"/>
        <w:spacing w:after="0"/>
        <w:tabs>
          <w:tab w:leader="none" w:pos="1940"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all such Securities of such Series not theretofore delivered to the Trustee for cancellation:</w:t>
      </w:r>
    </w:p>
    <w:p>
      <w:pPr>
        <w:spacing w:after="0" w:line="225" w:lineRule="exact"/>
        <w:rPr>
          <w:rFonts w:ascii="Arial" w:cs="Arial" w:eastAsia="Arial" w:hAnsi="Arial"/>
          <w:sz w:val="18"/>
          <w:szCs w:val="18"/>
          <w:b w:val="1"/>
          <w:bCs w:val="1"/>
          <w:color w:val="auto"/>
        </w:rPr>
      </w:pPr>
    </w:p>
    <w:p>
      <w:pPr>
        <w:ind w:left="2580" w:hanging="642"/>
        <w:spacing w:after="0"/>
        <w:tabs>
          <w:tab w:leader="none" w:pos="25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w:t>
      </w:r>
    </w:p>
    <w:p>
      <w:pPr>
        <w:spacing w:after="0" w:line="221" w:lineRule="exact"/>
        <w:rPr>
          <w:rFonts w:ascii="Arial" w:cs="Arial" w:eastAsia="Arial" w:hAnsi="Arial"/>
          <w:sz w:val="18"/>
          <w:szCs w:val="18"/>
          <w:color w:val="auto"/>
        </w:rPr>
      </w:pPr>
    </w:p>
    <w:p>
      <w:pPr>
        <w:ind w:left="2580" w:hanging="642"/>
        <w:spacing w:after="0"/>
        <w:tabs>
          <w:tab w:leader="none" w:pos="25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w:t>
      </w:r>
    </w:p>
    <w:p>
      <w:pPr>
        <w:spacing w:after="0" w:line="221" w:lineRule="exact"/>
        <w:rPr>
          <w:rFonts w:ascii="Arial" w:cs="Arial" w:eastAsia="Arial" w:hAnsi="Arial"/>
          <w:sz w:val="18"/>
          <w:szCs w:val="18"/>
          <w:color w:val="auto"/>
        </w:rPr>
      </w:pPr>
    </w:p>
    <w:p>
      <w:pPr>
        <w:ind w:left="2580" w:hanging="642"/>
        <w:spacing w:after="0" w:line="336" w:lineRule="auto"/>
        <w:tabs>
          <w:tab w:leader="none" w:pos="2580" w:val="left"/>
        </w:tabs>
        <w:numPr>
          <w:ilvl w:val="2"/>
          <w:numId w:val="52"/>
        </w:numPr>
        <w:rPr>
          <w:rFonts w:ascii="Arial" w:cs="Arial" w:eastAsia="Arial" w:hAnsi="Arial"/>
          <w:sz w:val="16"/>
          <w:szCs w:val="16"/>
          <w:color w:val="auto"/>
        </w:rPr>
      </w:pPr>
      <w:r>
        <w:rPr>
          <w:rFonts w:ascii="Arial" w:cs="Arial" w:eastAsia="Arial" w:hAnsi="Arial"/>
          <w:sz w:val="16"/>
          <w:szCs w:val="16"/>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28" w:lineRule="exact"/>
        <w:rPr>
          <w:rFonts w:ascii="Arial" w:cs="Arial" w:eastAsia="Arial" w:hAnsi="Arial"/>
          <w:sz w:val="16"/>
          <w:szCs w:val="16"/>
          <w:color w:val="auto"/>
        </w:rPr>
      </w:pPr>
    </w:p>
    <w:p>
      <w:pPr>
        <w:ind w:left="2580" w:hanging="642"/>
        <w:spacing w:after="0"/>
        <w:tabs>
          <w:tab w:leader="none" w:pos="25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2" w:lineRule="exact"/>
        <w:rPr>
          <w:sz w:val="20"/>
          <w:szCs w:val="20"/>
          <w:color w:val="auto"/>
        </w:rPr>
      </w:pPr>
    </w:p>
    <w:p>
      <w:pPr>
        <w:jc w:val="both"/>
        <w:ind w:left="1940"/>
        <w:spacing w:after="0" w:line="276" w:lineRule="auto"/>
        <w:rPr>
          <w:sz w:val="20"/>
          <w:szCs w:val="20"/>
          <w:color w:val="auto"/>
        </w:rPr>
      </w:pPr>
      <w:r>
        <w:rPr>
          <w:rFonts w:ascii="Arial" w:cs="Arial" w:eastAsia="Arial" w:hAnsi="Arial"/>
          <w:sz w:val="17"/>
          <w:szCs w:val="17"/>
          <w:color w:val="auto"/>
        </w:rPr>
        <w:t>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w:t>
      </w:r>
    </w:p>
    <w:p>
      <w:pPr>
        <w:spacing w:after="0" w:line="173" w:lineRule="exact"/>
        <w:rPr>
          <w:sz w:val="20"/>
          <w:szCs w:val="20"/>
          <w:color w:val="auto"/>
        </w:rPr>
      </w:pPr>
    </w:p>
    <w:p>
      <w:pPr>
        <w:ind w:left="1300" w:hanging="649"/>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1" w:lineRule="exact"/>
        <w:rPr>
          <w:rFonts w:ascii="Arial" w:cs="Arial" w:eastAsia="Arial" w:hAnsi="Arial"/>
          <w:sz w:val="18"/>
          <w:szCs w:val="18"/>
          <w:color w:val="auto"/>
        </w:rPr>
      </w:pPr>
    </w:p>
    <w:p>
      <w:pPr>
        <w:jc w:val="both"/>
        <w:ind w:left="1300" w:hanging="649"/>
        <w:spacing w:after="0" w:line="293"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all conditions precedent provided for relating to the satisfaction and discharge contemplated by this Section have been complied with. 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Funds; Indemnification</w:t>
      </w:r>
      <w:r>
        <w:rPr>
          <w:rFonts w:ascii="Arial" w:cs="Arial" w:eastAsia="Arial" w:hAnsi="Arial"/>
          <w:sz w:val="18"/>
          <w:szCs w:val="18"/>
          <w:color w:val="auto"/>
        </w:rPr>
        <w:t>.</w:t>
      </w:r>
    </w:p>
    <w:p>
      <w:pPr>
        <w:spacing w:after="0" w:line="222" w:lineRule="exact"/>
        <w:rPr>
          <w:sz w:val="20"/>
          <w:szCs w:val="20"/>
          <w:color w:val="auto"/>
        </w:rPr>
      </w:pPr>
    </w:p>
    <w:p>
      <w:pPr>
        <w:jc w:val="both"/>
        <w:ind w:left="1300" w:hanging="649"/>
        <w:spacing w:after="0" w:line="269" w:lineRule="auto"/>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82" w:lineRule="exact"/>
        <w:rPr>
          <w:rFonts w:ascii="Arial" w:cs="Arial" w:eastAsia="Arial" w:hAnsi="Arial"/>
          <w:sz w:val="17"/>
          <w:szCs w:val="17"/>
          <w:color w:val="auto"/>
        </w:rPr>
      </w:pPr>
    </w:p>
    <w:p>
      <w:pPr>
        <w:jc w:val="both"/>
        <w:ind w:left="1300" w:hanging="649"/>
        <w:spacing w:after="0" w:line="25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89" w:lineRule="exact"/>
        <w:rPr>
          <w:rFonts w:ascii="Arial" w:cs="Arial" w:eastAsia="Arial" w:hAnsi="Arial"/>
          <w:sz w:val="18"/>
          <w:szCs w:val="18"/>
          <w:color w:val="auto"/>
        </w:rPr>
      </w:pPr>
    </w:p>
    <w:p>
      <w:pPr>
        <w:jc w:val="both"/>
        <w:ind w:left="1300" w:hanging="649"/>
        <w:spacing w:after="0" w:line="291"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Legal Defeasance of Securities of any Series</w:t>
      </w:r>
      <w:r>
        <w:rPr>
          <w:rFonts w:ascii="Arial" w:cs="Arial" w:eastAsia="Arial" w:hAnsi="Arial"/>
          <w:sz w:val="18"/>
          <w:szCs w:val="18"/>
          <w:color w:val="auto"/>
        </w:rPr>
        <w:t>.</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59" w:lineRule="exact"/>
        <w:rPr>
          <w:sz w:val="20"/>
          <w:szCs w:val="20"/>
          <w:color w:val="auto"/>
        </w:rPr>
      </w:pPr>
    </w:p>
    <w:p>
      <w:pPr>
        <w:jc w:val="both"/>
        <w:ind w:left="1300" w:hanging="649"/>
        <w:spacing w:after="0" w:line="254"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91" w:lineRule="exact"/>
        <w:rPr>
          <w:rFonts w:ascii="Arial" w:cs="Arial" w:eastAsia="Arial" w:hAnsi="Arial"/>
          <w:sz w:val="18"/>
          <w:szCs w:val="18"/>
          <w:color w:val="auto"/>
        </w:rPr>
      </w:pPr>
    </w:p>
    <w:p>
      <w:pPr>
        <w:ind w:left="1300" w:hanging="649"/>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of Sections 2.4, 2.5, 2.7, 2.8, 7.7, 8.2, 8.3, 8.5 and 8.6; and</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following conditions shall have been satisfied:</w:t>
      </w:r>
    </w:p>
    <w:p>
      <w:pPr>
        <w:spacing w:after="0" w:line="222" w:lineRule="exact"/>
        <w:rPr>
          <w:sz w:val="20"/>
          <w:szCs w:val="20"/>
          <w:color w:val="auto"/>
        </w:rPr>
      </w:pPr>
    </w:p>
    <w:p>
      <w:pPr>
        <w:jc w:val="both"/>
        <w:ind w:left="1300" w:hanging="649"/>
        <w:spacing w:after="0" w:line="267" w:lineRule="auto"/>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84" w:lineRule="exact"/>
        <w:rPr>
          <w:rFonts w:ascii="Arial" w:cs="Arial" w:eastAsia="Arial" w:hAnsi="Arial"/>
          <w:sz w:val="17"/>
          <w:szCs w:val="17"/>
          <w:color w:val="auto"/>
        </w:rPr>
      </w:pPr>
    </w:p>
    <w:p>
      <w:pPr>
        <w:ind w:left="1300" w:hanging="649"/>
        <w:spacing w:after="0" w:line="272"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4"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4" w:lineRule="exact"/>
        <w:rPr>
          <w:rFonts w:ascii="Arial" w:cs="Arial" w:eastAsia="Arial" w:hAnsi="Arial"/>
          <w:sz w:val="18"/>
          <w:szCs w:val="18"/>
          <w:color w:val="auto"/>
        </w:rPr>
      </w:pPr>
    </w:p>
    <w:p>
      <w:pPr>
        <w:jc w:val="both"/>
        <w:ind w:left="1300" w:hanging="649"/>
        <w:spacing w:after="0" w:line="291"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62" w:lineRule="exact"/>
        <w:rPr>
          <w:rFonts w:ascii="Arial" w:cs="Arial" w:eastAsia="Arial" w:hAnsi="Arial"/>
          <w:sz w:val="16"/>
          <w:szCs w:val="16"/>
          <w:color w:val="auto"/>
        </w:rPr>
      </w:pPr>
    </w:p>
    <w:p>
      <w:pPr>
        <w:ind w:left="1300" w:hanging="649"/>
        <w:spacing w:after="0" w:line="272"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74"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an Issuing Document for such Series of Securities delivered pursuant to Section 2.2 (and the failure to comply with any such covenants shall not constitute a Default or Event of Default with respect to such Series under Section 6.1) and the occurrence of any event specified in an Issuing Document for such Series of Securities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82" w:lineRule="exact"/>
        <w:rPr>
          <w:sz w:val="20"/>
          <w:szCs w:val="20"/>
          <w:color w:val="auto"/>
        </w:rPr>
      </w:pPr>
    </w:p>
    <w:p>
      <w:pPr>
        <w:jc w:val="both"/>
        <w:ind w:left="1300" w:hanging="649"/>
        <w:spacing w:after="0" w:line="286"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w:t>
      </w:r>
    </w:p>
    <w:p>
      <w:pPr>
        <w:spacing w:after="0" w:line="166" w:lineRule="exact"/>
        <w:rPr>
          <w:rFonts w:ascii="Arial" w:cs="Arial" w:eastAsia="Arial" w:hAnsi="Arial"/>
          <w:sz w:val="16"/>
          <w:szCs w:val="16"/>
          <w:color w:val="auto"/>
        </w:rPr>
      </w:pPr>
    </w:p>
    <w:p>
      <w:pPr>
        <w:ind w:left="1300" w:hanging="649"/>
        <w:spacing w:after="0" w:line="272"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4"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w:t>
      </w:r>
    </w:p>
    <w:p>
      <w:pPr>
        <w:spacing w:after="0" w:line="174" w:lineRule="exact"/>
        <w:rPr>
          <w:rFonts w:ascii="Arial" w:cs="Arial" w:eastAsia="Arial" w:hAnsi="Arial"/>
          <w:sz w:val="18"/>
          <w:szCs w:val="18"/>
          <w:color w:val="auto"/>
        </w:rPr>
      </w:pPr>
    </w:p>
    <w:p>
      <w:pPr>
        <w:jc w:val="both"/>
        <w:ind w:left="1300" w:hanging="649"/>
        <w:spacing w:after="0" w:line="256"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89"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74" w:lineRule="exact"/>
        <w:rPr>
          <w:rFonts w:ascii="Arial" w:cs="Arial" w:eastAsia="Arial" w:hAnsi="Arial"/>
          <w:sz w:val="18"/>
          <w:szCs w:val="18"/>
          <w:color w:val="auto"/>
        </w:rPr>
      </w:pPr>
    </w:p>
    <w:p>
      <w:pPr>
        <w:ind w:left="1300" w:hanging="649"/>
        <w:spacing w:after="0" w:line="302"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AND WAIVERS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the Trustee may amend or supplement this Indenture or the Securities of one or more Series without the consent of any Holder:</w:t>
      </w:r>
    </w:p>
    <w:p>
      <w:pPr>
        <w:spacing w:after="0" w:line="233" w:lineRule="exact"/>
        <w:rPr>
          <w:sz w:val="20"/>
          <w:szCs w:val="20"/>
          <w:color w:val="auto"/>
        </w:rPr>
      </w:pPr>
    </w:p>
    <w:p>
      <w:pPr>
        <w:ind w:left="1300" w:hanging="649"/>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make any change that does not materially adversely affect the rights of any Holder;</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 Indenture;</w:t>
      </w:r>
    </w:p>
    <w:p>
      <w:pPr>
        <w:spacing w:after="0" w:line="244" w:lineRule="exact"/>
        <w:rPr>
          <w:rFonts w:ascii="Arial" w:cs="Arial" w:eastAsia="Arial" w:hAnsi="Arial"/>
          <w:sz w:val="16"/>
          <w:szCs w:val="16"/>
          <w:color w:val="auto"/>
        </w:rPr>
      </w:pPr>
    </w:p>
    <w:p>
      <w:pPr>
        <w:jc w:val="both"/>
        <w:ind w:left="1300" w:hanging="649"/>
        <w:spacing w:after="0" w:line="260"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5" w:lineRule="exact"/>
        <w:rPr>
          <w:rFonts w:ascii="Arial" w:cs="Arial" w:eastAsia="Arial" w:hAnsi="Arial"/>
          <w:sz w:val="18"/>
          <w:szCs w:val="18"/>
          <w:color w:val="auto"/>
        </w:rPr>
      </w:pPr>
    </w:p>
    <w:p>
      <w:pPr>
        <w:ind w:left="1300" w:hanging="649"/>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Subject to Section 9.3, the Company and the Trustee may enter into a supplemental indenture with the written consent of the Holders of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and operative,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Without the consent of each Holder affected, an amendment or waiver may not:</w:t>
      </w:r>
    </w:p>
    <w:p>
      <w:pPr>
        <w:spacing w:after="0" w:line="222" w:lineRule="exact"/>
        <w:rPr>
          <w:sz w:val="20"/>
          <w:szCs w:val="20"/>
          <w:color w:val="auto"/>
        </w:rPr>
      </w:pPr>
    </w:p>
    <w:p>
      <w:pPr>
        <w:ind w:left="1300" w:hanging="649"/>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1" w:lineRule="exact"/>
        <w:rPr>
          <w:rFonts w:ascii="Arial" w:cs="Arial" w:eastAsia="Arial" w:hAnsi="Arial"/>
          <w:sz w:val="18"/>
          <w:szCs w:val="18"/>
          <w:color w:val="auto"/>
        </w:rPr>
      </w:pPr>
    </w:p>
    <w:p>
      <w:pPr>
        <w:jc w:val="both"/>
        <w:ind w:left="1300" w:hanging="649"/>
        <w:spacing w:after="0" w:line="260"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redemption, sinking fund or analogous obligation other than in accordance with the terms of this Indenture or any applicable Issuing Document;</w:t>
      </w:r>
    </w:p>
    <w:p>
      <w:pPr>
        <w:spacing w:after="0" w:line="185" w:lineRule="exact"/>
        <w:rPr>
          <w:rFonts w:ascii="Arial" w:cs="Arial" w:eastAsia="Arial" w:hAnsi="Arial"/>
          <w:sz w:val="18"/>
          <w:szCs w:val="18"/>
          <w:color w:val="auto"/>
        </w:rPr>
      </w:pPr>
    </w:p>
    <w:p>
      <w:pPr>
        <w:ind w:left="1300" w:hanging="649"/>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1" w:lineRule="exact"/>
        <w:rPr>
          <w:rFonts w:ascii="Arial" w:cs="Arial" w:eastAsia="Arial" w:hAnsi="Arial"/>
          <w:sz w:val="18"/>
          <w:szCs w:val="18"/>
          <w:color w:val="auto"/>
        </w:rPr>
      </w:pPr>
    </w:p>
    <w:p>
      <w:pPr>
        <w:jc w:val="both"/>
        <w:ind w:left="1300" w:hanging="649"/>
        <w:spacing w:after="0" w:line="260"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 majority in principal amount of the outstanding Securities of such Series and a waiver of the payment default that resulted from such acceleration);</w:t>
      </w:r>
    </w:p>
    <w:p>
      <w:pPr>
        <w:spacing w:after="0" w:line="185" w:lineRule="exact"/>
        <w:rPr>
          <w:rFonts w:ascii="Arial" w:cs="Arial" w:eastAsia="Arial" w:hAnsi="Arial"/>
          <w:sz w:val="18"/>
          <w:szCs w:val="18"/>
          <w:color w:val="auto"/>
        </w:rPr>
      </w:pPr>
    </w:p>
    <w:p>
      <w:pPr>
        <w:ind w:left="1300" w:hanging="649"/>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 or</w:t>
      </w:r>
    </w:p>
    <w:p>
      <w:pPr>
        <w:spacing w:after="0" w:line="221" w:lineRule="exact"/>
        <w:rPr>
          <w:rFonts w:ascii="Arial" w:cs="Arial" w:eastAsia="Arial" w:hAnsi="Arial"/>
          <w:sz w:val="18"/>
          <w:szCs w:val="18"/>
          <w:color w:val="auto"/>
        </w:rPr>
      </w:pPr>
    </w:p>
    <w:p>
      <w:pPr>
        <w:ind w:left="1300" w:hanging="649"/>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make any change in Sections 6.8, 6.13 or 9.3.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Any amendment or waiver once effective shall bind every Holder of each Series affected by such amendment or waiver unless it is of the type described in any of clauses (a) through (g)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those7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Presto Automation Inc.</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985 Industrial Road</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Carlos, CA 94070</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(650) 817-9012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White &amp; Case LLP</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1221 Avenue of the Americas</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10020</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Colin Diamond and Laura Katherine Mann</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(212) 819-8200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[____]</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[____]</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[____]</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[____]</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Holder receives 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sends a notice or communication to Holders, it shall send a copy to the Trustee and each Agent at the same time.</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82" w:name="page83"/>
    <w:bookmarkEnd w:id="82"/>
    <w:p>
      <w:pPr>
        <w:jc w:val="both"/>
        <w:spacing w:after="0" w:line="260"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222" w:lineRule="exact"/>
        <w:rPr>
          <w:sz w:val="20"/>
          <w:szCs w:val="20"/>
          <w:color w:val="auto"/>
        </w:rPr>
      </w:pPr>
    </w:p>
    <w:p>
      <w:pPr>
        <w:jc w:val="both"/>
        <w:spacing w:after="0" w:line="336" w:lineRule="auto"/>
        <w:rPr>
          <w:sz w:val="20"/>
          <w:szCs w:val="20"/>
          <w:color w:val="auto"/>
        </w:rPr>
      </w:pPr>
      <w:r>
        <w:rPr>
          <w:rFonts w:ascii="Arial" w:cs="Arial" w:eastAsia="Arial" w:hAnsi="Arial"/>
          <w:sz w:val="16"/>
          <w:szCs w:val="16"/>
          <w:color w:val="auto"/>
        </w:rPr>
        <w:t>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Upon any request or application by the Company to the Trustee to take any action under this Indenture, the Company shall furnish to the Trustee:</w:t>
      </w:r>
    </w:p>
    <w:p>
      <w:pPr>
        <w:spacing w:after="0" w:line="233" w:lineRule="exact"/>
        <w:rPr>
          <w:sz w:val="20"/>
          <w:szCs w:val="20"/>
          <w:color w:val="auto"/>
        </w:rPr>
      </w:pPr>
    </w:p>
    <w:p>
      <w:pPr>
        <w:ind w:left="1300" w:hanging="649"/>
        <w:spacing w:after="0" w:line="272"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4" w:lineRule="exact"/>
        <w:rPr>
          <w:rFonts w:ascii="Arial" w:cs="Arial" w:eastAsia="Arial" w:hAnsi="Arial"/>
          <w:sz w:val="18"/>
          <w:szCs w:val="18"/>
          <w:color w:val="auto"/>
        </w:rPr>
      </w:pPr>
    </w:p>
    <w:p>
      <w:pPr>
        <w:ind w:left="1300" w:hanging="649"/>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4" w:lineRule="exact"/>
        <w:rPr>
          <w:sz w:val="20"/>
          <w:szCs w:val="20"/>
          <w:color w:val="auto"/>
        </w:rPr>
      </w:pPr>
    </w:p>
    <w:p>
      <w:pPr>
        <w:ind w:left="1300" w:hanging="649"/>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1" w:lineRule="exact"/>
        <w:rPr>
          <w:rFonts w:ascii="Arial" w:cs="Arial" w:eastAsia="Arial" w:hAnsi="Arial"/>
          <w:sz w:val="18"/>
          <w:szCs w:val="18"/>
          <w:color w:val="auto"/>
        </w:rPr>
      </w:pPr>
    </w:p>
    <w:p>
      <w:pPr>
        <w:ind w:left="1300" w:hanging="649"/>
        <w:spacing w:after="0" w:line="272"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4" w:lineRule="exact"/>
        <w:rPr>
          <w:rFonts w:ascii="Arial" w:cs="Arial" w:eastAsia="Arial" w:hAnsi="Arial"/>
          <w:sz w:val="18"/>
          <w:szCs w:val="18"/>
          <w:color w:val="auto"/>
        </w:rPr>
      </w:pPr>
    </w:p>
    <w:p>
      <w:pPr>
        <w:ind w:left="1300" w:hanging="649"/>
        <w:spacing w:after="0" w:line="302" w:lineRule="auto"/>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151" w:lineRule="exact"/>
        <w:rPr>
          <w:rFonts w:ascii="Arial" w:cs="Arial" w:eastAsia="Arial" w:hAnsi="Arial"/>
          <w:sz w:val="17"/>
          <w:szCs w:val="17"/>
          <w:color w:val="auto"/>
        </w:rPr>
      </w:pPr>
    </w:p>
    <w:p>
      <w:pPr>
        <w:ind w:left="1300" w:hanging="649"/>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Trustee may make reasonable rules for action by or a meeting of Holders of one or more Series. Any Agent may make reasonable rules and set reasonable requirements for its functions.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If a payment date for any payment made under this Indenture is not a Business Day, payment may be made on the next succeeding Business Day, and no interest shall accrue for the intervening period.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 Waiver of Jury Trial; Consent to Jurisdiction</w:t>
      </w:r>
      <w:r>
        <w:rPr>
          <w:rFonts w:ascii="Arial" w:cs="Arial" w:eastAsia="Arial" w:hAnsi="Arial"/>
          <w:sz w:val="18"/>
          <w:szCs w:val="18"/>
          <w:color w:val="auto"/>
        </w:rPr>
        <w:t>.</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THE INDENTURE OR THE SECURITIES, SHALL BE GOVERNED BY THE LAWS OF THE STATE OF NEW YORK.</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Table of Contents, Cross Reference Table, headings of the Articles and Sections of this Indenture have been inserted for convenience of reference only, are not to be considered a part hereof and shall in no way modify or restrict any of the terms or provisions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Securities in a Foreign Currency</w:t>
      </w:r>
      <w:r>
        <w:rPr>
          <w:rFonts w:ascii="Arial" w:cs="Arial" w:eastAsia="Arial" w:hAnsi="Arial"/>
          <w:sz w:val="18"/>
          <w:szCs w:val="18"/>
          <w:color w:val="auto"/>
        </w:rPr>
        <w:t>.</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Unless otherwise specified in an Issuing Document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an Issuing Document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8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6"/>
          <w:szCs w:val="16"/>
          <w:i w:val="1"/>
          <w:iCs w:val="1"/>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i w:val="1"/>
          <w:iCs w:val="1"/>
          <w:color w:val="auto"/>
        </w:rPr>
        <w:t>New York Banking Day</w:t>
      </w:r>
      <w:r>
        <w:rPr>
          <w:rFonts w:ascii="Arial" w:cs="Arial" w:eastAsia="Arial" w:hAnsi="Arial"/>
          <w:sz w:val="16"/>
          <w:szCs w:val="16"/>
          <w:color w:val="auto"/>
        </w:rPr>
        <w:t>” means any day except a Saturday, Sunday or a legal holiday in the City of New York on which banking institutions are authorized or required by law, regulation or executive order to close.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if so provided by the terms of an Issuing Document with respect to such Securities pursuant to Section 2.2, except as otherwise permitted or required by any form of Security of such Series issued pursuant to this Indenture.</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minimum amount of any sinking fund payment provided for by the terms of the Securities of any Series is herein referred to as a “</w:t>
      </w:r>
      <w:r>
        <w:rPr>
          <w:rFonts w:ascii="Arial" w:cs="Arial" w:eastAsia="Arial" w:hAnsi="Arial"/>
          <w:sz w:val="16"/>
          <w:szCs w:val="16"/>
          <w:i w:val="1"/>
          <w:iCs w:val="1"/>
          <w:color w:val="auto"/>
        </w:rPr>
        <w:t>mandatory sinking</w:t>
      </w:r>
      <w:r>
        <w:rPr>
          <w:rFonts w:ascii="Arial" w:cs="Arial" w:eastAsia="Arial" w:hAnsi="Arial"/>
          <w:sz w:val="16"/>
          <w:szCs w:val="16"/>
          <w:color w:val="auto"/>
        </w:rPr>
        <w:t xml:space="preserve"> </w:t>
      </w:r>
      <w:r>
        <w:rPr>
          <w:rFonts w:ascii="Arial" w:cs="Arial" w:eastAsia="Arial" w:hAnsi="Arial"/>
          <w:sz w:val="16"/>
          <w:szCs w:val="16"/>
          <w:i w:val="1"/>
          <w:iCs w:val="1"/>
          <w:color w:val="auto"/>
        </w:rPr>
        <w:t>fund payment</w:t>
      </w:r>
      <w:r>
        <w:rPr>
          <w:rFonts w:ascii="Arial" w:cs="Arial" w:eastAsia="Arial" w:hAnsi="Arial"/>
          <w:sz w:val="16"/>
          <w:szCs w:val="16"/>
          <w:color w:val="auto"/>
        </w:rPr>
        <w:t>” and any other amount provided for by the terms of Securities of such Series is herein referred to as an “</w:t>
      </w:r>
      <w:r>
        <w:rPr>
          <w:rFonts w:ascii="Arial" w:cs="Arial" w:eastAsia="Arial" w:hAnsi="Arial"/>
          <w:sz w:val="16"/>
          <w:szCs w:val="16"/>
          <w:i w:val="1"/>
          <w:iCs w:val="1"/>
          <w:color w:val="auto"/>
        </w:rPr>
        <w:t>optional sinking fund payment</w:t>
      </w:r>
      <w:r>
        <w:rPr>
          <w:rFonts w:ascii="Arial" w:cs="Arial" w:eastAsia="Arial" w:hAnsi="Arial"/>
          <w:sz w:val="16"/>
          <w:szCs w:val="16"/>
          <w:color w:val="auto"/>
        </w:rPr>
        <w:t>.” If</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22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Not less than five Business Days (unless otherwise indicated in the Issuing Document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three Business Days (unless otherwise indicated in the Issuing Document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Presto Automation Inc.</w:t>
      </w:r>
    </w:p>
    <w:p>
      <w:pPr>
        <w:spacing w:after="0" w:line="22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13970</wp:posOffset>
            </wp:positionV>
            <wp:extent cx="25622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2562225" cy="17145"/>
                    </a:xfrm>
                    <a:prstGeom prst="rect">
                      <a:avLst/>
                    </a:prstGeom>
                    <a:noFill/>
                  </pic:spPr>
                </pic:pic>
              </a:graphicData>
            </a:graphic>
          </wp:anchor>
        </w:drawing>
      </w:r>
    </w:p>
    <w:p>
      <w:pPr>
        <w:spacing w:after="0" w:line="1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w:t>
      </w:r>
    </w:p>
    <w:p>
      <w:pPr>
        <w:spacing w:after="0" w:line="20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[_____], as Trustee</w:t>
      </w:r>
    </w:p>
    <w:p>
      <w:pPr>
        <w:spacing w:after="0" w:line="22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13970</wp:posOffset>
            </wp:positionV>
            <wp:extent cx="25622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2562225" cy="17145"/>
                    </a:xfrm>
                    <a:prstGeom prst="rect">
                      <a:avLst/>
                    </a:prstGeom>
                    <a:noFill/>
                  </pic:spPr>
                </pic:pic>
              </a:graphicData>
            </a:graphic>
          </wp:anchor>
        </w:drawing>
      </w:r>
    </w:p>
    <w:p>
      <w:pPr>
        <w:spacing w:after="0" w:line="1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139"/>
          </w:cols>
          <w:pgMar w:left="320" w:top="903" w:right="1440" w:bottom="1440" w:gutter="0" w:footer="0" w:header="0"/>
        </w:sectPr>
      </w:pPr>
    </w:p>
    <w:bookmarkStart w:id="88" w:name="page89"/>
    <w:bookmarkEnd w:id="88"/>
    <w:p>
      <w:pPr>
        <w:ind w:left="10320"/>
        <w:spacing w:after="0"/>
        <w:rPr>
          <w:sz w:val="20"/>
          <w:szCs w:val="20"/>
          <w:color w:val="auto"/>
        </w:rPr>
      </w:pPr>
      <w:r>
        <w:rPr>
          <w:rFonts w:ascii="Arial" w:cs="Arial" w:eastAsia="Arial" w:hAnsi="Arial"/>
          <w:sz w:val="16"/>
          <w:szCs w:val="16"/>
          <w:b w:val="1"/>
          <w:bCs w:val="1"/>
          <w:color w:val="auto"/>
        </w:rPr>
        <w:t>Exhibit 4.32</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2023-11</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962,100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16,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5" w:lineRule="exact"/>
        <w:rPr>
          <w:sz w:val="20"/>
          <w:szCs w:val="20"/>
          <w:color w:val="auto"/>
        </w:rPr>
      </w:pPr>
    </w:p>
    <w:p>
      <w:pPr>
        <w:jc w:val="both"/>
        <w:ind w:firstLine="1287"/>
        <w:spacing w:after="0" w:line="285" w:lineRule="auto"/>
        <w:rPr>
          <w:sz w:val="20"/>
          <w:szCs w:val="20"/>
          <w:color w:val="auto"/>
        </w:rPr>
      </w:pPr>
      <w:r>
        <w:rPr>
          <w:rFonts w:ascii="Arial" w:cs="Arial" w:eastAsia="Arial" w:hAnsi="Arial"/>
          <w:sz w:val="16"/>
          <w:szCs w:val="16"/>
          <w:color w:val="auto"/>
        </w:rPr>
        <w:t>Presto Automation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Metropolitan Levered Partners Fund VII, LP,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962,100 duly authorized, validly issued,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17‎. This Warrant is being issued pursuant to Section 3 of that certain Third Amendment to Credit Agreement, dated October 10, 2023, among E La Carte, LLC, the Company and Metropolitan Partners Group Administration, LLC, as agent (the “</w:t>
      </w:r>
      <w:r>
        <w:rPr>
          <w:rFonts w:ascii="Arial" w:cs="Arial" w:eastAsia="Arial" w:hAnsi="Arial"/>
          <w:sz w:val="16"/>
          <w:szCs w:val="16"/>
          <w:b w:val="1"/>
          <w:bCs w:val="1"/>
          <w:color w:val="auto"/>
        </w:rPr>
        <w:t>Third Amendment</w:t>
      </w:r>
      <w:r>
        <w:rPr>
          <w:rFonts w:ascii="Arial" w:cs="Arial" w:eastAsia="Arial" w:hAnsi="Arial"/>
          <w:sz w:val="16"/>
          <w:szCs w:val="16"/>
          <w:color w:val="auto"/>
        </w:rPr>
        <w:t>”), and to Section 7 of that certain Third Amended and Restated Fee Letter, dated October 10, 2023, among E La Carte, LLC, the Company and Metropolitan Partners Group Administration (the “</w:t>
      </w:r>
      <w:r>
        <w:rPr>
          <w:rFonts w:ascii="Arial" w:cs="Arial" w:eastAsia="Arial" w:hAnsi="Arial"/>
          <w:sz w:val="16"/>
          <w:szCs w:val="16"/>
          <w:b w:val="1"/>
          <w:bCs w:val="1"/>
          <w:color w:val="auto"/>
        </w:rPr>
        <w:t>Fee Letter</w:t>
      </w:r>
      <w:r>
        <w:rPr>
          <w:rFonts w:ascii="Arial" w:cs="Arial" w:eastAsia="Arial" w:hAnsi="Arial"/>
          <w:sz w:val="16"/>
          <w:szCs w:val="16"/>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35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1480" w:hanging="186"/>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1" w:lineRule="exact"/>
        <w:rPr>
          <w:rFonts w:ascii="Arial" w:cs="Arial" w:eastAsia="Arial" w:hAnsi="Arial"/>
          <w:sz w:val="18"/>
          <w:szCs w:val="18"/>
          <w:color w:val="auto"/>
        </w:rPr>
      </w:pPr>
    </w:p>
    <w:p>
      <w:pPr>
        <w:jc w:val="both"/>
        <w:ind w:firstLine="1938"/>
        <w:spacing w:after="0" w:line="279" w:lineRule="auto"/>
        <w:tabs>
          <w:tab w:leader="none" w:pos="2173"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 agree that, by reason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 (3rd) Trading Day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90" w:name="page91"/>
    <w:bookmarkEnd w:id="90"/>
    <w:p>
      <w:pPr>
        <w:ind w:left="2200" w:hanging="262"/>
        <w:spacing w:after="0"/>
        <w:tabs>
          <w:tab w:leader="none" w:pos="2200"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37" w:lineRule="exact"/>
        <w:rPr>
          <w:rFonts w:ascii="Arial" w:cs="Arial" w:eastAsia="Arial" w:hAnsi="Arial"/>
          <w:sz w:val="17"/>
          <w:szCs w:val="17"/>
          <w:color w:val="auto"/>
        </w:rPr>
      </w:pPr>
    </w:p>
    <w:p>
      <w:pPr>
        <w:jc w:val="both"/>
        <w:ind w:firstLine="1938"/>
        <w:spacing w:after="0" w:line="279" w:lineRule="auto"/>
        <w:tabs>
          <w:tab w:leader="none" w:pos="2173"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w:t>
      </w:r>
    </w:p>
    <w:p>
      <w:pPr>
        <w:spacing w:after="0" w:line="13" w:lineRule="exact"/>
        <w:rPr>
          <w:rFonts w:ascii="Arial" w:cs="Arial" w:eastAsia="Arial" w:hAnsi="Arial"/>
          <w:sz w:val="16"/>
          <w:szCs w:val="16"/>
          <w:color w:val="auto"/>
        </w:rPr>
      </w:pPr>
    </w:p>
    <w:p>
      <w:pPr>
        <w:jc w:val="both"/>
        <w:ind w:firstLine="7"/>
        <w:spacing w:after="0" w:line="250" w:lineRule="auto"/>
        <w:tabs>
          <w:tab w:leader="none" w:pos="3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number of Warrant Shares multiplied by (B) the Closing Sale Price of the Common Stock on the Share Delivery Date with respect to the related Exercise Notice (the “</w:t>
      </w:r>
      <w:r>
        <w:rPr>
          <w:rFonts w:ascii="Arial" w:cs="Arial" w:eastAsia="Arial" w:hAnsi="Arial"/>
          <w:sz w:val="18"/>
          <w:szCs w:val="18"/>
          <w:b w:val="1"/>
          <w:bCs w:val="1"/>
          <w:color w:val="auto"/>
        </w:rPr>
        <w:t>Buy-In Payment Amount</w:t>
      </w:r>
      <w:r>
        <w:rPr>
          <w:rFonts w:ascii="Arial" w:cs="Arial" w:eastAsia="Arial" w:hAnsi="Arial"/>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1" w:name="page92"/>
    <w:bookmarkEnd w:id="91"/>
    <w:p>
      <w:pPr>
        <w:jc w:val="both"/>
        <w:ind w:firstLine="1938"/>
        <w:spacing w:after="0" w:line="294" w:lineRule="auto"/>
        <w:tabs>
          <w:tab w:leader="none" w:pos="2183"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contained herein to the contrary (other than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19"/>
          <w:szCs w:val="19"/>
          <w:b w:val="1"/>
          <w:bCs w:val="1"/>
          <w:color w:val="auto"/>
        </w:rPr>
        <w:t>‎</w:t>
      </w:r>
      <w:r>
        <w:rPr>
          <w:rFonts w:ascii="Arial" w:cs="Arial" w:eastAsia="Arial" w:hAnsi="Arial"/>
          <w:sz w:val="16"/>
          <w:szCs w:val="16"/>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0"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B</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2" w:lineRule="exact"/>
        <w:rPr>
          <w:sz w:val="20"/>
          <w:szCs w:val="20"/>
          <w:color w:val="auto"/>
        </w:rPr>
      </w:pPr>
    </w:p>
    <w:p>
      <w:pPr>
        <w:ind w:left="1300"/>
        <w:spacing w:after="0" w:line="336"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5" w:lineRule="exact"/>
        <w:rPr>
          <w:sz w:val="20"/>
          <w:szCs w:val="20"/>
          <w:color w:val="auto"/>
        </w:rPr>
      </w:pPr>
    </w:p>
    <w:p>
      <w:pPr>
        <w:jc w:val="both"/>
        <w:ind w:firstLine="1938"/>
        <w:spacing w:after="0" w:line="261" w:lineRule="auto"/>
        <w:tabs>
          <w:tab w:leader="none" w:pos="217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2" w:name="page93"/>
    <w:bookmarkEnd w:id="92"/>
    <w:p>
      <w:pPr>
        <w:jc w:val="both"/>
        <w:ind w:firstLine="1938"/>
        <w:spacing w:after="0" w:line="278" w:lineRule="auto"/>
        <w:tabs>
          <w:tab w:leader="none" w:pos="2180"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spacing w:after="0" w:line="16" w:lineRule="exact"/>
        <w:rPr>
          <w:rFonts w:ascii="Arial" w:cs="Arial" w:eastAsia="Arial" w:hAnsi="Arial"/>
          <w:sz w:val="16"/>
          <w:szCs w:val="16"/>
          <w:color w:val="auto"/>
        </w:rPr>
      </w:pPr>
    </w:p>
    <w:p>
      <w:pPr>
        <w:jc w:val="both"/>
        <w:ind w:firstLine="7"/>
        <w:spacing w:after="0" w:line="278" w:lineRule="auto"/>
        <w:tabs>
          <w:tab w:leader="none" w:pos="264" w:val="left"/>
        </w:tabs>
        <w:numPr>
          <w:ilvl w:val="0"/>
          <w:numId w:val="68"/>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be deemed null and void and shall be cancelled ab initio, and the Holder shall not have the power to vote or to transfer the Excess Shares.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Arial" w:cs="Arial" w:eastAsia="Arial" w:hAnsi="Arial"/>
          <w:sz w:val="16"/>
          <w:szCs w:val="16"/>
          <w:b w:val="1"/>
          <w:bCs w:val="1"/>
          <w:color w:val="auto"/>
        </w:rPr>
        <w:t>Third Amendment Warrants</w:t>
      </w:r>
      <w:r>
        <w:rPr>
          <w:rFonts w:ascii="Arial" w:cs="Arial" w:eastAsia="Arial" w:hAnsi="Arial"/>
          <w:sz w:val="16"/>
          <w:szCs w:val="16"/>
          <w:color w:val="auto"/>
        </w:rPr>
        <w:t>”), together with the total number of shares of Common Stock issued pursuant to Section 4.11 of the stock purchase agreement, dated October 10, 2023 (the “</w:t>
      </w:r>
      <w:r>
        <w:rPr>
          <w:rFonts w:ascii="Arial" w:cs="Arial" w:eastAsia="Arial" w:hAnsi="Arial"/>
          <w:sz w:val="16"/>
          <w:szCs w:val="16"/>
          <w:b w:val="1"/>
          <w:bCs w:val="1"/>
          <w:color w:val="auto"/>
        </w:rPr>
        <w:t>Cleveland Avenue Purchase Agreement</w:t>
      </w:r>
      <w:r>
        <w:rPr>
          <w:rFonts w:ascii="Arial" w:cs="Arial" w:eastAsia="Arial" w:hAnsi="Arial"/>
          <w:sz w:val="16"/>
          <w:szCs w:val="16"/>
          <w:color w:val="auto"/>
        </w:rPr>
        <w:t>”), by and between the Company and Presto CA LLC (“</w:t>
      </w:r>
      <w:r>
        <w:rPr>
          <w:rFonts w:ascii="Arial" w:cs="Arial" w:eastAsia="Arial" w:hAnsi="Arial"/>
          <w:sz w:val="16"/>
          <w:szCs w:val="16"/>
          <w:b w:val="1"/>
          <w:bCs w:val="1"/>
          <w:color w:val="auto"/>
        </w:rPr>
        <w:t>Cleveland Avenue</w:t>
      </w:r>
      <w:r>
        <w:rPr>
          <w:rFonts w:ascii="Arial" w:cs="Arial" w:eastAsia="Arial" w:hAnsi="Arial"/>
          <w:sz w:val="16"/>
          <w:szCs w:val="16"/>
          <w:color w:val="auto"/>
        </w:rPr>
        <w:t>”), may not exceed the requirements of Nasdaq Listing Rule 5635(d) (“</w:t>
      </w:r>
      <w:r>
        <w:rPr>
          <w:rFonts w:ascii="Arial" w:cs="Arial" w:eastAsia="Arial" w:hAnsi="Arial"/>
          <w:sz w:val="16"/>
          <w:szCs w:val="16"/>
          <w:b w:val="1"/>
          <w:bCs w:val="1"/>
          <w:color w:val="auto"/>
        </w:rPr>
        <w:t>Nasdaq 19.99% Cap</w:t>
      </w:r>
      <w:r>
        <w:rPr>
          <w:rFonts w:ascii="Arial" w:cs="Arial" w:eastAsia="Arial" w:hAnsi="Arial"/>
          <w:sz w:val="16"/>
          <w:szCs w:val="16"/>
          <w:color w:val="auto"/>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Arial" w:cs="Arial" w:eastAsia="Arial" w:hAnsi="Arial"/>
          <w:sz w:val="16"/>
          <w:szCs w:val="16"/>
          <w:b w:val="1"/>
          <w:bCs w:val="1"/>
          <w:color w:val="auto"/>
        </w:rPr>
        <w:t>Approval</w:t>
      </w:r>
      <w:r>
        <w:rPr>
          <w:rFonts w:ascii="Arial" w:cs="Arial" w:eastAsia="Arial" w:hAnsi="Arial"/>
          <w:sz w:val="16"/>
          <w:szCs w:val="16"/>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w:t>
      </w:r>
    </w:p>
    <w:p>
      <w:pPr>
        <w:spacing w:after="0" w:line="22" w:lineRule="exact"/>
        <w:rPr>
          <w:rFonts w:ascii="Arial" w:cs="Arial" w:eastAsia="Arial" w:hAnsi="Arial"/>
          <w:sz w:val="16"/>
          <w:szCs w:val="16"/>
          <w:color w:val="auto"/>
        </w:rPr>
      </w:pPr>
    </w:p>
    <w:p>
      <w:pPr>
        <w:jc w:val="both"/>
        <w:ind w:firstLine="7"/>
        <w:spacing w:after="0" w:line="251" w:lineRule="auto"/>
        <w:tabs>
          <w:tab w:leader="none" w:pos="257" w:val="left"/>
        </w:tabs>
        <w:numPr>
          <w:ilvl w:val="0"/>
          <w:numId w:val="69"/>
        </w:numPr>
        <w:rPr>
          <w:rFonts w:ascii="Arial" w:cs="Arial" w:eastAsia="Arial" w:hAnsi="Arial"/>
          <w:sz w:val="18"/>
          <w:szCs w:val="18"/>
          <w:color w:val="auto"/>
        </w:rPr>
      </w:pPr>
      <w:r>
        <w:rPr>
          <w:rFonts w:ascii="Arial" w:cs="Arial" w:eastAsia="Arial" w:hAnsi="Arial"/>
          <w:sz w:val="18"/>
          <w:szCs w:val="18"/>
          <w:color w:val="auto"/>
        </w:rPr>
        <w:t>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93" w:name="page94"/>
    <w:bookmarkEnd w:id="93"/>
    <w:p>
      <w:pPr>
        <w:jc w:val="both"/>
        <w:ind w:firstLine="1938"/>
        <w:spacing w:after="0" w:line="282" w:lineRule="auto"/>
        <w:tabs>
          <w:tab w:leader="none" w:pos="2183"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166" w:lineRule="exact"/>
        <w:rPr>
          <w:rFonts w:ascii="Arial" w:cs="Arial" w:eastAsia="Arial" w:hAnsi="Arial"/>
          <w:sz w:val="16"/>
          <w:szCs w:val="16"/>
          <w:color w:val="auto"/>
        </w:rPr>
      </w:pPr>
    </w:p>
    <w:p>
      <w:pPr>
        <w:ind w:firstLine="1294"/>
        <w:spacing w:after="0" w:line="272" w:lineRule="auto"/>
        <w:tabs>
          <w:tab w:leader="none" w:pos="1479"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4" w:lineRule="exact"/>
        <w:rPr>
          <w:rFonts w:ascii="Arial" w:cs="Arial" w:eastAsia="Arial" w:hAnsi="Arial"/>
          <w:sz w:val="18"/>
          <w:szCs w:val="18"/>
          <w:color w:val="auto"/>
        </w:rPr>
      </w:pPr>
    </w:p>
    <w:p>
      <w:pPr>
        <w:jc w:val="both"/>
        <w:ind w:firstLine="1938"/>
        <w:spacing w:after="0" w:line="285" w:lineRule="auto"/>
        <w:tabs>
          <w:tab w:leader="none" w:pos="2200"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Adjustment Upon Subdivision or Combination of Shares of Common Stock</w:t>
      </w:r>
      <w:r>
        <w:rPr>
          <w:rFonts w:ascii="Arial" w:cs="Arial" w:eastAsia="Arial" w:hAnsi="Arial"/>
          <w:sz w:val="16"/>
          <w:szCs w:val="16"/>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94" w:name="page95"/>
    <w:bookmarkEnd w:id="94"/>
    <w:p>
      <w:pPr>
        <w:jc w:val="both"/>
        <w:ind w:firstLine="1938"/>
        <w:spacing w:after="0" w:line="252" w:lineRule="auto"/>
        <w:tabs>
          <w:tab w:leader="none" w:pos="218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Adjustment Upon Issuance of Shares of Common Stock</w:t>
      </w:r>
      <w:r>
        <w:rPr>
          <w:rFonts w:ascii="Arial" w:cs="Arial" w:eastAsia="Arial" w:hAnsi="Arial"/>
          <w:sz w:val="18"/>
          <w:szCs w:val="18"/>
          <w:color w:val="auto"/>
        </w:rPr>
        <w:t>. If and whenever on or after the Issuance Date but prior to April 1, 2024 (the “</w:t>
      </w:r>
      <w:r>
        <w:rPr>
          <w:rFonts w:ascii="Arial" w:cs="Arial" w:eastAsia="Arial" w:hAnsi="Arial"/>
          <w:sz w:val="18"/>
          <w:szCs w:val="18"/>
          <w:b w:val="1"/>
          <w:bCs w:val="1"/>
          <w:color w:val="auto"/>
        </w:rPr>
        <w:t>Anti-Dilution Period</w:t>
      </w:r>
      <w:r>
        <w:rPr>
          <w:rFonts w:ascii="Arial" w:cs="Arial" w:eastAsia="Arial" w:hAnsi="Arial"/>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Arial" w:cs="Arial" w:eastAsia="Arial" w:hAnsi="Arial"/>
          <w:sz w:val="18"/>
          <w:szCs w:val="18"/>
          <w:b w:val="1"/>
          <w:bCs w:val="1"/>
          <w:color w:val="auto"/>
        </w:rPr>
        <w:t>New Issuance Price</w:t>
      </w:r>
      <w:r>
        <w:rPr>
          <w:rFonts w:ascii="Arial" w:cs="Arial" w:eastAsia="Arial" w:hAnsi="Arial"/>
          <w:sz w:val="18"/>
          <w:szCs w:val="18"/>
          <w:color w:val="auto"/>
        </w:rPr>
        <w:t>”) less than $2.00 per share (the “</w:t>
      </w:r>
      <w:r>
        <w:rPr>
          <w:rFonts w:ascii="Arial" w:cs="Arial" w:eastAsia="Arial" w:hAnsi="Arial"/>
          <w:sz w:val="18"/>
          <w:szCs w:val="18"/>
          <w:b w:val="1"/>
          <w:bCs w:val="1"/>
          <w:color w:val="auto"/>
        </w:rPr>
        <w:t>Applicable Price</w:t>
      </w:r>
      <w:r>
        <w:rPr>
          <w:rFonts w:ascii="Arial" w:cs="Arial" w:eastAsia="Arial" w:hAnsi="Arial"/>
          <w:sz w:val="18"/>
          <w:szCs w:val="18"/>
          <w:color w:val="auto"/>
        </w:rPr>
        <w:t>”, and the foregoing a “</w:t>
      </w:r>
      <w:r>
        <w:rPr>
          <w:rFonts w:ascii="Arial" w:cs="Arial" w:eastAsia="Arial" w:hAnsi="Arial"/>
          <w:sz w:val="18"/>
          <w:szCs w:val="18"/>
          <w:b w:val="1"/>
          <w:bCs w:val="1"/>
          <w:color w:val="auto"/>
        </w:rPr>
        <w:t>Dilutive</w:t>
      </w:r>
      <w:r>
        <w:rPr>
          <w:rFonts w:ascii="Arial" w:cs="Arial" w:eastAsia="Arial" w:hAnsi="Arial"/>
          <w:sz w:val="18"/>
          <w:szCs w:val="18"/>
          <w:color w:val="auto"/>
        </w:rPr>
        <w:t xml:space="preserve"> </w:t>
      </w:r>
      <w:r>
        <w:rPr>
          <w:rFonts w:ascii="Arial" w:cs="Arial" w:eastAsia="Arial" w:hAnsi="Arial"/>
          <w:sz w:val="18"/>
          <w:szCs w:val="18"/>
          <w:b w:val="1"/>
          <w:bCs w:val="1"/>
          <w:color w:val="auto"/>
        </w:rPr>
        <w:t>Issuance</w:t>
      </w:r>
      <w:r>
        <w:rPr>
          <w:rFonts w:ascii="Arial" w:cs="Arial" w:eastAsia="Arial" w:hAnsi="Arial"/>
          <w:sz w:val="18"/>
          <w:szCs w:val="18"/>
          <w:color w:val="auto"/>
        </w:rPr>
        <w:t>”), then immediately after such Dilutive Issuance, the number of Warrant Shares shall be increased to an amount equal to (x) the number of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prior to such Dilutive Issuance, multiplied by (y) the quotient of the Applicable Price divided by the New Issuance Price. For all purposes of the foregoing (including, without limitation, determining the adjusted number of Warrant Shares and the New Issuance Price under this Section 2(b)), the following shall be applicable:</w:t>
      </w:r>
    </w:p>
    <w:p>
      <w:pPr>
        <w:spacing w:after="0" w:line="191" w:lineRule="exact"/>
        <w:rPr>
          <w:rFonts w:ascii="Arial" w:cs="Arial" w:eastAsia="Arial" w:hAnsi="Arial"/>
          <w:sz w:val="18"/>
          <w:szCs w:val="18"/>
          <w:color w:val="auto"/>
        </w:rPr>
      </w:pPr>
    </w:p>
    <w:p>
      <w:pPr>
        <w:jc w:val="both"/>
        <w:ind w:firstLine="2581"/>
        <w:spacing w:after="0" w:line="283" w:lineRule="auto"/>
        <w:tabs>
          <w:tab w:leader="none" w:pos="2787"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172" w:lineRule="exact"/>
        <w:rPr>
          <w:rFonts w:ascii="Arial" w:cs="Arial" w:eastAsia="Arial" w:hAnsi="Arial"/>
          <w:sz w:val="16"/>
          <w:szCs w:val="16"/>
          <w:color w:val="auto"/>
        </w:rPr>
      </w:pPr>
    </w:p>
    <w:p>
      <w:pPr>
        <w:jc w:val="both"/>
        <w:ind w:firstLine="2581"/>
        <w:spacing w:after="0" w:line="283" w:lineRule="auto"/>
        <w:tabs>
          <w:tab w:leader="none" w:pos="2850"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95" w:name="page96"/>
    <w:bookmarkEnd w:id="95"/>
    <w:p>
      <w:pPr>
        <w:jc w:val="both"/>
        <w:ind w:firstLine="2581"/>
        <w:spacing w:after="0" w:line="267" w:lineRule="auto"/>
        <w:tabs>
          <w:tab w:leader="none" w:pos="290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181" w:lineRule="exact"/>
        <w:rPr>
          <w:rFonts w:ascii="Arial" w:cs="Arial" w:eastAsia="Arial" w:hAnsi="Arial"/>
          <w:sz w:val="17"/>
          <w:szCs w:val="17"/>
          <w:color w:val="auto"/>
        </w:rPr>
      </w:pPr>
    </w:p>
    <w:p>
      <w:pPr>
        <w:jc w:val="both"/>
        <w:ind w:firstLine="2581"/>
        <w:spacing w:after="0" w:line="280" w:lineRule="auto"/>
        <w:tabs>
          <w:tab w:leader="none" w:pos="287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and/or Convertible Security and/or Adjustment Right is issued in connection with the issuance or sale or deemed issuance or sale of any other securities of the Company (as determined by the Holder, the “</w:t>
      </w:r>
      <w:r>
        <w:rPr>
          <w:rFonts w:ascii="Arial" w:cs="Arial" w:eastAsia="Arial" w:hAnsi="Arial"/>
          <w:sz w:val="16"/>
          <w:szCs w:val="16"/>
          <w:b w:val="1"/>
          <w:bCs w:val="1"/>
          <w:color w:val="auto"/>
        </w:rPr>
        <w:t>Primary</w:t>
      </w:r>
      <w:r>
        <w:rPr>
          <w:rFonts w:ascii="Arial" w:cs="Arial" w:eastAsia="Arial" w:hAnsi="Arial"/>
          <w:sz w:val="16"/>
          <w:szCs w:val="16"/>
          <w:color w:val="auto"/>
        </w:rPr>
        <w:t xml:space="preserve"> </w:t>
      </w:r>
      <w:r>
        <w:rPr>
          <w:rFonts w:ascii="Arial" w:cs="Arial" w:eastAsia="Arial" w:hAnsi="Arial"/>
          <w:sz w:val="16"/>
          <w:szCs w:val="16"/>
          <w:b w:val="1"/>
          <w:bCs w:val="1"/>
          <w:color w:val="auto"/>
        </w:rPr>
        <w:t>Security</w:t>
      </w:r>
      <w:r>
        <w:rPr>
          <w:rFonts w:ascii="Arial" w:cs="Arial" w:eastAsia="Arial" w:hAnsi="Arial"/>
          <w:sz w:val="16"/>
          <w:szCs w:val="16"/>
          <w:color w:val="auto"/>
        </w:rPr>
        <w:t>”, and such Option and/or Convertible Security and/or Adjustment Right, the “</w:t>
      </w:r>
      <w:r>
        <w:rPr>
          <w:rFonts w:ascii="Arial" w:cs="Arial" w:eastAsia="Arial" w:hAnsi="Arial"/>
          <w:sz w:val="16"/>
          <w:szCs w:val="16"/>
          <w:b w:val="1"/>
          <w:bCs w:val="1"/>
          <w:color w:val="auto"/>
        </w:rPr>
        <w:t>Secondary Securities</w:t>
      </w:r>
      <w:r>
        <w:rPr>
          <w:rFonts w:ascii="Arial" w:cs="Arial" w:eastAsia="Arial" w:hAnsi="Arial"/>
          <w:sz w:val="16"/>
          <w:szCs w:val="16"/>
          <w:color w:val="auto"/>
        </w:rPr>
        <w:t>” and together with the Primary Security, each</w:t>
      </w:r>
      <w:r>
        <w:rPr>
          <w:rFonts w:ascii="Arial" w:cs="Arial" w:eastAsia="Arial" w:hAnsi="Arial"/>
          <w:sz w:val="16"/>
          <w:szCs w:val="16"/>
          <w:b w:val="1"/>
          <w:bCs w:val="1"/>
          <w:color w:val="auto"/>
        </w:rPr>
        <w:t xml:space="preserve"> </w:t>
      </w:r>
      <w:r>
        <w:rPr>
          <w:rFonts w:ascii="Arial" w:cs="Arial" w:eastAsia="Arial" w:hAnsi="Arial"/>
          <w:sz w:val="16"/>
          <w:szCs w:val="16"/>
          <w:color w:val="auto"/>
        </w:rPr>
        <w:t>a “</w:t>
      </w:r>
      <w:r>
        <w:rPr>
          <w:rFonts w:ascii="Arial" w:cs="Arial" w:eastAsia="Arial" w:hAnsi="Arial"/>
          <w:sz w:val="16"/>
          <w:szCs w:val="16"/>
          <w:b w:val="1"/>
          <w:bCs w:val="1"/>
          <w:color w:val="auto"/>
        </w:rPr>
        <w:t>Unit</w:t>
      </w:r>
      <w:r>
        <w:rPr>
          <w:rFonts w:ascii="Arial" w:cs="Arial" w:eastAsia="Arial" w:hAnsi="Arial"/>
          <w:sz w:val="16"/>
          <w:szCs w:val="16"/>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 (i),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w:t>
      </w:r>
    </w:p>
    <w:p>
      <w:pPr>
        <w:spacing w:after="0" w:line="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consideration will be determined within five Trading Days after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3" w:lineRule="exact"/>
        <w:rPr>
          <w:sz w:val="20"/>
          <w:szCs w:val="20"/>
          <w:color w:val="auto"/>
        </w:rPr>
      </w:pPr>
    </w:p>
    <w:p>
      <w:pPr>
        <w:jc w:val="both"/>
        <w:ind w:firstLine="2581"/>
        <w:spacing w:after="0" w:line="254" w:lineRule="auto"/>
        <w:tabs>
          <w:tab w:leader="none" w:pos="282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91" w:lineRule="exact"/>
        <w:rPr>
          <w:rFonts w:ascii="Arial" w:cs="Arial" w:eastAsia="Arial" w:hAnsi="Arial"/>
          <w:sz w:val="18"/>
          <w:szCs w:val="18"/>
          <w:color w:val="auto"/>
        </w:rPr>
      </w:pPr>
    </w:p>
    <w:p>
      <w:pPr>
        <w:ind w:right="20" w:firstLine="1938"/>
        <w:spacing w:after="0" w:line="272" w:lineRule="auto"/>
        <w:tabs>
          <w:tab w:leader="none" w:pos="217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4" w:lineRule="exact"/>
        <w:rPr>
          <w:rFonts w:ascii="Arial" w:cs="Arial" w:eastAsia="Arial" w:hAnsi="Arial"/>
          <w:sz w:val="18"/>
          <w:szCs w:val="18"/>
          <w:color w:val="auto"/>
        </w:rPr>
      </w:pPr>
    </w:p>
    <w:p>
      <w:pPr>
        <w:jc w:val="both"/>
        <w:ind w:firstLine="1938"/>
        <w:spacing w:after="0" w:line="260" w:lineRule="auto"/>
        <w:tabs>
          <w:tab w:leader="none" w:pos="218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96" w:name="page97"/>
    <w:bookmarkEnd w:id="96"/>
    <w:p>
      <w:pPr>
        <w:jc w:val="both"/>
        <w:ind w:firstLine="1294"/>
        <w:spacing w:after="0" w:line="283" w:lineRule="auto"/>
        <w:tabs>
          <w:tab w:leader="none" w:pos="147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xml:space="preserve">. In addition to any adjustments pursuant to Section </w:t>
      </w:r>
      <w:r>
        <w:rPr>
          <w:rFonts w:ascii="Arial" w:cs="Arial" w:eastAsia="Arial" w:hAnsi="Arial"/>
          <w:sz w:val="19"/>
          <w:szCs w:val="19"/>
          <w:b w:val="1"/>
          <w:bCs w:val="1"/>
          <w:color w:val="auto"/>
        </w:rPr>
        <w:t>‎</w:t>
      </w:r>
      <w:r>
        <w:rPr>
          <w:rFonts w:ascii="Arial" w:cs="Arial" w:eastAsia="Arial" w:hAnsi="Arial"/>
          <w:sz w:val="16"/>
          <w:szCs w:val="16"/>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6" w:lineRule="exact"/>
        <w:rPr>
          <w:rFonts w:ascii="Arial" w:cs="Arial" w:eastAsia="Arial" w:hAnsi="Arial"/>
          <w:sz w:val="16"/>
          <w:szCs w:val="16"/>
          <w:color w:val="auto"/>
        </w:rPr>
      </w:pPr>
    </w:p>
    <w:p>
      <w:pPr>
        <w:ind w:left="1480" w:hanging="186"/>
        <w:spacing w:after="0"/>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firstLine="1938"/>
        <w:spacing w:after="0" w:line="266" w:lineRule="auto"/>
        <w:tabs>
          <w:tab w:leader="none" w:pos="2173"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85" w:lineRule="exact"/>
        <w:rPr>
          <w:rFonts w:ascii="Arial" w:cs="Arial" w:eastAsia="Arial" w:hAnsi="Arial"/>
          <w:sz w:val="17"/>
          <w:szCs w:val="17"/>
          <w:color w:val="auto"/>
        </w:rPr>
      </w:pPr>
    </w:p>
    <w:p>
      <w:pPr>
        <w:ind w:left="2200" w:hanging="262"/>
        <w:spacing w:after="0"/>
        <w:tabs>
          <w:tab w:leader="none" w:pos="220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1" w:lineRule="exact"/>
        <w:rPr>
          <w:rFonts w:ascii="Arial" w:cs="Arial" w:eastAsia="Arial" w:hAnsi="Arial"/>
          <w:sz w:val="18"/>
          <w:szCs w:val="18"/>
          <w:color w:val="auto"/>
        </w:rPr>
      </w:pPr>
    </w:p>
    <w:p>
      <w:pPr>
        <w:jc w:val="both"/>
        <w:ind w:firstLine="2581"/>
        <w:spacing w:after="0" w:line="271" w:lineRule="auto"/>
        <w:tabs>
          <w:tab w:leader="none" w:pos="2787" w:val="left"/>
        </w:tabs>
        <w:numPr>
          <w:ilvl w:val="2"/>
          <w:numId w:val="76"/>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7" w:name="page98"/>
    <w:bookmarkEnd w:id="97"/>
    <w:p>
      <w:pPr>
        <w:jc w:val="both"/>
        <w:ind w:firstLine="2581"/>
        <w:spacing w:after="0" w:line="288" w:lineRule="auto"/>
        <w:tabs>
          <w:tab w:leader="none" w:pos="285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 of</w:t>
      </w:r>
    </w:p>
    <w:p>
      <w:pPr>
        <w:jc w:val="both"/>
        <w:spacing w:after="0" w:line="279" w:lineRule="auto"/>
        <w:rPr>
          <w:rFonts w:ascii="Arial" w:cs="Arial" w:eastAsia="Arial" w:hAnsi="Arial"/>
          <w:sz w:val="16"/>
          <w:szCs w:val="16"/>
          <w:color w:val="auto"/>
        </w:rPr>
      </w:pPr>
      <w:r>
        <w:rPr>
          <w:rFonts w:ascii="Arial" w:cs="Arial" w:eastAsia="Arial" w:hAnsi="Arial"/>
          <w:sz w:val="16"/>
          <w:szCs w:val="16"/>
          <w:color w:val="auto"/>
        </w:rPr>
        <w:t>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79"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 at its sole</w:t>
      </w:r>
    </w:p>
    <w:p>
      <w:pPr>
        <w:spacing w:after="0" w:line="7" w:lineRule="exact"/>
        <w:rPr>
          <w:rFonts w:ascii="Arial" w:cs="Arial" w:eastAsia="Arial" w:hAnsi="Arial"/>
          <w:sz w:val="16"/>
          <w:szCs w:val="16"/>
          <w:color w:val="auto"/>
        </w:rPr>
      </w:pPr>
    </w:p>
    <w:p>
      <w:pPr>
        <w:ind w:right="20"/>
        <w:spacing w:after="0" w:line="257" w:lineRule="auto"/>
        <w:rPr>
          <w:rFonts w:ascii="Arial" w:cs="Arial" w:eastAsia="Arial" w:hAnsi="Arial"/>
          <w:sz w:val="16"/>
          <w:szCs w:val="16"/>
          <w:color w:val="auto"/>
        </w:rPr>
      </w:pPr>
      <w:r>
        <w:rPr>
          <w:rFonts w:ascii="Arial" w:cs="Arial" w:eastAsia="Arial" w:hAnsi="Arial"/>
          <w:sz w:val="18"/>
          <w:szCs w:val="18"/>
          <w:color w:val="auto"/>
        </w:rPr>
        <w:t>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 at</w:t>
      </w:r>
      <w:r>
        <w:rPr>
          <w:rFonts w:ascii="Arial" w:cs="Arial" w:eastAsia="Arial" w:hAnsi="Arial"/>
          <w:sz w:val="17"/>
          <w:szCs w:val="17"/>
          <w:b w:val="1"/>
          <w:bCs w:val="1"/>
          <w:color w:val="auto"/>
        </w:rPr>
        <w:t xml:space="preserve"> </w:t>
      </w:r>
      <w:r>
        <w:rPr>
          <w:rFonts w:ascii="Arial" w:cs="Arial" w:eastAsia="Arial" w:hAnsi="Arial"/>
          <w:sz w:val="17"/>
          <w:szCs w:val="17"/>
          <w:color w:val="auto"/>
        </w:rPr>
        <w:t>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98" w:name="page99"/>
    <w:bookmarkEnd w:id="98"/>
    <w:p>
      <w:pPr>
        <w:jc w:val="both"/>
        <w:ind w:firstLine="1938"/>
        <w:spacing w:after="0" w:line="268" w:lineRule="auto"/>
        <w:tabs>
          <w:tab w:leader="none" w:pos="2187"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71" w:lineRule="exact"/>
        <w:rPr>
          <w:rFonts w:ascii="Arial" w:cs="Arial" w:eastAsia="Arial" w:hAnsi="Arial"/>
          <w:sz w:val="17"/>
          <w:szCs w:val="17"/>
          <w:color w:val="auto"/>
        </w:rPr>
      </w:pPr>
    </w:p>
    <w:p>
      <w:pPr>
        <w:jc w:val="both"/>
        <w:ind w:firstLine="1938"/>
        <w:spacing w:after="0" w:line="297" w:lineRule="auto"/>
        <w:tabs>
          <w:tab w:leader="none" w:pos="2197"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8" w:lineRule="exact"/>
        <w:rPr>
          <w:rFonts w:ascii="Arial" w:cs="Arial" w:eastAsia="Arial" w:hAnsi="Arial"/>
          <w:sz w:val="16"/>
          <w:szCs w:val="16"/>
          <w:color w:val="auto"/>
        </w:rPr>
      </w:pPr>
    </w:p>
    <w:p>
      <w:pPr>
        <w:jc w:val="both"/>
        <w:ind w:firstLine="1294"/>
        <w:spacing w:after="0" w:line="266" w:lineRule="auto"/>
        <w:tabs>
          <w:tab w:leader="none" w:pos="1466"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6" w:lineRule="exact"/>
        <w:rPr>
          <w:rFonts w:ascii="Arial" w:cs="Arial" w:eastAsia="Arial" w:hAnsi="Arial"/>
          <w:sz w:val="17"/>
          <w:szCs w:val="17"/>
          <w:color w:val="auto"/>
        </w:rPr>
      </w:pPr>
    </w:p>
    <w:p>
      <w:pPr>
        <w:jc w:val="both"/>
        <w:ind w:firstLine="1294"/>
        <w:spacing w:after="0" w:line="284" w:lineRule="auto"/>
        <w:tabs>
          <w:tab w:leader="none" w:pos="1479"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99" w:name="page100"/>
    <w:bookmarkEnd w:id="99"/>
    <w:p>
      <w:pPr>
        <w:ind w:left="1480" w:hanging="186"/>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938"/>
        <w:spacing w:after="0" w:line="247" w:lineRule="auto"/>
        <w:tabs>
          <w:tab w:leader="none" w:pos="2173"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200" w:lineRule="exact"/>
        <w:rPr>
          <w:rFonts w:ascii="Arial" w:cs="Arial" w:eastAsia="Arial" w:hAnsi="Arial"/>
          <w:sz w:val="18"/>
          <w:szCs w:val="18"/>
          <w:color w:val="auto"/>
        </w:rPr>
      </w:pPr>
    </w:p>
    <w:p>
      <w:pPr>
        <w:jc w:val="both"/>
        <w:ind w:firstLine="1938"/>
        <w:spacing w:after="0" w:line="272" w:lineRule="auto"/>
        <w:tabs>
          <w:tab w:leader="none" w:pos="2183"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6" w:lineRule="exact"/>
        <w:rPr>
          <w:rFonts w:ascii="Arial" w:cs="Arial" w:eastAsia="Arial" w:hAnsi="Arial"/>
          <w:sz w:val="17"/>
          <w:szCs w:val="17"/>
          <w:color w:val="auto"/>
        </w:rPr>
      </w:pPr>
    </w:p>
    <w:p>
      <w:pPr>
        <w:jc w:val="both"/>
        <w:ind w:firstLine="1938"/>
        <w:spacing w:after="0" w:line="291" w:lineRule="auto"/>
        <w:tabs>
          <w:tab w:leader="none" w:pos="2173"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65" w:lineRule="exact"/>
        <w:rPr>
          <w:rFonts w:ascii="Arial" w:cs="Arial" w:eastAsia="Arial" w:hAnsi="Arial"/>
          <w:sz w:val="16"/>
          <w:szCs w:val="16"/>
          <w:color w:val="auto"/>
        </w:rPr>
      </w:pPr>
    </w:p>
    <w:p>
      <w:pPr>
        <w:jc w:val="both"/>
        <w:ind w:firstLine="1938"/>
        <w:spacing w:after="0" w:line="287" w:lineRule="auto"/>
        <w:tabs>
          <w:tab w:leader="none" w:pos="2183"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66" w:lineRule="exact"/>
        <w:rPr>
          <w:rFonts w:ascii="Arial" w:cs="Arial" w:eastAsia="Arial" w:hAnsi="Arial"/>
          <w:sz w:val="16"/>
          <w:szCs w:val="16"/>
          <w:color w:val="auto"/>
        </w:rPr>
      </w:pPr>
    </w:p>
    <w:p>
      <w:pPr>
        <w:jc w:val="both"/>
        <w:ind w:firstLine="1294"/>
        <w:spacing w:after="0" w:line="293" w:lineRule="auto"/>
        <w:tabs>
          <w:tab w:leader="none" w:pos="1479"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00" w:name="page101"/>
    <w:bookmarkEnd w:id="100"/>
    <w:p>
      <w:pPr>
        <w:jc w:val="both"/>
        <w:ind w:firstLine="1294"/>
        <w:spacing w:after="0" w:line="298" w:lineRule="auto"/>
        <w:tabs>
          <w:tab w:leader="none" w:pos="1466"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8" w:lineRule="exact"/>
        <w:rPr>
          <w:rFonts w:ascii="Arial" w:cs="Arial" w:eastAsia="Arial" w:hAnsi="Arial"/>
          <w:sz w:val="16"/>
          <w:szCs w:val="16"/>
          <w:color w:val="auto"/>
        </w:rPr>
      </w:pPr>
    </w:p>
    <w:p>
      <w:pPr>
        <w:jc w:val="both"/>
        <w:ind w:firstLine="1294"/>
        <w:spacing w:after="0" w:line="280" w:lineRule="auto"/>
        <w:tabs>
          <w:tab w:leader="none" w:pos="155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0"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90" w:lineRule="exact"/>
        <w:rPr>
          <w:rFonts w:ascii="Arial" w:cs="Arial" w:eastAsia="Arial" w:hAnsi="Arial"/>
          <w:sz w:val="16"/>
          <w:szCs w:val="16"/>
          <w:color w:val="auto"/>
        </w:rPr>
      </w:pPr>
    </w:p>
    <w:p>
      <w:pPr>
        <w:jc w:val="both"/>
        <w:ind w:firstLine="1294"/>
        <w:spacing w:after="0" w:line="298" w:lineRule="auto"/>
        <w:tabs>
          <w:tab w:leader="none" w:pos="156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8" w:lineRule="exact"/>
        <w:rPr>
          <w:rFonts w:ascii="Arial" w:cs="Arial" w:eastAsia="Arial" w:hAnsi="Arial"/>
          <w:sz w:val="16"/>
          <w:szCs w:val="16"/>
          <w:color w:val="auto"/>
        </w:rPr>
      </w:pPr>
    </w:p>
    <w:p>
      <w:pPr>
        <w:jc w:val="both"/>
        <w:ind w:firstLine="1294"/>
        <w:spacing w:after="0" w:line="265" w:lineRule="auto"/>
        <w:tabs>
          <w:tab w:leader="none" w:pos="1568"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01" w:name="page102"/>
    <w:bookmarkEnd w:id="101"/>
    <w:p>
      <w:pPr>
        <w:jc w:val="both"/>
        <w:ind w:firstLine="1294"/>
        <w:spacing w:after="0" w:line="269" w:lineRule="auto"/>
        <w:tabs>
          <w:tab w:leader="none" w:pos="1568"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2" w:lineRule="exact"/>
        <w:rPr>
          <w:rFonts w:ascii="Arial" w:cs="Arial" w:eastAsia="Arial" w:hAnsi="Arial"/>
          <w:sz w:val="17"/>
          <w:szCs w:val="17"/>
          <w:color w:val="auto"/>
        </w:rPr>
      </w:pPr>
    </w:p>
    <w:p>
      <w:pPr>
        <w:jc w:val="both"/>
        <w:ind w:firstLine="1294"/>
        <w:spacing w:after="0" w:line="256" w:lineRule="auto"/>
        <w:tabs>
          <w:tab w:leader="none" w:pos="15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9" w:lineRule="exact"/>
        <w:rPr>
          <w:rFonts w:ascii="Arial" w:cs="Arial" w:eastAsia="Arial" w:hAnsi="Arial"/>
          <w:sz w:val="18"/>
          <w:szCs w:val="18"/>
          <w:color w:val="auto"/>
        </w:rPr>
      </w:pPr>
    </w:p>
    <w:p>
      <w:pPr>
        <w:jc w:val="both"/>
        <w:ind w:firstLine="1294"/>
        <w:spacing w:after="0" w:line="268" w:lineRule="auto"/>
        <w:tabs>
          <w:tab w:leader="none" w:pos="1555"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4" w:lineRule="exact"/>
        <w:rPr>
          <w:rFonts w:ascii="Arial" w:cs="Arial" w:eastAsia="Arial" w:hAnsi="Arial"/>
          <w:sz w:val="17"/>
          <w:szCs w:val="17"/>
          <w:color w:val="auto"/>
        </w:rPr>
      </w:pPr>
    </w:p>
    <w:p>
      <w:pPr>
        <w:ind w:firstLine="1294"/>
        <w:spacing w:after="0" w:line="272" w:lineRule="auto"/>
        <w:tabs>
          <w:tab w:leader="none" w:pos="15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4" w:lineRule="exact"/>
        <w:rPr>
          <w:rFonts w:ascii="Arial" w:cs="Arial" w:eastAsia="Arial" w:hAnsi="Arial"/>
          <w:sz w:val="18"/>
          <w:szCs w:val="18"/>
          <w:color w:val="auto"/>
        </w:rPr>
      </w:pPr>
    </w:p>
    <w:p>
      <w:pPr>
        <w:ind w:left="1560" w:hanging="266"/>
        <w:spacing w:after="0"/>
        <w:tabs>
          <w:tab w:leader="none" w:pos="15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938"/>
        <w:spacing w:after="0" w:line="260" w:lineRule="auto"/>
        <w:tabs>
          <w:tab w:leader="none" w:pos="2173"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02" w:name="page103"/>
    <w:bookmarkEnd w:id="102"/>
    <w:p>
      <w:pPr>
        <w:jc w:val="both"/>
        <w:ind w:firstLine="1938"/>
        <w:spacing w:after="0" w:line="282" w:lineRule="auto"/>
        <w:tabs>
          <w:tab w:leader="none" w:pos="2183"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68" w:lineRule="exact"/>
        <w:rPr>
          <w:rFonts w:ascii="Arial" w:cs="Arial" w:eastAsia="Arial" w:hAnsi="Arial"/>
          <w:sz w:val="17"/>
          <w:szCs w:val="17"/>
          <w:color w:val="auto"/>
        </w:rPr>
      </w:pPr>
    </w:p>
    <w:p>
      <w:pPr>
        <w:jc w:val="both"/>
        <w:ind w:firstLine="1938"/>
        <w:spacing w:after="0" w:line="260" w:lineRule="auto"/>
        <w:tabs>
          <w:tab w:leader="none" w:pos="2173"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5" w:lineRule="exact"/>
        <w:rPr>
          <w:rFonts w:ascii="Arial" w:cs="Arial" w:eastAsia="Arial" w:hAnsi="Arial"/>
          <w:sz w:val="18"/>
          <w:szCs w:val="18"/>
          <w:color w:val="auto"/>
        </w:rPr>
      </w:pPr>
    </w:p>
    <w:p>
      <w:pPr>
        <w:ind w:left="2200" w:hanging="262"/>
        <w:spacing w:after="0"/>
        <w:tabs>
          <w:tab w:leader="none" w:pos="220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09" w:lineRule="exact"/>
        <w:rPr>
          <w:rFonts w:ascii="Arial" w:cs="Arial" w:eastAsia="Arial" w:hAnsi="Arial"/>
          <w:sz w:val="16"/>
          <w:szCs w:val="16"/>
          <w:color w:val="auto"/>
        </w:rPr>
      </w:pPr>
    </w:p>
    <w:p>
      <w:pPr>
        <w:jc w:val="both"/>
        <w:ind w:firstLine="1938"/>
        <w:spacing w:after="0" w:line="260" w:lineRule="auto"/>
        <w:tabs>
          <w:tab w:leader="none" w:pos="218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5" w:lineRule="exact"/>
        <w:rPr>
          <w:rFonts w:ascii="Arial" w:cs="Arial" w:eastAsia="Arial" w:hAnsi="Arial"/>
          <w:sz w:val="18"/>
          <w:szCs w:val="18"/>
          <w:color w:val="auto"/>
        </w:rPr>
      </w:pPr>
    </w:p>
    <w:p>
      <w:pPr>
        <w:jc w:val="both"/>
        <w:ind w:firstLine="1938"/>
        <w:spacing w:after="0" w:line="260" w:lineRule="auto"/>
        <w:tabs>
          <w:tab w:leader="none" w:pos="2153"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5" w:lineRule="exact"/>
        <w:rPr>
          <w:rFonts w:ascii="Arial" w:cs="Arial" w:eastAsia="Arial" w:hAnsi="Arial"/>
          <w:sz w:val="18"/>
          <w:szCs w:val="18"/>
          <w:color w:val="auto"/>
        </w:rPr>
      </w:pPr>
    </w:p>
    <w:p>
      <w:pPr>
        <w:jc w:val="both"/>
        <w:ind w:firstLine="1938"/>
        <w:spacing w:after="0" w:line="268" w:lineRule="auto"/>
        <w:tabs>
          <w:tab w:leader="none" w:pos="2197"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0" w:lineRule="exact"/>
        <w:rPr>
          <w:rFonts w:ascii="Arial" w:cs="Arial" w:eastAsia="Arial" w:hAnsi="Arial"/>
          <w:sz w:val="17"/>
          <w:szCs w:val="17"/>
          <w:color w:val="auto"/>
        </w:rPr>
      </w:pPr>
    </w:p>
    <w:p>
      <w:pPr>
        <w:jc w:val="both"/>
        <w:ind w:firstLine="1938"/>
        <w:spacing w:after="0" w:line="284" w:lineRule="auto"/>
        <w:tabs>
          <w:tab w:leader="none" w:pos="2197"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03" w:name="page104"/>
    <w:bookmarkEnd w:id="103"/>
    <w:p>
      <w:pPr>
        <w:jc w:val="both"/>
        <w:ind w:firstLine="1294"/>
        <w:spacing w:after="0" w:line="260" w:lineRule="auto"/>
        <w:tabs>
          <w:tab w:leader="none" w:pos="1568"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 except as set forth in (i) the SEC Reports or (ii) the draft Annual Report on Form 10-K for the fiscal year ended June 30, 2023 in the form provided to the Holder (the “</w:t>
      </w:r>
      <w:r>
        <w:rPr>
          <w:rFonts w:ascii="Arial" w:cs="Arial" w:eastAsia="Arial" w:hAnsi="Arial"/>
          <w:sz w:val="18"/>
          <w:szCs w:val="18"/>
          <w:b w:val="1"/>
          <w:bCs w:val="1"/>
          <w:i w:val="1"/>
          <w:iCs w:val="1"/>
          <w:color w:val="auto"/>
        </w:rPr>
        <w:t>2023 Form 10-K</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2180" w:hanging="242"/>
        <w:spacing w:after="0"/>
        <w:tabs>
          <w:tab w:leader="none" w:pos="2180" w:val="left"/>
        </w:tabs>
        <w:numPr>
          <w:ilvl w:val="2"/>
          <w:numId w:val="84"/>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3" w:lineRule="exact"/>
        <w:rPr>
          <w:rFonts w:ascii="Arial" w:cs="Arial" w:eastAsia="Arial" w:hAnsi="Arial"/>
          <w:sz w:val="16"/>
          <w:szCs w:val="16"/>
          <w:color w:val="auto"/>
        </w:rPr>
      </w:pPr>
    </w:p>
    <w:p>
      <w:pPr>
        <w:jc w:val="both"/>
        <w:ind w:firstLine="7"/>
        <w:spacing w:after="0" w:line="284" w:lineRule="auto"/>
        <w:tabs>
          <w:tab w:leader="none" w:pos="278" w:val="left"/>
        </w:tabs>
        <w:numPr>
          <w:ilvl w:val="0"/>
          <w:numId w:val="85"/>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38"/>
        <w:spacing w:after="0" w:line="298" w:lineRule="auto"/>
        <w:tabs>
          <w:tab w:leader="none" w:pos="2223" w:val="left"/>
        </w:tabs>
        <w:numPr>
          <w:ilvl w:val="2"/>
          <w:numId w:val="85"/>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8" w:lineRule="exact"/>
        <w:rPr>
          <w:rFonts w:ascii="Arial" w:cs="Arial" w:eastAsia="Arial" w:hAnsi="Arial"/>
          <w:sz w:val="16"/>
          <w:szCs w:val="16"/>
          <w:color w:val="auto"/>
        </w:rPr>
      </w:pPr>
    </w:p>
    <w:p>
      <w:pPr>
        <w:jc w:val="both"/>
        <w:ind w:firstLine="1938"/>
        <w:spacing w:after="0" w:line="260" w:lineRule="auto"/>
        <w:tabs>
          <w:tab w:leader="none" w:pos="2173" w:val="left"/>
        </w:tabs>
        <w:numPr>
          <w:ilvl w:val="2"/>
          <w:numId w:val="85"/>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85" w:lineRule="exact"/>
        <w:rPr>
          <w:rFonts w:ascii="Arial" w:cs="Arial" w:eastAsia="Arial" w:hAnsi="Arial"/>
          <w:sz w:val="18"/>
          <w:szCs w:val="18"/>
          <w:color w:val="auto"/>
        </w:rPr>
      </w:pPr>
    </w:p>
    <w:p>
      <w:pPr>
        <w:jc w:val="both"/>
        <w:ind w:firstLine="1938"/>
        <w:spacing w:after="0" w:line="282" w:lineRule="auto"/>
        <w:tabs>
          <w:tab w:leader="none" w:pos="2197" w:val="left"/>
        </w:tabs>
        <w:numPr>
          <w:ilvl w:val="2"/>
          <w:numId w:val="85"/>
        </w:numPr>
        <w:rPr>
          <w:rFonts w:ascii="Arial" w:cs="Arial" w:eastAsia="Arial" w:hAnsi="Arial"/>
          <w:sz w:val="16"/>
          <w:szCs w:val="16"/>
          <w:color w:val="auto"/>
        </w:rPr>
      </w:pPr>
      <w:r>
        <w:rPr>
          <w:rFonts w:ascii="Arial" w:cs="Arial" w:eastAsia="Arial" w:hAnsi="Arial"/>
          <w:sz w:val="16"/>
          <w:szCs w:val="16"/>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w:t>
      </w:r>
    </w:p>
    <w:p>
      <w:pPr>
        <w:ind w:firstLine="7"/>
        <w:spacing w:after="0" w:line="257" w:lineRule="auto"/>
        <w:tabs>
          <w:tab w:leader="none" w:pos="23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and (iii), would reasonably be expected to have a Company Material Adverse Effect or have a material adverse effect on the Company’s ability to consummate the transactions contemplated hereby.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04" w:name="page105"/>
    <w:bookmarkEnd w:id="104"/>
    <w:p>
      <w:pPr>
        <w:jc w:val="both"/>
        <w:ind w:firstLine="1938"/>
        <w:spacing w:after="0" w:line="269" w:lineRule="auto"/>
        <w:tabs>
          <w:tab w:leader="none" w:pos="22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82" w:lineRule="exact"/>
        <w:rPr>
          <w:rFonts w:ascii="Arial" w:cs="Arial" w:eastAsia="Arial" w:hAnsi="Arial"/>
          <w:sz w:val="17"/>
          <w:szCs w:val="17"/>
          <w:color w:val="auto"/>
        </w:rPr>
      </w:pPr>
    </w:p>
    <w:p>
      <w:pPr>
        <w:jc w:val="both"/>
        <w:ind w:firstLine="1938"/>
        <w:spacing w:after="0" w:line="283" w:lineRule="auto"/>
        <w:tabs>
          <w:tab w:leader="none" w:pos="2167"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b w:val="1"/>
          <w:bCs w:val="1"/>
          <w:i w:val="1"/>
          <w:iCs w:val="1"/>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Arial" w:cs="Arial" w:eastAsia="Arial" w:hAnsi="Arial"/>
          <w:sz w:val="16"/>
          <w:szCs w:val="16"/>
          <w:b w:val="1"/>
          <w:bCs w:val="1"/>
          <w:i w:val="1"/>
          <w:iCs w:val="1"/>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7" w:lineRule="exact"/>
        <w:rPr>
          <w:rFonts w:ascii="Arial" w:cs="Arial" w:eastAsia="Arial" w:hAnsi="Arial"/>
          <w:sz w:val="16"/>
          <w:szCs w:val="16"/>
          <w:color w:val="auto"/>
        </w:rPr>
      </w:pPr>
    </w:p>
    <w:p>
      <w:pPr>
        <w:jc w:val="both"/>
        <w:ind w:firstLine="1938"/>
        <w:spacing w:after="0" w:line="273" w:lineRule="auto"/>
        <w:tabs>
          <w:tab w:leader="none" w:pos="2183" w:val="left"/>
        </w:tabs>
        <w:numPr>
          <w:ilvl w:val="0"/>
          <w:numId w:val="87"/>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75" w:lineRule="exact"/>
        <w:rPr>
          <w:rFonts w:ascii="Arial" w:cs="Arial" w:eastAsia="Arial" w:hAnsi="Arial"/>
          <w:sz w:val="17"/>
          <w:szCs w:val="17"/>
          <w:color w:val="auto"/>
        </w:rPr>
      </w:pPr>
    </w:p>
    <w:p>
      <w:pPr>
        <w:jc w:val="both"/>
        <w:ind w:firstLine="1938"/>
        <w:spacing w:after="0" w:line="253" w:lineRule="auto"/>
        <w:tabs>
          <w:tab w:leader="none" w:pos="2183"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05" w:name="page106"/>
    <w:bookmarkEnd w:id="105"/>
    <w:p>
      <w:pPr>
        <w:jc w:val="both"/>
        <w:ind w:firstLine="1938"/>
        <w:spacing w:after="0" w:line="260" w:lineRule="auto"/>
        <w:tabs>
          <w:tab w:leader="none" w:pos="214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5" w:lineRule="exact"/>
        <w:rPr>
          <w:rFonts w:ascii="Arial" w:cs="Arial" w:eastAsia="Arial" w:hAnsi="Arial"/>
          <w:sz w:val="18"/>
          <w:szCs w:val="18"/>
          <w:color w:val="auto"/>
        </w:rPr>
      </w:pPr>
    </w:p>
    <w:p>
      <w:pPr>
        <w:jc w:val="both"/>
        <w:ind w:firstLine="1938"/>
        <w:spacing w:after="0" w:line="256" w:lineRule="auto"/>
        <w:tabs>
          <w:tab w:leader="none" w:pos="214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9" w:lineRule="exact"/>
        <w:rPr>
          <w:rFonts w:ascii="Arial" w:cs="Arial" w:eastAsia="Arial" w:hAnsi="Arial"/>
          <w:sz w:val="18"/>
          <w:szCs w:val="18"/>
          <w:color w:val="auto"/>
        </w:rPr>
      </w:pPr>
    </w:p>
    <w:p>
      <w:pPr>
        <w:jc w:val="both"/>
        <w:ind w:firstLine="1938"/>
        <w:spacing w:after="0" w:line="289" w:lineRule="auto"/>
        <w:tabs>
          <w:tab w:leader="none" w:pos="2183" w:val="left"/>
        </w:tabs>
        <w:numPr>
          <w:ilvl w:val="1"/>
          <w:numId w:val="88"/>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5" w:lineRule="exact"/>
        <w:rPr>
          <w:rFonts w:ascii="Arial" w:cs="Arial" w:eastAsia="Arial" w:hAnsi="Arial"/>
          <w:sz w:val="16"/>
          <w:szCs w:val="16"/>
          <w:color w:val="auto"/>
        </w:rPr>
      </w:pPr>
    </w:p>
    <w:p>
      <w:pPr>
        <w:ind w:left="1560" w:hanging="266"/>
        <w:spacing w:after="0"/>
        <w:tabs>
          <w:tab w:leader="none" w:pos="15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17" w:lineRule="exact"/>
        <w:rPr>
          <w:rFonts w:ascii="Arial" w:cs="Arial" w:eastAsia="Arial" w:hAnsi="Arial"/>
          <w:sz w:val="18"/>
          <w:szCs w:val="18"/>
          <w:color w:val="auto"/>
        </w:rPr>
      </w:pPr>
    </w:p>
    <w:p>
      <w:pPr>
        <w:jc w:val="both"/>
        <w:ind w:firstLine="1938"/>
        <w:spacing w:after="0" w:line="258" w:lineRule="auto"/>
        <w:tabs>
          <w:tab w:leader="none" w:pos="2173"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82" w:lineRule="exact"/>
        <w:rPr>
          <w:rFonts w:ascii="Arial" w:cs="Arial" w:eastAsia="Arial" w:hAnsi="Arial"/>
          <w:sz w:val="18"/>
          <w:szCs w:val="18"/>
          <w:color w:val="auto"/>
        </w:rPr>
      </w:pPr>
    </w:p>
    <w:p>
      <w:pPr>
        <w:ind w:firstLine="1938"/>
        <w:spacing w:after="0" w:line="276" w:lineRule="auto"/>
        <w:tabs>
          <w:tab w:leader="none" w:pos="2183"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7" w:lineRule="exact"/>
        <w:rPr>
          <w:rFonts w:ascii="Arial" w:cs="Arial" w:eastAsia="Arial" w:hAnsi="Arial"/>
          <w:sz w:val="18"/>
          <w:szCs w:val="18"/>
          <w:color w:val="auto"/>
        </w:rPr>
      </w:pPr>
    </w:p>
    <w:p>
      <w:pPr>
        <w:jc w:val="both"/>
        <w:ind w:firstLine="1938"/>
        <w:spacing w:after="0" w:line="262" w:lineRule="auto"/>
        <w:tabs>
          <w:tab w:leader="none" w:pos="22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80" w:lineRule="exact"/>
        <w:rPr>
          <w:rFonts w:ascii="Arial" w:cs="Arial" w:eastAsia="Arial" w:hAnsi="Arial"/>
          <w:sz w:val="18"/>
          <w:szCs w:val="18"/>
          <w:color w:val="auto"/>
        </w:rPr>
      </w:pPr>
    </w:p>
    <w:p>
      <w:pPr>
        <w:jc w:val="both"/>
        <w:ind w:firstLine="1938"/>
        <w:spacing w:after="0" w:line="292" w:lineRule="auto"/>
        <w:tabs>
          <w:tab w:leader="none" w:pos="2210" w:val="left"/>
        </w:tabs>
        <w:numPr>
          <w:ilvl w:val="1"/>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06" w:name="page107"/>
    <w:bookmarkEnd w:id="106"/>
    <w:p>
      <w:pPr>
        <w:jc w:val="both"/>
        <w:ind w:firstLine="1938"/>
        <w:spacing w:after="0" w:line="265" w:lineRule="auto"/>
        <w:tabs>
          <w:tab w:leader="none" w:pos="2173" w:val="left"/>
        </w:tabs>
        <w:numPr>
          <w:ilvl w:val="0"/>
          <w:numId w:val="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5" w:lineRule="exact"/>
        <w:rPr>
          <w:rFonts w:ascii="Arial" w:cs="Arial" w:eastAsia="Arial" w:hAnsi="Arial"/>
          <w:sz w:val="17"/>
          <w:szCs w:val="17"/>
          <w:color w:val="auto"/>
        </w:rPr>
      </w:pPr>
    </w:p>
    <w:p>
      <w:pPr>
        <w:jc w:val="both"/>
        <w:ind w:firstLine="1938"/>
        <w:spacing w:after="0" w:line="264" w:lineRule="auto"/>
        <w:tabs>
          <w:tab w:leader="none" w:pos="2167" w:val="left"/>
        </w:tabs>
        <w:numPr>
          <w:ilvl w:val="0"/>
          <w:numId w:val="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89" w:lineRule="exact"/>
        <w:rPr>
          <w:rFonts w:ascii="Arial" w:cs="Arial" w:eastAsia="Arial" w:hAnsi="Arial"/>
          <w:sz w:val="17"/>
          <w:szCs w:val="17"/>
          <w:color w:val="auto"/>
        </w:rPr>
      </w:pPr>
    </w:p>
    <w:p>
      <w:pPr>
        <w:ind w:left="2200" w:hanging="262"/>
        <w:spacing w:after="0"/>
        <w:tabs>
          <w:tab w:leader="none" w:pos="22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1" w:lineRule="exact"/>
        <w:rPr>
          <w:rFonts w:ascii="Arial" w:cs="Arial" w:eastAsia="Arial" w:hAnsi="Arial"/>
          <w:sz w:val="18"/>
          <w:szCs w:val="18"/>
          <w:color w:val="auto"/>
        </w:rPr>
      </w:pPr>
    </w:p>
    <w:p>
      <w:pPr>
        <w:ind w:firstLine="1938"/>
        <w:spacing w:after="0" w:line="341" w:lineRule="auto"/>
        <w:tabs>
          <w:tab w:leader="none" w:pos="2197" w:val="left"/>
        </w:tabs>
        <w:numPr>
          <w:ilvl w:val="0"/>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7" w:name="page108"/>
    <w:bookmarkEnd w:id="107"/>
    <w:p>
      <w:pPr>
        <w:jc w:val="both"/>
        <w:ind w:firstLine="1938"/>
        <w:spacing w:after="0" w:line="265" w:lineRule="auto"/>
        <w:tabs>
          <w:tab w:leader="none" w:pos="2157" w:val="left"/>
        </w:tabs>
        <w:numPr>
          <w:ilvl w:val="0"/>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84" w:lineRule="exact"/>
        <w:rPr>
          <w:rFonts w:ascii="Arial" w:cs="Arial" w:eastAsia="Arial" w:hAnsi="Arial"/>
          <w:sz w:val="17"/>
          <w:szCs w:val="17"/>
          <w:color w:val="auto"/>
        </w:rPr>
      </w:pPr>
    </w:p>
    <w:p>
      <w:pPr>
        <w:ind w:firstLine="1938"/>
        <w:spacing w:after="0" w:line="307" w:lineRule="auto"/>
        <w:tabs>
          <w:tab w:leader="none" w:pos="2144" w:val="left"/>
        </w:tabs>
        <w:numPr>
          <w:ilvl w:val="0"/>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43" w:lineRule="exact"/>
        <w:rPr>
          <w:rFonts w:ascii="Arial" w:cs="Arial" w:eastAsia="Arial" w:hAnsi="Arial"/>
          <w:sz w:val="17"/>
          <w:szCs w:val="17"/>
          <w:color w:val="auto"/>
        </w:rPr>
      </w:pPr>
    </w:p>
    <w:p>
      <w:pPr>
        <w:ind w:firstLine="1938"/>
        <w:spacing w:after="0" w:line="276" w:lineRule="auto"/>
        <w:tabs>
          <w:tab w:leader="none" w:pos="22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7" w:lineRule="exact"/>
        <w:rPr>
          <w:rFonts w:ascii="Arial" w:cs="Arial" w:eastAsia="Arial" w:hAnsi="Arial"/>
          <w:sz w:val="18"/>
          <w:szCs w:val="18"/>
          <w:color w:val="auto"/>
        </w:rPr>
      </w:pPr>
    </w:p>
    <w:p>
      <w:pPr>
        <w:ind w:right="20" w:firstLine="1938"/>
        <w:spacing w:after="0" w:line="276" w:lineRule="auto"/>
        <w:tabs>
          <w:tab w:leader="none" w:pos="2157"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7" w:lineRule="exact"/>
        <w:rPr>
          <w:rFonts w:ascii="Arial" w:cs="Arial" w:eastAsia="Arial" w:hAnsi="Arial"/>
          <w:sz w:val="18"/>
          <w:szCs w:val="18"/>
          <w:color w:val="auto"/>
        </w:rPr>
      </w:pPr>
    </w:p>
    <w:p>
      <w:pPr>
        <w:jc w:val="both"/>
        <w:ind w:firstLine="1938"/>
        <w:spacing w:after="0" w:line="283" w:lineRule="auto"/>
        <w:tabs>
          <w:tab w:leader="none" w:pos="22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Arial" w:cs="Arial" w:eastAsia="Arial" w:hAnsi="Arial"/>
          <w:sz w:val="16"/>
          <w:szCs w:val="16"/>
          <w:b w:val="1"/>
          <w:bCs w:val="1"/>
          <w:color w:val="auto"/>
        </w:rPr>
        <w:t>Metropolitan Entities</w:t>
      </w:r>
      <w:r>
        <w:rPr>
          <w:rFonts w:ascii="Arial" w:cs="Arial" w:eastAsia="Arial" w:hAnsi="Arial"/>
          <w:sz w:val="16"/>
          <w:szCs w:val="16"/>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and (E) this Warrant and any other warrant issued to the Metropolitan Entities in connection with the Third Amendment.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8" w:name="page109"/>
    <w:bookmarkEnd w:id="108"/>
    <w:p>
      <w:pPr>
        <w:ind w:firstLine="1938"/>
        <w:spacing w:after="0" w:line="307" w:lineRule="auto"/>
        <w:tabs>
          <w:tab w:leader="none" w:pos="2183" w:val="left"/>
        </w:tabs>
        <w:numPr>
          <w:ilvl w:val="1"/>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43" w:lineRule="exact"/>
        <w:rPr>
          <w:rFonts w:ascii="Arial" w:cs="Arial" w:eastAsia="Arial" w:hAnsi="Arial"/>
          <w:sz w:val="17"/>
          <w:szCs w:val="17"/>
          <w:color w:val="auto"/>
        </w:rPr>
      </w:pPr>
    </w:p>
    <w:p>
      <w:pPr>
        <w:jc w:val="both"/>
        <w:ind w:firstLine="1938"/>
        <w:spacing w:after="0" w:line="281" w:lineRule="auto"/>
        <w:tabs>
          <w:tab w:leader="none" w:pos="2223" w:val="left"/>
        </w:tabs>
        <w:numPr>
          <w:ilvl w:val="1"/>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w:t>
      </w:r>
    </w:p>
    <w:p>
      <w:pPr>
        <w:spacing w:after="0" w:line="1" w:lineRule="exact"/>
        <w:rPr>
          <w:rFonts w:ascii="Arial" w:cs="Arial" w:eastAsia="Arial" w:hAnsi="Arial"/>
          <w:sz w:val="16"/>
          <w:szCs w:val="16"/>
          <w:color w:val="auto"/>
        </w:rPr>
      </w:pPr>
    </w:p>
    <w:p>
      <w:pPr>
        <w:jc w:val="both"/>
        <w:ind w:firstLine="7"/>
        <w:spacing w:after="0" w:line="282" w:lineRule="auto"/>
        <w:tabs>
          <w:tab w:leader="none" w:pos="304"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9" w:name="page110"/>
    <w:bookmarkEnd w:id="109"/>
    <w:p>
      <w:pPr>
        <w:ind w:left="2200" w:hanging="262"/>
        <w:spacing w:after="0"/>
        <w:tabs>
          <w:tab w:leader="none" w:pos="22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a “group” as that term is used in Section 13(d) of the Exchange Act and as defined in Rule 13d-5 thereunder.</w:t>
      </w:r>
    </w:p>
    <w:p>
      <w:pPr>
        <w:spacing w:after="0" w:line="244" w:lineRule="exact"/>
        <w:rPr>
          <w:rFonts w:ascii="Arial" w:cs="Arial" w:eastAsia="Arial" w:hAnsi="Arial"/>
          <w:sz w:val="16"/>
          <w:szCs w:val="16"/>
          <w:color w:val="auto"/>
        </w:rPr>
      </w:pPr>
    </w:p>
    <w:p>
      <w:pPr>
        <w:ind w:left="2220" w:hanging="282"/>
        <w:spacing w:after="0"/>
        <w:tabs>
          <w:tab w:leader="none" w:pos="2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5" w:lineRule="exact"/>
        <w:rPr>
          <w:sz w:val="20"/>
          <w:szCs w:val="20"/>
          <w:color w:val="auto"/>
        </w:rPr>
      </w:pPr>
    </w:p>
    <w:p>
      <w:pPr>
        <w:jc w:val="both"/>
        <w:ind w:firstLine="1938"/>
        <w:spacing w:after="0" w:line="255" w:lineRule="auto"/>
        <w:tabs>
          <w:tab w:leader="none" w:pos="2153"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7" w:lineRule="exact"/>
        <w:rPr>
          <w:rFonts w:ascii="Arial" w:cs="Arial" w:eastAsia="Arial" w:hAnsi="Arial"/>
          <w:sz w:val="18"/>
          <w:szCs w:val="18"/>
          <w:color w:val="auto"/>
        </w:rPr>
      </w:pPr>
    </w:p>
    <w:p>
      <w:pPr>
        <w:ind w:right="20" w:firstLine="1938"/>
        <w:spacing w:after="0" w:line="276" w:lineRule="auto"/>
        <w:tabs>
          <w:tab w:leader="none" w:pos="2177"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7" w:lineRule="exact"/>
        <w:rPr>
          <w:rFonts w:ascii="Arial" w:cs="Arial" w:eastAsia="Arial" w:hAnsi="Arial"/>
          <w:sz w:val="18"/>
          <w:szCs w:val="18"/>
          <w:color w:val="auto"/>
        </w:rPr>
      </w:pPr>
    </w:p>
    <w:p>
      <w:pPr>
        <w:ind w:firstLine="1938"/>
        <w:spacing w:after="0" w:line="276" w:lineRule="auto"/>
        <w:tabs>
          <w:tab w:leader="none" w:pos="21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7" w:lineRule="exact"/>
        <w:rPr>
          <w:rFonts w:ascii="Arial" w:cs="Arial" w:eastAsia="Arial" w:hAnsi="Arial"/>
          <w:sz w:val="18"/>
          <w:szCs w:val="18"/>
          <w:color w:val="auto"/>
        </w:rPr>
      </w:pPr>
    </w:p>
    <w:p>
      <w:pPr>
        <w:ind w:left="2200" w:hanging="262"/>
        <w:spacing w:after="0"/>
        <w:tabs>
          <w:tab w:leader="none" w:pos="2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1" w:lineRule="exact"/>
        <w:rPr>
          <w:rFonts w:ascii="Arial" w:cs="Arial" w:eastAsia="Arial" w:hAnsi="Arial"/>
          <w:sz w:val="18"/>
          <w:szCs w:val="18"/>
          <w:color w:val="auto"/>
        </w:rPr>
      </w:pPr>
    </w:p>
    <w:p>
      <w:pPr>
        <w:ind w:left="2200" w:hanging="262"/>
        <w:spacing w:after="0"/>
        <w:tabs>
          <w:tab w:leader="none" w:pos="22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4" w:lineRule="exact"/>
        <w:rPr>
          <w:rFonts w:ascii="Arial" w:cs="Arial" w:eastAsia="Arial" w:hAnsi="Arial"/>
          <w:sz w:val="16"/>
          <w:szCs w:val="16"/>
          <w:color w:val="auto"/>
        </w:rPr>
      </w:pPr>
    </w:p>
    <w:p>
      <w:pPr>
        <w:jc w:val="both"/>
        <w:ind w:firstLine="1938"/>
        <w:spacing w:after="0" w:line="262" w:lineRule="auto"/>
        <w:tabs>
          <w:tab w:leader="none" w:pos="22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80" w:lineRule="exact"/>
        <w:rPr>
          <w:rFonts w:ascii="Arial" w:cs="Arial" w:eastAsia="Arial" w:hAnsi="Arial"/>
          <w:sz w:val="18"/>
          <w:szCs w:val="18"/>
          <w:color w:val="auto"/>
        </w:rPr>
      </w:pPr>
    </w:p>
    <w:p>
      <w:pPr>
        <w:jc w:val="both"/>
        <w:ind w:firstLine="1938"/>
        <w:spacing w:after="0" w:line="295" w:lineRule="auto"/>
        <w:tabs>
          <w:tab w:leader="none" w:pos="2183"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6" w:lineRule="exact"/>
        <w:rPr>
          <w:rFonts w:ascii="Arial" w:cs="Arial" w:eastAsia="Arial" w:hAnsi="Arial"/>
          <w:sz w:val="16"/>
          <w:szCs w:val="16"/>
          <w:color w:val="auto"/>
        </w:rPr>
      </w:pPr>
    </w:p>
    <w:p>
      <w:pPr>
        <w:jc w:val="both"/>
        <w:ind w:firstLine="1938"/>
        <w:spacing w:after="0" w:line="283" w:lineRule="auto"/>
        <w:tabs>
          <w:tab w:leader="none" w:pos="2183"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19"/>
          <w:szCs w:val="19"/>
          <w:b w:val="1"/>
          <w:bCs w:val="1"/>
          <w:color w:val="auto"/>
        </w:rPr>
        <w:t>‎</w:t>
      </w:r>
      <w:r>
        <w:rPr>
          <w:rFonts w:ascii="Arial" w:cs="Arial" w:eastAsia="Arial" w:hAnsi="Arial"/>
          <w:sz w:val="16"/>
          <w:szCs w:val="16"/>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Xavier Casanova</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-130175</wp:posOffset>
            </wp:positionV>
            <wp:extent cx="24942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4"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1335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holder hereby exercises the right to purchase _________________ 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Presto</w:t>
      </w:r>
    </w:p>
    <w:p>
      <w:pPr>
        <w:spacing w:after="0" w:line="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Automation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evidenced by the attached Warrant to Purchase Common Stock (the “</w:t>
      </w:r>
      <w:r>
        <w:rPr>
          <w:rFonts w:ascii="Arial" w:cs="Arial" w:eastAsia="Arial" w:hAnsi="Arial"/>
          <w:sz w:val="18"/>
          <w:szCs w:val="18"/>
          <w:b w:val="1"/>
          <w:bCs w:val="1"/>
          <w:color w:val="auto"/>
        </w:rPr>
        <w:t>Warrant</w:t>
      </w:r>
      <w:r>
        <w:rPr>
          <w:rFonts w:ascii="Arial" w:cs="Arial" w:eastAsia="Arial" w:hAnsi="Arial"/>
          <w:sz w:val="18"/>
          <w:szCs w:val="18"/>
          <w:color w:val="auto"/>
        </w:rPr>
        <w:t>”). Capitalized terms used herein and not otherwise defined shall have the respective meanings set forth in the Warrant.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80" w:type="dxa"/>
            <w:vAlign w:val="bottom"/>
          </w:tcPr>
          <w:p>
            <w:pPr>
              <w:jc w:val="right"/>
              <w:ind w:right="31"/>
              <w:spacing w:after="0"/>
              <w:rPr>
                <w:sz w:val="20"/>
                <w:szCs w:val="20"/>
                <w:color w:val="auto"/>
              </w:rPr>
            </w:pPr>
            <w:r>
              <w:rPr>
                <w:rFonts w:ascii="Arial" w:cs="Arial" w:eastAsia="Arial" w:hAnsi="Arial"/>
                <w:sz w:val="18"/>
                <w:szCs w:val="18"/>
                <w:color w:val="auto"/>
                <w:w w:val="86"/>
              </w:rPr>
              <w:t>____________</w:t>
            </w:r>
          </w:p>
        </w:tc>
        <w:tc>
          <w:tcPr>
            <w:tcW w:w="5740" w:type="dxa"/>
            <w:vAlign w:val="bottom"/>
            <w:gridSpan w:val="4"/>
          </w:tcPr>
          <w:p>
            <w:pPr>
              <w:ind w:left="10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409"/>
        </w:trPr>
        <w:tc>
          <w:tcPr>
            <w:tcW w:w="1180" w:type="dxa"/>
            <w:vAlign w:val="bottom"/>
          </w:tcPr>
          <w:p>
            <w:pPr>
              <w:jc w:val="right"/>
              <w:ind w:right="31"/>
              <w:spacing w:after="0"/>
              <w:rPr>
                <w:sz w:val="20"/>
                <w:szCs w:val="20"/>
                <w:color w:val="auto"/>
              </w:rPr>
            </w:pPr>
            <w:r>
              <w:rPr>
                <w:rFonts w:ascii="Arial" w:cs="Arial" w:eastAsia="Arial" w:hAnsi="Arial"/>
                <w:sz w:val="18"/>
                <w:szCs w:val="18"/>
                <w:color w:val="auto"/>
                <w:w w:val="86"/>
              </w:rPr>
              <w:t>____________</w:t>
            </w:r>
          </w:p>
        </w:tc>
        <w:tc>
          <w:tcPr>
            <w:tcW w:w="5740" w:type="dxa"/>
            <w:vAlign w:val="bottom"/>
            <w:gridSpan w:val="4"/>
          </w:tcPr>
          <w:p>
            <w:pPr>
              <w:ind w:left="100"/>
              <w:spacing w:after="0"/>
              <w:rPr>
                <w:sz w:val="20"/>
                <w:szCs w:val="20"/>
                <w:color w:val="auto"/>
              </w:rPr>
            </w:pPr>
            <w:r>
              <w:rPr>
                <w:rFonts w:ascii="Arial" w:cs="Arial" w:eastAsia="Arial" w:hAnsi="Arial"/>
                <w:sz w:val="18"/>
                <w:szCs w:val="18"/>
                <w:color w:val="auto"/>
                <w:w w:val="95"/>
              </w:rPr>
              <w:t>a “Cashless Exercise” with respect to _______________ Warrant Shares.</w:t>
            </w:r>
          </w:p>
        </w:tc>
      </w:tr>
      <w:tr>
        <w:trPr>
          <w:trHeight w:val="20"/>
        </w:trPr>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4" w:lineRule="exact"/>
        <w:rPr>
          <w:sz w:val="20"/>
          <w:szCs w:val="20"/>
          <w:color w:val="auto"/>
        </w:rPr>
      </w:pPr>
    </w:p>
    <w:p>
      <w:pPr>
        <w:jc w:val="both"/>
        <w:ind w:firstLine="651"/>
        <w:spacing w:after="0" w:line="260" w:lineRule="auto"/>
        <w:tabs>
          <w:tab w:leader="none" w:pos="82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5" w:lineRule="exact"/>
        <w:rPr>
          <w:rFonts w:ascii="Arial" w:cs="Arial" w:eastAsia="Arial" w:hAnsi="Arial"/>
          <w:sz w:val="18"/>
          <w:szCs w:val="18"/>
          <w:color w:val="auto"/>
        </w:rPr>
      </w:pPr>
    </w:p>
    <w:p>
      <w:pPr>
        <w:ind w:left="820" w:hanging="169"/>
        <w:spacing w:after="0"/>
        <w:tabs>
          <w:tab w:leader="none" w:pos="8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20" w:type="dxa"/>
            <w:vAlign w:val="bottom"/>
            <w:gridSpan w:val="2"/>
          </w:tcPr>
          <w:p>
            <w:pPr>
              <w:ind w:left="1540"/>
              <w:spacing w:after="0"/>
              <w:rPr>
                <w:sz w:val="20"/>
                <w:szCs w:val="20"/>
                <w:color w:val="auto"/>
              </w:rPr>
            </w:pPr>
            <w:r>
              <w:rPr>
                <w:rFonts w:ascii="Arial" w:cs="Arial" w:eastAsia="Arial" w:hAnsi="Arial"/>
                <w:sz w:val="18"/>
                <w:szCs w:val="18"/>
                <w:color w:val="auto"/>
              </w:rPr>
              <w:t>Electronic Delivery</w:t>
            </w:r>
          </w:p>
        </w:tc>
        <w:tc>
          <w:tcPr>
            <w:tcW w:w="7320" w:type="dxa"/>
            <w:vAlign w:val="bottom"/>
            <w:gridSpan w:val="4"/>
          </w:tcPr>
          <w:p>
            <w:pPr>
              <w:ind w:left="960"/>
              <w:spacing w:after="0"/>
              <w:rPr>
                <w:sz w:val="20"/>
                <w:szCs w:val="20"/>
                <w:color w:val="auto"/>
              </w:rPr>
            </w:pPr>
            <w:r>
              <w:rPr>
                <w:rFonts w:ascii="Arial" w:cs="Arial" w:eastAsia="Arial" w:hAnsi="Arial"/>
                <w:sz w:val="18"/>
                <w:szCs w:val="18"/>
                <w:color w:val="auto"/>
              </w:rPr>
              <w:t>DTC Participant:</w:t>
            </w:r>
          </w:p>
        </w:tc>
      </w:tr>
      <w:tr>
        <w:trPr>
          <w:trHeight w:val="221"/>
        </w:trPr>
        <w:tc>
          <w:tcPr>
            <w:tcW w:w="1540" w:type="dxa"/>
            <w:vAlign w:val="bottom"/>
            <w:tcBorders>
              <w:top w:val="single" w:sz="8" w:color="auto"/>
            </w:tcBorders>
          </w:tcPr>
          <w:p>
            <w:pPr>
              <w:spacing w:after="0"/>
              <w:rPr>
                <w:sz w:val="19"/>
                <w:szCs w:val="19"/>
                <w:color w:val="auto"/>
              </w:rPr>
            </w:pPr>
          </w:p>
        </w:tc>
        <w:tc>
          <w:tcPr>
            <w:tcW w:w="2380" w:type="dxa"/>
            <w:vAlign w:val="bottom"/>
          </w:tcPr>
          <w:p>
            <w:pPr>
              <w:spacing w:after="0"/>
              <w:rPr>
                <w:sz w:val="19"/>
                <w:szCs w:val="19"/>
                <w:color w:val="auto"/>
              </w:rPr>
            </w:pPr>
          </w:p>
        </w:tc>
        <w:tc>
          <w:tcPr>
            <w:tcW w:w="2240" w:type="dxa"/>
            <w:vAlign w:val="bottom"/>
            <w:gridSpan w:val="3"/>
          </w:tcPr>
          <w:p>
            <w:pPr>
              <w:ind w:left="960"/>
              <w:spacing w:after="0" w:line="200" w:lineRule="exact"/>
              <w:rPr>
                <w:sz w:val="20"/>
                <w:szCs w:val="20"/>
                <w:color w:val="auto"/>
              </w:rPr>
            </w:pPr>
            <w:r>
              <w:rPr>
                <w:rFonts w:ascii="Arial" w:cs="Arial" w:eastAsia="Arial" w:hAnsi="Arial"/>
                <w:sz w:val="18"/>
                <w:szCs w:val="18"/>
                <w:color w:val="auto"/>
              </w:rPr>
              <w:t>DTC Number:</w:t>
            </w:r>
          </w:p>
        </w:tc>
        <w:tc>
          <w:tcPr>
            <w:tcW w:w="5080" w:type="dxa"/>
            <w:vAlign w:val="bottom"/>
            <w:tcBorders>
              <w:top w:val="single" w:sz="8" w:color="auto"/>
              <w:bottom w:val="single" w:sz="8" w:color="auto"/>
            </w:tcBorders>
          </w:tcPr>
          <w:p>
            <w:pPr>
              <w:spacing w:after="0"/>
              <w:rPr>
                <w:sz w:val="19"/>
                <w:szCs w:val="19"/>
                <w:color w:val="auto"/>
              </w:rPr>
            </w:pPr>
          </w:p>
        </w:tc>
      </w:tr>
      <w:tr>
        <w:trPr>
          <w:trHeight w:val="221"/>
        </w:trPr>
        <w:tc>
          <w:tcPr>
            <w:tcW w:w="1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240" w:type="dxa"/>
            <w:vAlign w:val="bottom"/>
            <w:gridSpan w:val="3"/>
          </w:tcPr>
          <w:p>
            <w:pPr>
              <w:ind w:left="960"/>
              <w:spacing w:after="0" w:line="200" w:lineRule="exact"/>
              <w:rPr>
                <w:sz w:val="20"/>
                <w:szCs w:val="20"/>
                <w:color w:val="auto"/>
              </w:rPr>
            </w:pPr>
            <w:r>
              <w:rPr>
                <w:rFonts w:ascii="Arial" w:cs="Arial" w:eastAsia="Arial" w:hAnsi="Arial"/>
                <w:sz w:val="18"/>
                <w:szCs w:val="18"/>
                <w:color w:val="auto"/>
                <w:w w:val="98"/>
              </w:rPr>
              <w:t>Accoutnt Name:</w:t>
            </w:r>
          </w:p>
        </w:tc>
        <w:tc>
          <w:tcPr>
            <w:tcW w:w="5080" w:type="dxa"/>
            <w:vAlign w:val="bottom"/>
            <w:tcBorders>
              <w:bottom w:val="single" w:sz="8" w:color="auto"/>
            </w:tcBorders>
          </w:tcPr>
          <w:p>
            <w:pPr>
              <w:spacing w:after="0"/>
              <w:rPr>
                <w:sz w:val="19"/>
                <w:szCs w:val="19"/>
                <w:color w:val="auto"/>
              </w:rPr>
            </w:pPr>
          </w:p>
        </w:tc>
      </w:tr>
      <w:tr>
        <w:trPr>
          <w:trHeight w:val="221"/>
        </w:trPr>
        <w:tc>
          <w:tcPr>
            <w:tcW w:w="1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240" w:type="dxa"/>
            <w:vAlign w:val="bottom"/>
            <w:gridSpan w:val="3"/>
          </w:tcPr>
          <w:p>
            <w:pPr>
              <w:ind w:left="960"/>
              <w:spacing w:after="0" w:line="200" w:lineRule="exact"/>
              <w:rPr>
                <w:sz w:val="20"/>
                <w:szCs w:val="20"/>
                <w:color w:val="auto"/>
              </w:rPr>
            </w:pPr>
            <w:r>
              <w:rPr>
                <w:rFonts w:ascii="Arial" w:cs="Arial" w:eastAsia="Arial" w:hAnsi="Arial"/>
                <w:sz w:val="18"/>
                <w:szCs w:val="18"/>
                <w:color w:val="auto"/>
                <w:w w:val="90"/>
              </w:rPr>
              <w:t>Account Number:</w:t>
            </w:r>
          </w:p>
        </w:tc>
        <w:tc>
          <w:tcPr>
            <w:tcW w:w="5080" w:type="dxa"/>
            <w:vAlign w:val="bottom"/>
            <w:tcBorders>
              <w:bottom w:val="single" w:sz="8" w:color="auto"/>
            </w:tcBorders>
          </w:tcPr>
          <w:p>
            <w:pPr>
              <w:spacing w:after="0"/>
              <w:rPr>
                <w:sz w:val="19"/>
                <w:szCs w:val="19"/>
                <w:color w:val="auto"/>
              </w:rPr>
            </w:pPr>
          </w:p>
        </w:tc>
      </w:tr>
      <w:tr>
        <w:trPr>
          <w:trHeight w:val="463"/>
        </w:trPr>
        <w:tc>
          <w:tcPr>
            <w:tcW w:w="1540" w:type="dxa"/>
            <w:vAlign w:val="bottom"/>
          </w:tcPr>
          <w:p>
            <w:pPr>
              <w:spacing w:after="0"/>
              <w:rPr>
                <w:sz w:val="24"/>
                <w:szCs w:val="24"/>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Physical Delivery</w:t>
            </w:r>
          </w:p>
        </w:tc>
        <w:tc>
          <w:tcPr>
            <w:tcW w:w="1040" w:type="dxa"/>
            <w:vAlign w:val="bottom"/>
          </w:tcPr>
          <w:p>
            <w:pPr>
              <w:spacing w:after="0"/>
              <w:rPr>
                <w:sz w:val="24"/>
                <w:szCs w:val="24"/>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Address:</w:t>
            </w:r>
          </w:p>
        </w:tc>
      </w:tr>
      <w:tr>
        <w:trPr>
          <w:trHeight w:val="221"/>
        </w:trPr>
        <w:tc>
          <w:tcPr>
            <w:tcW w:w="154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80" w:type="dxa"/>
            <w:vAlign w:val="bottom"/>
            <w:tcBorders>
              <w:top w:val="single" w:sz="8" w:color="auto"/>
              <w:bottom w:val="single" w:sz="8" w:color="auto"/>
            </w:tcBorders>
          </w:tcPr>
          <w:p>
            <w:pPr>
              <w:spacing w:after="0"/>
              <w:rPr>
                <w:sz w:val="19"/>
                <w:szCs w:val="19"/>
                <w:color w:val="auto"/>
              </w:rPr>
            </w:pPr>
          </w:p>
        </w:tc>
      </w:tr>
      <w:tr>
        <w:trPr>
          <w:trHeight w:val="221"/>
        </w:trPr>
        <w:tc>
          <w:tcPr>
            <w:tcW w:w="1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711835</wp:posOffset>
            </wp:positionV>
            <wp:extent cx="278320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27832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13970</wp:posOffset>
            </wp:positionV>
            <wp:extent cx="25704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2570480" cy="17145"/>
                    </a:xfrm>
                    <a:prstGeom prst="rect">
                      <a:avLst/>
                    </a:prstGeom>
                    <a:noFill/>
                  </pic:spPr>
                </pic:pic>
              </a:graphicData>
            </a:graphic>
          </wp:anchor>
        </w:drawing>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71335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5080</wp:posOffset>
            </wp:positionV>
            <wp:extent cx="249428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Name:</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71335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this form and supply required information.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 not use this form to exercise the warrant.)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22"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320040</wp:posOffset>
            </wp:positionV>
            <wp:extent cx="571182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57118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167005</wp:posOffset>
            </wp:positionV>
            <wp:extent cx="57118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57118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571182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57118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60"/>
        <w:spacing w:after="0"/>
        <w:rPr>
          <w:sz w:val="20"/>
          <w:szCs w:val="20"/>
          <w:color w:val="auto"/>
        </w:rPr>
      </w:pPr>
      <w:r>
        <w:rPr>
          <w:rFonts w:ascii="Arial" w:cs="Arial" w:eastAsia="Arial" w:hAnsi="Arial"/>
          <w:sz w:val="16"/>
          <w:szCs w:val="16"/>
          <w:color w:val="auto"/>
        </w:rPr>
        <w:t>Dated: __________________, ____</w:t>
      </w:r>
    </w:p>
    <w:p>
      <w:pPr>
        <w:spacing w:after="0" w:line="24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Holder’s Signature:</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175895</wp:posOffset>
            </wp:positionV>
            <wp:extent cx="249428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22225</wp:posOffset>
            </wp:positionV>
            <wp:extent cx="249428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-130175</wp:posOffset>
            </wp:positionV>
            <wp:extent cx="249428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35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4" w:name="page115"/>
    <w:bookmarkEnd w:id="114"/>
    <w:p>
      <w:pPr>
        <w:ind w:left="10320"/>
        <w:spacing w:after="0"/>
        <w:rPr>
          <w:sz w:val="20"/>
          <w:szCs w:val="20"/>
          <w:color w:val="auto"/>
        </w:rPr>
      </w:pPr>
      <w:r>
        <w:rPr>
          <w:rFonts w:ascii="Arial" w:cs="Arial" w:eastAsia="Arial" w:hAnsi="Arial"/>
          <w:sz w:val="16"/>
          <w:szCs w:val="16"/>
          <w:b w:val="1"/>
          <w:bCs w:val="1"/>
          <w:color w:val="auto"/>
        </w:rPr>
        <w:t>Exhibit 4.33</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2023-9</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1,338,900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16,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5" w:lineRule="exact"/>
        <w:rPr>
          <w:sz w:val="20"/>
          <w:szCs w:val="20"/>
          <w:color w:val="auto"/>
        </w:rPr>
      </w:pPr>
    </w:p>
    <w:p>
      <w:pPr>
        <w:jc w:val="both"/>
        <w:ind w:firstLine="1287"/>
        <w:spacing w:after="0" w:line="285" w:lineRule="auto"/>
        <w:rPr>
          <w:sz w:val="20"/>
          <w:szCs w:val="20"/>
          <w:color w:val="auto"/>
        </w:rPr>
      </w:pPr>
      <w:r>
        <w:rPr>
          <w:rFonts w:ascii="Arial" w:cs="Arial" w:eastAsia="Arial" w:hAnsi="Arial"/>
          <w:sz w:val="16"/>
          <w:szCs w:val="16"/>
          <w:color w:val="auto"/>
        </w:rPr>
        <w:t>Presto Automation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Metropolitan Partners Fund VII, LP,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1,338,900 duly authorized, validly issued,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17‎. This Warrant is being issued pursuant to Section 3 of that certain Third Amendment to Credit Agreement, dated October 10, 2023, among E La Carte, LLC, the Company and Metropolitan Partners Group Administration, LLC, as agent (the “</w:t>
      </w:r>
      <w:r>
        <w:rPr>
          <w:rFonts w:ascii="Arial" w:cs="Arial" w:eastAsia="Arial" w:hAnsi="Arial"/>
          <w:sz w:val="16"/>
          <w:szCs w:val="16"/>
          <w:b w:val="1"/>
          <w:bCs w:val="1"/>
          <w:color w:val="auto"/>
        </w:rPr>
        <w:t>Third Amendment</w:t>
      </w:r>
      <w:r>
        <w:rPr>
          <w:rFonts w:ascii="Arial" w:cs="Arial" w:eastAsia="Arial" w:hAnsi="Arial"/>
          <w:sz w:val="16"/>
          <w:szCs w:val="16"/>
          <w:color w:val="auto"/>
        </w:rPr>
        <w:t>”), and to Section 7 of that certain Third Amended and Restated Fee Letter, dated October 10, 2023, among E La Carte, LLC, the Company and Metropolitan Partners Group Administration (the “</w:t>
      </w:r>
      <w:r>
        <w:rPr>
          <w:rFonts w:ascii="Arial" w:cs="Arial" w:eastAsia="Arial" w:hAnsi="Arial"/>
          <w:sz w:val="16"/>
          <w:szCs w:val="16"/>
          <w:b w:val="1"/>
          <w:bCs w:val="1"/>
          <w:color w:val="auto"/>
        </w:rPr>
        <w:t>Fee Letter</w:t>
      </w:r>
      <w:r>
        <w:rPr>
          <w:rFonts w:ascii="Arial" w:cs="Arial" w:eastAsia="Arial" w:hAnsi="Arial"/>
          <w:sz w:val="16"/>
          <w:szCs w:val="16"/>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35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left="1480" w:hanging="186"/>
        <w:spacing w:after="0"/>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1" w:lineRule="exact"/>
        <w:rPr>
          <w:rFonts w:ascii="Arial" w:cs="Arial" w:eastAsia="Arial" w:hAnsi="Arial"/>
          <w:sz w:val="18"/>
          <w:szCs w:val="18"/>
          <w:color w:val="auto"/>
        </w:rPr>
      </w:pPr>
    </w:p>
    <w:p>
      <w:pPr>
        <w:jc w:val="both"/>
        <w:ind w:firstLine="1938"/>
        <w:spacing w:after="0" w:line="279" w:lineRule="auto"/>
        <w:tabs>
          <w:tab w:leader="none" w:pos="2173"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 agree that, by reason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 (3rd) Trading Day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6" w:name="page117"/>
    <w:bookmarkEnd w:id="116"/>
    <w:p>
      <w:pPr>
        <w:ind w:left="2200" w:hanging="262"/>
        <w:spacing w:after="0"/>
        <w:tabs>
          <w:tab w:leader="none" w:pos="2200"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37" w:lineRule="exact"/>
        <w:rPr>
          <w:rFonts w:ascii="Arial" w:cs="Arial" w:eastAsia="Arial" w:hAnsi="Arial"/>
          <w:sz w:val="17"/>
          <w:szCs w:val="17"/>
          <w:color w:val="auto"/>
        </w:rPr>
      </w:pPr>
    </w:p>
    <w:p>
      <w:pPr>
        <w:jc w:val="both"/>
        <w:ind w:firstLine="1938"/>
        <w:spacing w:after="0" w:line="279" w:lineRule="auto"/>
        <w:tabs>
          <w:tab w:leader="none" w:pos="2173"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w:t>
      </w:r>
    </w:p>
    <w:p>
      <w:pPr>
        <w:spacing w:after="0" w:line="13" w:lineRule="exact"/>
        <w:rPr>
          <w:rFonts w:ascii="Arial" w:cs="Arial" w:eastAsia="Arial" w:hAnsi="Arial"/>
          <w:sz w:val="16"/>
          <w:szCs w:val="16"/>
          <w:color w:val="auto"/>
        </w:rPr>
      </w:pPr>
    </w:p>
    <w:p>
      <w:pPr>
        <w:jc w:val="both"/>
        <w:ind w:firstLine="7"/>
        <w:spacing w:after="0" w:line="250" w:lineRule="auto"/>
        <w:tabs>
          <w:tab w:leader="none" w:pos="3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number of Warrant Shares multiplied by (B) the Closing Sale Price of the Common Stock on the Share Delivery Date with respect to the related Exercise Notice (the “</w:t>
      </w:r>
      <w:r>
        <w:rPr>
          <w:rFonts w:ascii="Arial" w:cs="Arial" w:eastAsia="Arial" w:hAnsi="Arial"/>
          <w:sz w:val="18"/>
          <w:szCs w:val="18"/>
          <w:b w:val="1"/>
          <w:bCs w:val="1"/>
          <w:color w:val="auto"/>
        </w:rPr>
        <w:t>Buy-In Payment Amount</w:t>
      </w:r>
      <w:r>
        <w:rPr>
          <w:rFonts w:ascii="Arial" w:cs="Arial" w:eastAsia="Arial" w:hAnsi="Arial"/>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181" w:lineRule="exact"/>
        <w:rPr>
          <w:rFonts w:ascii="Arial" w:cs="Arial" w:eastAsia="Arial" w:hAnsi="Arial"/>
          <w:sz w:val="18"/>
          <w:szCs w:val="18"/>
          <w:color w:val="auto"/>
        </w:rPr>
      </w:pPr>
    </w:p>
    <w:p>
      <w:pPr>
        <w:jc w:val="both"/>
        <w:ind w:firstLine="1938"/>
        <w:spacing w:after="0" w:line="294" w:lineRule="auto"/>
        <w:tabs>
          <w:tab w:leader="none" w:pos="2183"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contained herein to the contrary (other than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19"/>
          <w:szCs w:val="19"/>
          <w:b w:val="1"/>
          <w:bCs w:val="1"/>
          <w:color w:val="auto"/>
        </w:rPr>
        <w:t>‎</w:t>
      </w:r>
      <w:r>
        <w:rPr>
          <w:rFonts w:ascii="Arial" w:cs="Arial" w:eastAsia="Arial" w:hAnsi="Arial"/>
          <w:sz w:val="16"/>
          <w:szCs w:val="16"/>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0"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B</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2" w:lineRule="exact"/>
        <w:rPr>
          <w:sz w:val="20"/>
          <w:szCs w:val="20"/>
          <w:color w:val="auto"/>
        </w:rPr>
      </w:pPr>
    </w:p>
    <w:p>
      <w:pPr>
        <w:ind w:left="1300"/>
        <w:spacing w:after="0" w:line="336"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5" w:lineRule="exact"/>
        <w:rPr>
          <w:sz w:val="20"/>
          <w:szCs w:val="20"/>
          <w:color w:val="auto"/>
        </w:rPr>
      </w:pPr>
    </w:p>
    <w:p>
      <w:pPr>
        <w:jc w:val="both"/>
        <w:ind w:firstLine="1938"/>
        <w:spacing w:after="0" w:line="261" w:lineRule="auto"/>
        <w:tabs>
          <w:tab w:leader="none" w:pos="217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7" w:name="page118"/>
    <w:bookmarkEnd w:id="117"/>
    <w:p>
      <w:pPr>
        <w:jc w:val="both"/>
        <w:ind w:firstLine="1938"/>
        <w:spacing w:after="0" w:line="278" w:lineRule="auto"/>
        <w:tabs>
          <w:tab w:leader="none" w:pos="2180"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spacing w:after="0" w:line="16" w:lineRule="exact"/>
        <w:rPr>
          <w:rFonts w:ascii="Arial" w:cs="Arial" w:eastAsia="Arial" w:hAnsi="Arial"/>
          <w:sz w:val="16"/>
          <w:szCs w:val="16"/>
          <w:color w:val="auto"/>
        </w:rPr>
      </w:pPr>
    </w:p>
    <w:p>
      <w:pPr>
        <w:jc w:val="both"/>
        <w:ind w:firstLine="7"/>
        <w:spacing w:after="0" w:line="278" w:lineRule="auto"/>
        <w:tabs>
          <w:tab w:leader="none" w:pos="26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be deemed null and void and shall be cancelled ab initio, and the Holder shall not have the power to vote or to transfer the Excess Shares.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Arial" w:cs="Arial" w:eastAsia="Arial" w:hAnsi="Arial"/>
          <w:sz w:val="16"/>
          <w:szCs w:val="16"/>
          <w:b w:val="1"/>
          <w:bCs w:val="1"/>
          <w:color w:val="auto"/>
        </w:rPr>
        <w:t>Third Amendment Warrants</w:t>
      </w:r>
      <w:r>
        <w:rPr>
          <w:rFonts w:ascii="Arial" w:cs="Arial" w:eastAsia="Arial" w:hAnsi="Arial"/>
          <w:sz w:val="16"/>
          <w:szCs w:val="16"/>
          <w:color w:val="auto"/>
        </w:rPr>
        <w:t>”), together with the total number of shares of Common Stock issued pursuant to Section 4.11 of the stock purchase agreement, dated October 10, 2023 (the “</w:t>
      </w:r>
      <w:r>
        <w:rPr>
          <w:rFonts w:ascii="Arial" w:cs="Arial" w:eastAsia="Arial" w:hAnsi="Arial"/>
          <w:sz w:val="16"/>
          <w:szCs w:val="16"/>
          <w:b w:val="1"/>
          <w:bCs w:val="1"/>
          <w:color w:val="auto"/>
        </w:rPr>
        <w:t>Cleveland Avenue Purchase Agreement</w:t>
      </w:r>
      <w:r>
        <w:rPr>
          <w:rFonts w:ascii="Arial" w:cs="Arial" w:eastAsia="Arial" w:hAnsi="Arial"/>
          <w:sz w:val="16"/>
          <w:szCs w:val="16"/>
          <w:color w:val="auto"/>
        </w:rPr>
        <w:t>”), by and between the Company and Presto CA LLC (“</w:t>
      </w:r>
      <w:r>
        <w:rPr>
          <w:rFonts w:ascii="Arial" w:cs="Arial" w:eastAsia="Arial" w:hAnsi="Arial"/>
          <w:sz w:val="16"/>
          <w:szCs w:val="16"/>
          <w:b w:val="1"/>
          <w:bCs w:val="1"/>
          <w:color w:val="auto"/>
        </w:rPr>
        <w:t>Cleveland Avenue</w:t>
      </w:r>
      <w:r>
        <w:rPr>
          <w:rFonts w:ascii="Arial" w:cs="Arial" w:eastAsia="Arial" w:hAnsi="Arial"/>
          <w:sz w:val="16"/>
          <w:szCs w:val="16"/>
          <w:color w:val="auto"/>
        </w:rPr>
        <w:t>”), may not exceed the requirements of Nasdaq Listing Rule 5635(d) (“</w:t>
      </w:r>
      <w:r>
        <w:rPr>
          <w:rFonts w:ascii="Arial" w:cs="Arial" w:eastAsia="Arial" w:hAnsi="Arial"/>
          <w:sz w:val="16"/>
          <w:szCs w:val="16"/>
          <w:b w:val="1"/>
          <w:bCs w:val="1"/>
          <w:color w:val="auto"/>
        </w:rPr>
        <w:t>Nasdaq 19.99% Cap</w:t>
      </w:r>
      <w:r>
        <w:rPr>
          <w:rFonts w:ascii="Arial" w:cs="Arial" w:eastAsia="Arial" w:hAnsi="Arial"/>
          <w:sz w:val="16"/>
          <w:szCs w:val="16"/>
          <w:color w:val="auto"/>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Arial" w:cs="Arial" w:eastAsia="Arial" w:hAnsi="Arial"/>
          <w:sz w:val="16"/>
          <w:szCs w:val="16"/>
          <w:b w:val="1"/>
          <w:bCs w:val="1"/>
          <w:color w:val="auto"/>
        </w:rPr>
        <w:t>Approval</w:t>
      </w:r>
      <w:r>
        <w:rPr>
          <w:rFonts w:ascii="Arial" w:cs="Arial" w:eastAsia="Arial" w:hAnsi="Arial"/>
          <w:sz w:val="16"/>
          <w:szCs w:val="16"/>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w:t>
      </w:r>
    </w:p>
    <w:p>
      <w:pPr>
        <w:spacing w:after="0" w:line="22" w:lineRule="exact"/>
        <w:rPr>
          <w:rFonts w:ascii="Arial" w:cs="Arial" w:eastAsia="Arial" w:hAnsi="Arial"/>
          <w:sz w:val="16"/>
          <w:szCs w:val="16"/>
          <w:color w:val="auto"/>
        </w:rPr>
      </w:pPr>
    </w:p>
    <w:p>
      <w:pPr>
        <w:jc w:val="both"/>
        <w:ind w:firstLine="7"/>
        <w:spacing w:after="0" w:line="251" w:lineRule="auto"/>
        <w:tabs>
          <w:tab w:leader="none" w:pos="25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8" w:name="page119"/>
    <w:bookmarkEnd w:id="118"/>
    <w:p>
      <w:pPr>
        <w:jc w:val="both"/>
        <w:ind w:firstLine="1938"/>
        <w:spacing w:after="0" w:line="282" w:lineRule="auto"/>
        <w:tabs>
          <w:tab w:leader="none" w:pos="2183"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166" w:lineRule="exact"/>
        <w:rPr>
          <w:rFonts w:ascii="Arial" w:cs="Arial" w:eastAsia="Arial" w:hAnsi="Arial"/>
          <w:sz w:val="16"/>
          <w:szCs w:val="16"/>
          <w:color w:val="auto"/>
        </w:rPr>
      </w:pPr>
    </w:p>
    <w:p>
      <w:pPr>
        <w:ind w:firstLine="1294"/>
        <w:spacing w:after="0" w:line="272" w:lineRule="auto"/>
        <w:tabs>
          <w:tab w:leader="none" w:pos="1479"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4" w:lineRule="exact"/>
        <w:rPr>
          <w:rFonts w:ascii="Arial" w:cs="Arial" w:eastAsia="Arial" w:hAnsi="Arial"/>
          <w:sz w:val="18"/>
          <w:szCs w:val="18"/>
          <w:color w:val="auto"/>
        </w:rPr>
      </w:pPr>
    </w:p>
    <w:p>
      <w:pPr>
        <w:jc w:val="both"/>
        <w:ind w:firstLine="1938"/>
        <w:spacing w:after="0" w:line="285" w:lineRule="auto"/>
        <w:tabs>
          <w:tab w:leader="none" w:pos="2200"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Adjustment Upon Subdivision or Combination of Shares of Common Stock</w:t>
      </w:r>
      <w:r>
        <w:rPr>
          <w:rFonts w:ascii="Arial" w:cs="Arial" w:eastAsia="Arial" w:hAnsi="Arial"/>
          <w:sz w:val="16"/>
          <w:szCs w:val="16"/>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170" w:lineRule="exact"/>
        <w:rPr>
          <w:rFonts w:ascii="Arial" w:cs="Arial" w:eastAsia="Arial" w:hAnsi="Arial"/>
          <w:sz w:val="16"/>
          <w:szCs w:val="16"/>
          <w:color w:val="auto"/>
        </w:rPr>
      </w:pPr>
    </w:p>
    <w:p>
      <w:pPr>
        <w:jc w:val="both"/>
        <w:ind w:firstLine="1938"/>
        <w:spacing w:after="0" w:line="252" w:lineRule="auto"/>
        <w:tabs>
          <w:tab w:leader="none" w:pos="2183"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Adjustment Upon Issuance of Shares of Common Stock</w:t>
      </w:r>
      <w:r>
        <w:rPr>
          <w:rFonts w:ascii="Arial" w:cs="Arial" w:eastAsia="Arial" w:hAnsi="Arial"/>
          <w:sz w:val="18"/>
          <w:szCs w:val="18"/>
          <w:color w:val="auto"/>
        </w:rPr>
        <w:t>. If and whenever on or after the Issuance Date but prior to April 1, 2024 (the “</w:t>
      </w:r>
      <w:r>
        <w:rPr>
          <w:rFonts w:ascii="Arial" w:cs="Arial" w:eastAsia="Arial" w:hAnsi="Arial"/>
          <w:sz w:val="18"/>
          <w:szCs w:val="18"/>
          <w:b w:val="1"/>
          <w:bCs w:val="1"/>
          <w:color w:val="auto"/>
        </w:rPr>
        <w:t>Anti-Dilution Period</w:t>
      </w:r>
      <w:r>
        <w:rPr>
          <w:rFonts w:ascii="Arial" w:cs="Arial" w:eastAsia="Arial" w:hAnsi="Arial"/>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Arial" w:cs="Arial" w:eastAsia="Arial" w:hAnsi="Arial"/>
          <w:sz w:val="18"/>
          <w:szCs w:val="18"/>
          <w:b w:val="1"/>
          <w:bCs w:val="1"/>
          <w:color w:val="auto"/>
        </w:rPr>
        <w:t>New Issuance Price</w:t>
      </w:r>
      <w:r>
        <w:rPr>
          <w:rFonts w:ascii="Arial" w:cs="Arial" w:eastAsia="Arial" w:hAnsi="Arial"/>
          <w:sz w:val="18"/>
          <w:szCs w:val="18"/>
          <w:color w:val="auto"/>
        </w:rPr>
        <w:t>”) less than $2.00 per share (the “</w:t>
      </w:r>
      <w:r>
        <w:rPr>
          <w:rFonts w:ascii="Arial" w:cs="Arial" w:eastAsia="Arial" w:hAnsi="Arial"/>
          <w:sz w:val="18"/>
          <w:szCs w:val="18"/>
          <w:b w:val="1"/>
          <w:bCs w:val="1"/>
          <w:color w:val="auto"/>
        </w:rPr>
        <w:t>Applicable Price</w:t>
      </w:r>
      <w:r>
        <w:rPr>
          <w:rFonts w:ascii="Arial" w:cs="Arial" w:eastAsia="Arial" w:hAnsi="Arial"/>
          <w:sz w:val="18"/>
          <w:szCs w:val="18"/>
          <w:color w:val="auto"/>
        </w:rPr>
        <w:t>”, and the foregoing a “</w:t>
      </w:r>
      <w:r>
        <w:rPr>
          <w:rFonts w:ascii="Arial" w:cs="Arial" w:eastAsia="Arial" w:hAnsi="Arial"/>
          <w:sz w:val="18"/>
          <w:szCs w:val="18"/>
          <w:b w:val="1"/>
          <w:bCs w:val="1"/>
          <w:color w:val="auto"/>
        </w:rPr>
        <w:t>Dilutive</w:t>
      </w:r>
      <w:r>
        <w:rPr>
          <w:rFonts w:ascii="Arial" w:cs="Arial" w:eastAsia="Arial" w:hAnsi="Arial"/>
          <w:sz w:val="18"/>
          <w:szCs w:val="18"/>
          <w:color w:val="auto"/>
        </w:rPr>
        <w:t xml:space="preserve"> </w:t>
      </w:r>
      <w:r>
        <w:rPr>
          <w:rFonts w:ascii="Arial" w:cs="Arial" w:eastAsia="Arial" w:hAnsi="Arial"/>
          <w:sz w:val="18"/>
          <w:szCs w:val="18"/>
          <w:b w:val="1"/>
          <w:bCs w:val="1"/>
          <w:color w:val="auto"/>
        </w:rPr>
        <w:t>Issuance</w:t>
      </w:r>
      <w:r>
        <w:rPr>
          <w:rFonts w:ascii="Arial" w:cs="Arial" w:eastAsia="Arial" w:hAnsi="Arial"/>
          <w:sz w:val="18"/>
          <w:szCs w:val="18"/>
          <w:color w:val="auto"/>
        </w:rPr>
        <w:t>”), then immediately after such Dilutive Issuance, the number of Warrant Shares shall be increased to an amount equal to (x) the number of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prior to such Dilutive Issuance, multiplied by (y) the quotient of the Applicable Price divided by the New Issuance Price. For all purposes of the foregoing (including, without limitation, determining the adjusted number of Warrant Shares and the New Issuance Price under this Section 2(b)), the following shall be applicable: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9" w:name="page120"/>
    <w:bookmarkEnd w:id="119"/>
    <w:p>
      <w:pPr>
        <w:jc w:val="both"/>
        <w:ind w:firstLine="2581"/>
        <w:spacing w:after="0" w:line="283" w:lineRule="auto"/>
        <w:tabs>
          <w:tab w:leader="none" w:pos="2787"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172" w:lineRule="exact"/>
        <w:rPr>
          <w:rFonts w:ascii="Arial" w:cs="Arial" w:eastAsia="Arial" w:hAnsi="Arial"/>
          <w:sz w:val="16"/>
          <w:szCs w:val="16"/>
          <w:color w:val="auto"/>
        </w:rPr>
      </w:pPr>
    </w:p>
    <w:p>
      <w:pPr>
        <w:jc w:val="both"/>
        <w:ind w:firstLine="2581"/>
        <w:spacing w:after="0" w:line="283" w:lineRule="auto"/>
        <w:tabs>
          <w:tab w:leader="none" w:pos="285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175" w:lineRule="exact"/>
        <w:rPr>
          <w:rFonts w:ascii="Arial" w:cs="Arial" w:eastAsia="Arial" w:hAnsi="Arial"/>
          <w:sz w:val="16"/>
          <w:szCs w:val="16"/>
          <w:color w:val="auto"/>
        </w:rPr>
      </w:pPr>
    </w:p>
    <w:p>
      <w:pPr>
        <w:jc w:val="both"/>
        <w:ind w:firstLine="2581"/>
        <w:spacing w:after="0" w:line="267" w:lineRule="auto"/>
        <w:tabs>
          <w:tab w:leader="none" w:pos="290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0" w:name="page121"/>
    <w:bookmarkEnd w:id="120"/>
    <w:p>
      <w:pPr>
        <w:jc w:val="both"/>
        <w:ind w:firstLine="2581"/>
        <w:spacing w:after="0" w:line="280" w:lineRule="auto"/>
        <w:tabs>
          <w:tab w:leader="none" w:pos="2876"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and/or Convertible Security and/or Adjustment Right is issued in connection with the issuance or sale or deemed issuance or sale of any other securities of the Company (as determined by the Holder, the “</w:t>
      </w:r>
      <w:r>
        <w:rPr>
          <w:rFonts w:ascii="Arial" w:cs="Arial" w:eastAsia="Arial" w:hAnsi="Arial"/>
          <w:sz w:val="16"/>
          <w:szCs w:val="16"/>
          <w:b w:val="1"/>
          <w:bCs w:val="1"/>
          <w:color w:val="auto"/>
        </w:rPr>
        <w:t>Primary</w:t>
      </w:r>
      <w:r>
        <w:rPr>
          <w:rFonts w:ascii="Arial" w:cs="Arial" w:eastAsia="Arial" w:hAnsi="Arial"/>
          <w:sz w:val="16"/>
          <w:szCs w:val="16"/>
          <w:color w:val="auto"/>
        </w:rPr>
        <w:t xml:space="preserve"> </w:t>
      </w:r>
      <w:r>
        <w:rPr>
          <w:rFonts w:ascii="Arial" w:cs="Arial" w:eastAsia="Arial" w:hAnsi="Arial"/>
          <w:sz w:val="16"/>
          <w:szCs w:val="16"/>
          <w:b w:val="1"/>
          <w:bCs w:val="1"/>
          <w:color w:val="auto"/>
        </w:rPr>
        <w:t>Security</w:t>
      </w:r>
      <w:r>
        <w:rPr>
          <w:rFonts w:ascii="Arial" w:cs="Arial" w:eastAsia="Arial" w:hAnsi="Arial"/>
          <w:sz w:val="16"/>
          <w:szCs w:val="16"/>
          <w:color w:val="auto"/>
        </w:rPr>
        <w:t>”, and such Option and/or Convertible Security and/or Adjustment Right, the “</w:t>
      </w:r>
      <w:r>
        <w:rPr>
          <w:rFonts w:ascii="Arial" w:cs="Arial" w:eastAsia="Arial" w:hAnsi="Arial"/>
          <w:sz w:val="16"/>
          <w:szCs w:val="16"/>
          <w:b w:val="1"/>
          <w:bCs w:val="1"/>
          <w:color w:val="auto"/>
        </w:rPr>
        <w:t>Secondary Securities</w:t>
      </w:r>
      <w:r>
        <w:rPr>
          <w:rFonts w:ascii="Arial" w:cs="Arial" w:eastAsia="Arial" w:hAnsi="Arial"/>
          <w:sz w:val="16"/>
          <w:szCs w:val="16"/>
          <w:color w:val="auto"/>
        </w:rPr>
        <w:t>” and together with the Primary Security, each</w:t>
      </w:r>
      <w:r>
        <w:rPr>
          <w:rFonts w:ascii="Arial" w:cs="Arial" w:eastAsia="Arial" w:hAnsi="Arial"/>
          <w:sz w:val="16"/>
          <w:szCs w:val="16"/>
          <w:b w:val="1"/>
          <w:bCs w:val="1"/>
          <w:color w:val="auto"/>
        </w:rPr>
        <w:t xml:space="preserve"> </w:t>
      </w:r>
      <w:r>
        <w:rPr>
          <w:rFonts w:ascii="Arial" w:cs="Arial" w:eastAsia="Arial" w:hAnsi="Arial"/>
          <w:sz w:val="16"/>
          <w:szCs w:val="16"/>
          <w:color w:val="auto"/>
        </w:rPr>
        <w:t>a “</w:t>
      </w:r>
      <w:r>
        <w:rPr>
          <w:rFonts w:ascii="Arial" w:cs="Arial" w:eastAsia="Arial" w:hAnsi="Arial"/>
          <w:sz w:val="16"/>
          <w:szCs w:val="16"/>
          <w:b w:val="1"/>
          <w:bCs w:val="1"/>
          <w:color w:val="auto"/>
        </w:rPr>
        <w:t>Unit</w:t>
      </w:r>
      <w:r>
        <w:rPr>
          <w:rFonts w:ascii="Arial" w:cs="Arial" w:eastAsia="Arial" w:hAnsi="Arial"/>
          <w:sz w:val="16"/>
          <w:szCs w:val="16"/>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 (i),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w:t>
      </w:r>
    </w:p>
    <w:p>
      <w:pPr>
        <w:spacing w:after="0" w:line="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consideration will be determined within five Trading Days after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3" w:lineRule="exact"/>
        <w:rPr>
          <w:sz w:val="20"/>
          <w:szCs w:val="20"/>
          <w:color w:val="auto"/>
        </w:rPr>
      </w:pPr>
    </w:p>
    <w:p>
      <w:pPr>
        <w:jc w:val="both"/>
        <w:ind w:firstLine="2581"/>
        <w:spacing w:after="0" w:line="254" w:lineRule="auto"/>
        <w:tabs>
          <w:tab w:leader="none" w:pos="2827"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91" w:lineRule="exact"/>
        <w:rPr>
          <w:rFonts w:ascii="Arial" w:cs="Arial" w:eastAsia="Arial" w:hAnsi="Arial"/>
          <w:sz w:val="18"/>
          <w:szCs w:val="18"/>
          <w:color w:val="auto"/>
        </w:rPr>
      </w:pPr>
    </w:p>
    <w:p>
      <w:pPr>
        <w:ind w:right="20" w:firstLine="1938"/>
        <w:spacing w:after="0" w:line="272" w:lineRule="auto"/>
        <w:tabs>
          <w:tab w:leader="none" w:pos="217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4" w:lineRule="exact"/>
        <w:rPr>
          <w:rFonts w:ascii="Arial" w:cs="Arial" w:eastAsia="Arial" w:hAnsi="Arial"/>
          <w:sz w:val="18"/>
          <w:szCs w:val="18"/>
          <w:color w:val="auto"/>
        </w:rPr>
      </w:pPr>
    </w:p>
    <w:p>
      <w:pPr>
        <w:jc w:val="both"/>
        <w:ind w:firstLine="1938"/>
        <w:spacing w:after="0" w:line="260" w:lineRule="auto"/>
        <w:tabs>
          <w:tab w:leader="none" w:pos="218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1" w:name="page122"/>
    <w:bookmarkEnd w:id="121"/>
    <w:p>
      <w:pPr>
        <w:jc w:val="both"/>
        <w:ind w:firstLine="1294"/>
        <w:spacing w:after="0" w:line="283" w:lineRule="auto"/>
        <w:tabs>
          <w:tab w:leader="none" w:pos="1479"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xml:space="preserve">. In addition to any adjustments pursuant to Section </w:t>
      </w:r>
      <w:r>
        <w:rPr>
          <w:rFonts w:ascii="Arial" w:cs="Arial" w:eastAsia="Arial" w:hAnsi="Arial"/>
          <w:sz w:val="19"/>
          <w:szCs w:val="19"/>
          <w:b w:val="1"/>
          <w:bCs w:val="1"/>
          <w:color w:val="auto"/>
        </w:rPr>
        <w:t>‎</w:t>
      </w:r>
      <w:r>
        <w:rPr>
          <w:rFonts w:ascii="Arial" w:cs="Arial" w:eastAsia="Arial" w:hAnsi="Arial"/>
          <w:sz w:val="16"/>
          <w:szCs w:val="16"/>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6" w:lineRule="exact"/>
        <w:rPr>
          <w:rFonts w:ascii="Arial" w:cs="Arial" w:eastAsia="Arial" w:hAnsi="Arial"/>
          <w:sz w:val="16"/>
          <w:szCs w:val="16"/>
          <w:color w:val="auto"/>
        </w:rPr>
      </w:pPr>
    </w:p>
    <w:p>
      <w:pPr>
        <w:ind w:left="1480" w:hanging="186"/>
        <w:spacing w:after="0"/>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firstLine="1938"/>
        <w:spacing w:after="0" w:line="266" w:lineRule="auto"/>
        <w:tabs>
          <w:tab w:leader="none" w:pos="2173"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85" w:lineRule="exact"/>
        <w:rPr>
          <w:rFonts w:ascii="Arial" w:cs="Arial" w:eastAsia="Arial" w:hAnsi="Arial"/>
          <w:sz w:val="17"/>
          <w:szCs w:val="17"/>
          <w:color w:val="auto"/>
        </w:rPr>
      </w:pPr>
    </w:p>
    <w:p>
      <w:pPr>
        <w:ind w:left="2200" w:hanging="262"/>
        <w:spacing w:after="0"/>
        <w:tabs>
          <w:tab w:leader="none" w:pos="220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1" w:lineRule="exact"/>
        <w:rPr>
          <w:rFonts w:ascii="Arial" w:cs="Arial" w:eastAsia="Arial" w:hAnsi="Arial"/>
          <w:sz w:val="18"/>
          <w:szCs w:val="18"/>
          <w:color w:val="auto"/>
        </w:rPr>
      </w:pPr>
    </w:p>
    <w:p>
      <w:pPr>
        <w:jc w:val="both"/>
        <w:ind w:firstLine="2581"/>
        <w:spacing w:after="0" w:line="271" w:lineRule="auto"/>
        <w:tabs>
          <w:tab w:leader="none" w:pos="2787" w:val="left"/>
        </w:tabs>
        <w:numPr>
          <w:ilvl w:val="2"/>
          <w:numId w:val="110"/>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2" w:name="page123"/>
    <w:bookmarkEnd w:id="122"/>
    <w:p>
      <w:pPr>
        <w:jc w:val="both"/>
        <w:ind w:firstLine="2581"/>
        <w:spacing w:after="0" w:line="288" w:lineRule="auto"/>
        <w:tabs>
          <w:tab w:leader="none" w:pos="285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 of</w:t>
      </w:r>
    </w:p>
    <w:p>
      <w:pPr>
        <w:jc w:val="both"/>
        <w:spacing w:after="0" w:line="279" w:lineRule="auto"/>
        <w:rPr>
          <w:rFonts w:ascii="Arial" w:cs="Arial" w:eastAsia="Arial" w:hAnsi="Arial"/>
          <w:sz w:val="16"/>
          <w:szCs w:val="16"/>
          <w:color w:val="auto"/>
        </w:rPr>
      </w:pPr>
      <w:r>
        <w:rPr>
          <w:rFonts w:ascii="Arial" w:cs="Arial" w:eastAsia="Arial" w:hAnsi="Arial"/>
          <w:sz w:val="16"/>
          <w:szCs w:val="16"/>
          <w:color w:val="auto"/>
        </w:rPr>
        <w:t>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79"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 at its sole</w:t>
      </w:r>
    </w:p>
    <w:p>
      <w:pPr>
        <w:spacing w:after="0" w:line="7" w:lineRule="exact"/>
        <w:rPr>
          <w:rFonts w:ascii="Arial" w:cs="Arial" w:eastAsia="Arial" w:hAnsi="Arial"/>
          <w:sz w:val="16"/>
          <w:szCs w:val="16"/>
          <w:color w:val="auto"/>
        </w:rPr>
      </w:pPr>
    </w:p>
    <w:p>
      <w:pPr>
        <w:ind w:right="20"/>
        <w:spacing w:after="0" w:line="257" w:lineRule="auto"/>
        <w:rPr>
          <w:rFonts w:ascii="Arial" w:cs="Arial" w:eastAsia="Arial" w:hAnsi="Arial"/>
          <w:sz w:val="16"/>
          <w:szCs w:val="16"/>
          <w:color w:val="auto"/>
        </w:rPr>
      </w:pPr>
      <w:r>
        <w:rPr>
          <w:rFonts w:ascii="Arial" w:cs="Arial" w:eastAsia="Arial" w:hAnsi="Arial"/>
          <w:sz w:val="18"/>
          <w:szCs w:val="18"/>
          <w:color w:val="auto"/>
        </w:rPr>
        <w:t>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 at</w:t>
      </w:r>
      <w:r>
        <w:rPr>
          <w:rFonts w:ascii="Arial" w:cs="Arial" w:eastAsia="Arial" w:hAnsi="Arial"/>
          <w:sz w:val="17"/>
          <w:szCs w:val="17"/>
          <w:b w:val="1"/>
          <w:bCs w:val="1"/>
          <w:color w:val="auto"/>
        </w:rPr>
        <w:t xml:space="preserve"> </w:t>
      </w:r>
      <w:r>
        <w:rPr>
          <w:rFonts w:ascii="Arial" w:cs="Arial" w:eastAsia="Arial" w:hAnsi="Arial"/>
          <w:sz w:val="17"/>
          <w:szCs w:val="17"/>
          <w:color w:val="auto"/>
        </w:rPr>
        <w:t>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3" w:name="page124"/>
    <w:bookmarkEnd w:id="123"/>
    <w:p>
      <w:pPr>
        <w:jc w:val="both"/>
        <w:ind w:firstLine="1938"/>
        <w:spacing w:after="0" w:line="269" w:lineRule="auto"/>
        <w:tabs>
          <w:tab w:leader="none" w:pos="2187"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xml:space="preserve">. Notwithstanding the foregoing and the provisions of Section </w:t>
      </w:r>
      <w:r>
        <w:rPr>
          <w:rFonts w:ascii="Arial" w:cs="Arial" w:eastAsia="Arial" w:hAnsi="Arial"/>
          <w:sz w:val="20"/>
          <w:szCs w:val="20"/>
          <w:b w:val="1"/>
          <w:bCs w:val="1"/>
          <w:color w:val="auto"/>
        </w:rPr>
        <w:t>‎</w:t>
      </w:r>
      <w:r>
        <w:rPr>
          <w:rFonts w:ascii="Arial" w:cs="Arial" w:eastAsia="Arial" w:hAnsi="Arial"/>
          <w:sz w:val="17"/>
          <w:szCs w:val="17"/>
          <w:color w:val="auto"/>
        </w:rPr>
        <w:t>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65" w:lineRule="exact"/>
        <w:rPr>
          <w:rFonts w:ascii="Arial" w:cs="Arial" w:eastAsia="Arial" w:hAnsi="Arial"/>
          <w:sz w:val="17"/>
          <w:szCs w:val="17"/>
          <w:color w:val="auto"/>
        </w:rPr>
      </w:pPr>
    </w:p>
    <w:p>
      <w:pPr>
        <w:jc w:val="both"/>
        <w:ind w:firstLine="1938"/>
        <w:spacing w:after="0" w:line="297" w:lineRule="auto"/>
        <w:tabs>
          <w:tab w:leader="none" w:pos="2197"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8" w:lineRule="exact"/>
        <w:rPr>
          <w:rFonts w:ascii="Arial" w:cs="Arial" w:eastAsia="Arial" w:hAnsi="Arial"/>
          <w:sz w:val="16"/>
          <w:szCs w:val="16"/>
          <w:color w:val="auto"/>
        </w:rPr>
      </w:pPr>
    </w:p>
    <w:p>
      <w:pPr>
        <w:jc w:val="both"/>
        <w:ind w:firstLine="1294"/>
        <w:spacing w:after="0" w:line="266" w:lineRule="auto"/>
        <w:tabs>
          <w:tab w:leader="none" w:pos="1465"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6" w:lineRule="exact"/>
        <w:rPr>
          <w:rFonts w:ascii="Arial" w:cs="Arial" w:eastAsia="Arial" w:hAnsi="Arial"/>
          <w:sz w:val="17"/>
          <w:szCs w:val="17"/>
          <w:color w:val="auto"/>
        </w:rPr>
      </w:pPr>
    </w:p>
    <w:p>
      <w:pPr>
        <w:jc w:val="both"/>
        <w:ind w:firstLine="1294"/>
        <w:spacing w:after="0" w:line="284" w:lineRule="auto"/>
        <w:tabs>
          <w:tab w:leader="none" w:pos="1479"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4" w:name="page125"/>
    <w:bookmarkEnd w:id="124"/>
    <w:p>
      <w:pPr>
        <w:ind w:left="1480" w:hanging="186"/>
        <w:spacing w:after="0"/>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938"/>
        <w:spacing w:after="0" w:line="247" w:lineRule="auto"/>
        <w:tabs>
          <w:tab w:leader="none" w:pos="2173"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200" w:lineRule="exact"/>
        <w:rPr>
          <w:rFonts w:ascii="Arial" w:cs="Arial" w:eastAsia="Arial" w:hAnsi="Arial"/>
          <w:sz w:val="18"/>
          <w:szCs w:val="18"/>
          <w:color w:val="auto"/>
        </w:rPr>
      </w:pPr>
    </w:p>
    <w:p>
      <w:pPr>
        <w:jc w:val="both"/>
        <w:ind w:firstLine="1938"/>
        <w:spacing w:after="0" w:line="272" w:lineRule="auto"/>
        <w:tabs>
          <w:tab w:leader="none" w:pos="2183"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6" w:lineRule="exact"/>
        <w:rPr>
          <w:rFonts w:ascii="Arial" w:cs="Arial" w:eastAsia="Arial" w:hAnsi="Arial"/>
          <w:sz w:val="17"/>
          <w:szCs w:val="17"/>
          <w:color w:val="auto"/>
        </w:rPr>
      </w:pPr>
    </w:p>
    <w:p>
      <w:pPr>
        <w:jc w:val="both"/>
        <w:ind w:firstLine="1938"/>
        <w:spacing w:after="0" w:line="291" w:lineRule="auto"/>
        <w:tabs>
          <w:tab w:leader="none" w:pos="2173"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65" w:lineRule="exact"/>
        <w:rPr>
          <w:rFonts w:ascii="Arial" w:cs="Arial" w:eastAsia="Arial" w:hAnsi="Arial"/>
          <w:sz w:val="16"/>
          <w:szCs w:val="16"/>
          <w:color w:val="auto"/>
        </w:rPr>
      </w:pPr>
    </w:p>
    <w:p>
      <w:pPr>
        <w:jc w:val="both"/>
        <w:ind w:firstLine="1938"/>
        <w:spacing w:after="0" w:line="287" w:lineRule="auto"/>
        <w:tabs>
          <w:tab w:leader="none" w:pos="2183"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66" w:lineRule="exact"/>
        <w:rPr>
          <w:rFonts w:ascii="Arial" w:cs="Arial" w:eastAsia="Arial" w:hAnsi="Arial"/>
          <w:sz w:val="16"/>
          <w:szCs w:val="16"/>
          <w:color w:val="auto"/>
        </w:rPr>
      </w:pPr>
    </w:p>
    <w:p>
      <w:pPr>
        <w:jc w:val="both"/>
        <w:ind w:firstLine="1294"/>
        <w:spacing w:after="0" w:line="293" w:lineRule="auto"/>
        <w:tabs>
          <w:tab w:leader="none" w:pos="1479"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5" w:name="page126"/>
    <w:bookmarkEnd w:id="125"/>
    <w:p>
      <w:pPr>
        <w:jc w:val="both"/>
        <w:ind w:firstLine="1294"/>
        <w:spacing w:after="0" w:line="298" w:lineRule="auto"/>
        <w:tabs>
          <w:tab w:leader="none" w:pos="1465"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8" w:lineRule="exact"/>
        <w:rPr>
          <w:rFonts w:ascii="Arial" w:cs="Arial" w:eastAsia="Arial" w:hAnsi="Arial"/>
          <w:sz w:val="16"/>
          <w:szCs w:val="16"/>
          <w:color w:val="auto"/>
        </w:rPr>
      </w:pPr>
    </w:p>
    <w:p>
      <w:pPr>
        <w:jc w:val="both"/>
        <w:ind w:firstLine="1294"/>
        <w:spacing w:after="0" w:line="280" w:lineRule="auto"/>
        <w:tabs>
          <w:tab w:leader="none" w:pos="1555"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0"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90" w:lineRule="exact"/>
        <w:rPr>
          <w:rFonts w:ascii="Arial" w:cs="Arial" w:eastAsia="Arial" w:hAnsi="Arial"/>
          <w:sz w:val="16"/>
          <w:szCs w:val="16"/>
          <w:color w:val="auto"/>
        </w:rPr>
      </w:pPr>
    </w:p>
    <w:p>
      <w:pPr>
        <w:jc w:val="both"/>
        <w:ind w:firstLine="1294"/>
        <w:spacing w:after="0" w:line="298" w:lineRule="auto"/>
        <w:tabs>
          <w:tab w:leader="none" w:pos="1562"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8" w:lineRule="exact"/>
        <w:rPr>
          <w:rFonts w:ascii="Arial" w:cs="Arial" w:eastAsia="Arial" w:hAnsi="Arial"/>
          <w:sz w:val="16"/>
          <w:szCs w:val="16"/>
          <w:color w:val="auto"/>
        </w:rPr>
      </w:pPr>
    </w:p>
    <w:p>
      <w:pPr>
        <w:jc w:val="both"/>
        <w:ind w:firstLine="1294"/>
        <w:spacing w:after="0" w:line="265" w:lineRule="auto"/>
        <w:tabs>
          <w:tab w:leader="none" w:pos="1568"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6" w:name="page127"/>
    <w:bookmarkEnd w:id="126"/>
    <w:p>
      <w:pPr>
        <w:jc w:val="both"/>
        <w:ind w:firstLine="1294"/>
        <w:spacing w:after="0" w:line="269" w:lineRule="auto"/>
        <w:tabs>
          <w:tab w:leader="none" w:pos="1568"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2" w:lineRule="exact"/>
        <w:rPr>
          <w:rFonts w:ascii="Arial" w:cs="Arial" w:eastAsia="Arial" w:hAnsi="Arial"/>
          <w:sz w:val="17"/>
          <w:szCs w:val="17"/>
          <w:color w:val="auto"/>
        </w:rPr>
      </w:pPr>
    </w:p>
    <w:p>
      <w:pPr>
        <w:jc w:val="both"/>
        <w:ind w:firstLine="1294"/>
        <w:spacing w:after="0" w:line="256" w:lineRule="auto"/>
        <w:tabs>
          <w:tab w:leader="none" w:pos="155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9" w:lineRule="exact"/>
        <w:rPr>
          <w:rFonts w:ascii="Arial" w:cs="Arial" w:eastAsia="Arial" w:hAnsi="Arial"/>
          <w:sz w:val="18"/>
          <w:szCs w:val="18"/>
          <w:color w:val="auto"/>
        </w:rPr>
      </w:pPr>
    </w:p>
    <w:p>
      <w:pPr>
        <w:jc w:val="both"/>
        <w:ind w:firstLine="1294"/>
        <w:spacing w:after="0" w:line="268" w:lineRule="auto"/>
        <w:tabs>
          <w:tab w:leader="none" w:pos="1555"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4" w:lineRule="exact"/>
        <w:rPr>
          <w:rFonts w:ascii="Arial" w:cs="Arial" w:eastAsia="Arial" w:hAnsi="Arial"/>
          <w:sz w:val="17"/>
          <w:szCs w:val="17"/>
          <w:color w:val="auto"/>
        </w:rPr>
      </w:pPr>
    </w:p>
    <w:p>
      <w:pPr>
        <w:ind w:firstLine="1294"/>
        <w:spacing w:after="0" w:line="272" w:lineRule="auto"/>
        <w:tabs>
          <w:tab w:leader="none" w:pos="155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4" w:lineRule="exact"/>
        <w:rPr>
          <w:rFonts w:ascii="Arial" w:cs="Arial" w:eastAsia="Arial" w:hAnsi="Arial"/>
          <w:sz w:val="18"/>
          <w:szCs w:val="18"/>
          <w:color w:val="auto"/>
        </w:rPr>
      </w:pPr>
    </w:p>
    <w:p>
      <w:pPr>
        <w:ind w:left="1560" w:hanging="266"/>
        <w:spacing w:after="0"/>
        <w:tabs>
          <w:tab w:leader="none" w:pos="15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938"/>
        <w:spacing w:after="0" w:line="260" w:lineRule="auto"/>
        <w:tabs>
          <w:tab w:leader="none" w:pos="2173"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5" w:lineRule="exact"/>
        <w:rPr>
          <w:rFonts w:ascii="Arial" w:cs="Arial" w:eastAsia="Arial" w:hAnsi="Arial"/>
          <w:sz w:val="18"/>
          <w:szCs w:val="18"/>
          <w:color w:val="auto"/>
        </w:rPr>
      </w:pPr>
    </w:p>
    <w:p>
      <w:pPr>
        <w:jc w:val="both"/>
        <w:ind w:firstLine="1938"/>
        <w:spacing w:after="0" w:line="282" w:lineRule="auto"/>
        <w:tabs>
          <w:tab w:leader="none" w:pos="2183"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68" w:lineRule="exact"/>
        <w:rPr>
          <w:rFonts w:ascii="Arial" w:cs="Arial" w:eastAsia="Arial" w:hAnsi="Arial"/>
          <w:sz w:val="17"/>
          <w:szCs w:val="17"/>
          <w:color w:val="auto"/>
        </w:rPr>
      </w:pPr>
    </w:p>
    <w:p>
      <w:pPr>
        <w:jc w:val="both"/>
        <w:ind w:firstLine="1938"/>
        <w:spacing w:after="0" w:line="260" w:lineRule="auto"/>
        <w:tabs>
          <w:tab w:leader="none" w:pos="2173"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7" w:name="page128"/>
    <w:bookmarkEnd w:id="127"/>
    <w:p>
      <w:pPr>
        <w:ind w:left="194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w:t>
      </w:r>
    </w:p>
    <w:p>
      <w:pPr>
        <w:spacing w:after="0" w:line="209" w:lineRule="exact"/>
        <w:rPr>
          <w:sz w:val="20"/>
          <w:szCs w:val="20"/>
          <w:color w:val="auto"/>
        </w:rPr>
      </w:pPr>
    </w:p>
    <w:p>
      <w:pPr>
        <w:jc w:val="both"/>
        <w:ind w:firstLine="1938"/>
        <w:spacing w:after="0" w:line="260" w:lineRule="auto"/>
        <w:tabs>
          <w:tab w:leader="none" w:pos="218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5" w:lineRule="exact"/>
        <w:rPr>
          <w:rFonts w:ascii="Arial" w:cs="Arial" w:eastAsia="Arial" w:hAnsi="Arial"/>
          <w:sz w:val="18"/>
          <w:szCs w:val="18"/>
          <w:color w:val="auto"/>
        </w:rPr>
      </w:pPr>
    </w:p>
    <w:p>
      <w:pPr>
        <w:jc w:val="both"/>
        <w:ind w:firstLine="1938"/>
        <w:spacing w:after="0" w:line="260" w:lineRule="auto"/>
        <w:tabs>
          <w:tab w:leader="none" w:pos="215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5" w:lineRule="exact"/>
        <w:rPr>
          <w:rFonts w:ascii="Arial" w:cs="Arial" w:eastAsia="Arial" w:hAnsi="Arial"/>
          <w:sz w:val="18"/>
          <w:szCs w:val="18"/>
          <w:color w:val="auto"/>
        </w:rPr>
      </w:pPr>
    </w:p>
    <w:p>
      <w:pPr>
        <w:jc w:val="both"/>
        <w:ind w:firstLine="1938"/>
        <w:spacing w:after="0" w:line="268" w:lineRule="auto"/>
        <w:tabs>
          <w:tab w:leader="none" w:pos="2197"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0" w:lineRule="exact"/>
        <w:rPr>
          <w:rFonts w:ascii="Arial" w:cs="Arial" w:eastAsia="Arial" w:hAnsi="Arial"/>
          <w:sz w:val="17"/>
          <w:szCs w:val="17"/>
          <w:color w:val="auto"/>
        </w:rPr>
      </w:pPr>
    </w:p>
    <w:p>
      <w:pPr>
        <w:jc w:val="both"/>
        <w:ind w:firstLine="1938"/>
        <w:spacing w:after="0" w:line="284" w:lineRule="auto"/>
        <w:tabs>
          <w:tab w:leader="none" w:pos="2197"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8" w:name="page129"/>
    <w:bookmarkEnd w:id="128"/>
    <w:p>
      <w:pPr>
        <w:jc w:val="both"/>
        <w:ind w:firstLine="1294"/>
        <w:spacing w:after="0" w:line="260" w:lineRule="auto"/>
        <w:tabs>
          <w:tab w:leader="none" w:pos="1568"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 except as set forth in (i) the SEC Reports or (ii) the draft Annual Report on Form 10-K for the fiscal year ended June 30, 2023 in the form provided to the Holder (the “</w:t>
      </w:r>
      <w:r>
        <w:rPr>
          <w:rFonts w:ascii="Arial" w:cs="Arial" w:eastAsia="Arial" w:hAnsi="Arial"/>
          <w:sz w:val="18"/>
          <w:szCs w:val="18"/>
          <w:b w:val="1"/>
          <w:bCs w:val="1"/>
          <w:i w:val="1"/>
          <w:iCs w:val="1"/>
          <w:color w:val="auto"/>
        </w:rPr>
        <w:t>2023 Form 10-K</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2180" w:hanging="242"/>
        <w:spacing w:after="0"/>
        <w:tabs>
          <w:tab w:leader="none" w:pos="218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3" w:lineRule="exact"/>
        <w:rPr>
          <w:rFonts w:ascii="Arial" w:cs="Arial" w:eastAsia="Arial" w:hAnsi="Arial"/>
          <w:sz w:val="16"/>
          <w:szCs w:val="16"/>
          <w:color w:val="auto"/>
        </w:rPr>
      </w:pPr>
    </w:p>
    <w:p>
      <w:pPr>
        <w:jc w:val="both"/>
        <w:ind w:firstLine="7"/>
        <w:spacing w:after="0" w:line="284" w:lineRule="auto"/>
        <w:tabs>
          <w:tab w:leader="none" w:pos="27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38"/>
        <w:spacing w:after="0" w:line="298" w:lineRule="auto"/>
        <w:tabs>
          <w:tab w:leader="none" w:pos="2223" w:val="left"/>
        </w:tabs>
        <w:numPr>
          <w:ilvl w:val="2"/>
          <w:numId w:val="119"/>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8" w:lineRule="exact"/>
        <w:rPr>
          <w:rFonts w:ascii="Arial" w:cs="Arial" w:eastAsia="Arial" w:hAnsi="Arial"/>
          <w:sz w:val="16"/>
          <w:szCs w:val="16"/>
          <w:color w:val="auto"/>
        </w:rPr>
      </w:pPr>
    </w:p>
    <w:p>
      <w:pPr>
        <w:jc w:val="both"/>
        <w:ind w:firstLine="1938"/>
        <w:spacing w:after="0" w:line="260" w:lineRule="auto"/>
        <w:tabs>
          <w:tab w:leader="none" w:pos="2173"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85" w:lineRule="exact"/>
        <w:rPr>
          <w:rFonts w:ascii="Arial" w:cs="Arial" w:eastAsia="Arial" w:hAnsi="Arial"/>
          <w:sz w:val="18"/>
          <w:szCs w:val="18"/>
          <w:color w:val="auto"/>
        </w:rPr>
      </w:pPr>
    </w:p>
    <w:p>
      <w:pPr>
        <w:jc w:val="both"/>
        <w:ind w:firstLine="1938"/>
        <w:spacing w:after="0" w:line="282" w:lineRule="auto"/>
        <w:tabs>
          <w:tab w:leader="none" w:pos="2197" w:val="left"/>
        </w:tabs>
        <w:numPr>
          <w:ilvl w:val="2"/>
          <w:numId w:val="119"/>
        </w:numPr>
        <w:rPr>
          <w:rFonts w:ascii="Arial" w:cs="Arial" w:eastAsia="Arial" w:hAnsi="Arial"/>
          <w:sz w:val="16"/>
          <w:szCs w:val="16"/>
          <w:color w:val="auto"/>
        </w:rPr>
      </w:pPr>
      <w:r>
        <w:rPr>
          <w:rFonts w:ascii="Arial" w:cs="Arial" w:eastAsia="Arial" w:hAnsi="Arial"/>
          <w:sz w:val="16"/>
          <w:szCs w:val="16"/>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w:t>
      </w:r>
    </w:p>
    <w:p>
      <w:pPr>
        <w:ind w:firstLine="7"/>
        <w:spacing w:after="0" w:line="257" w:lineRule="auto"/>
        <w:tabs>
          <w:tab w:leader="none" w:pos="23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and (iii), would reasonably be expected to have a Company Material Adverse Effect or have a material adverse effect on the Company’s ability to consummate the transactions contemplated hereby.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9" w:name="page130"/>
    <w:bookmarkEnd w:id="129"/>
    <w:p>
      <w:pPr>
        <w:jc w:val="both"/>
        <w:ind w:firstLine="1938"/>
        <w:spacing w:after="0" w:line="269" w:lineRule="auto"/>
        <w:tabs>
          <w:tab w:leader="none" w:pos="22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82" w:lineRule="exact"/>
        <w:rPr>
          <w:rFonts w:ascii="Arial" w:cs="Arial" w:eastAsia="Arial" w:hAnsi="Arial"/>
          <w:sz w:val="17"/>
          <w:szCs w:val="17"/>
          <w:color w:val="auto"/>
        </w:rPr>
      </w:pPr>
    </w:p>
    <w:p>
      <w:pPr>
        <w:jc w:val="both"/>
        <w:ind w:firstLine="1938"/>
        <w:spacing w:after="0" w:line="283" w:lineRule="auto"/>
        <w:tabs>
          <w:tab w:leader="none" w:pos="217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b w:val="1"/>
          <w:bCs w:val="1"/>
          <w:i w:val="1"/>
          <w:iCs w:val="1"/>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Arial" w:cs="Arial" w:eastAsia="Arial" w:hAnsi="Arial"/>
          <w:sz w:val="16"/>
          <w:szCs w:val="16"/>
          <w:b w:val="1"/>
          <w:bCs w:val="1"/>
          <w:i w:val="1"/>
          <w:iCs w:val="1"/>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7" w:lineRule="exact"/>
        <w:rPr>
          <w:rFonts w:ascii="Arial" w:cs="Arial" w:eastAsia="Arial" w:hAnsi="Arial"/>
          <w:sz w:val="16"/>
          <w:szCs w:val="16"/>
          <w:color w:val="auto"/>
        </w:rPr>
      </w:pPr>
    </w:p>
    <w:p>
      <w:pPr>
        <w:jc w:val="both"/>
        <w:ind w:firstLine="1938"/>
        <w:spacing w:after="0" w:line="273" w:lineRule="auto"/>
        <w:tabs>
          <w:tab w:leader="none" w:pos="218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75" w:lineRule="exact"/>
        <w:rPr>
          <w:rFonts w:ascii="Arial" w:cs="Arial" w:eastAsia="Arial" w:hAnsi="Arial"/>
          <w:sz w:val="17"/>
          <w:szCs w:val="17"/>
          <w:color w:val="auto"/>
        </w:rPr>
      </w:pPr>
    </w:p>
    <w:p>
      <w:pPr>
        <w:jc w:val="both"/>
        <w:ind w:firstLine="1938"/>
        <w:spacing w:after="0" w:line="253" w:lineRule="auto"/>
        <w:tabs>
          <w:tab w:leader="none" w:pos="218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0" w:name="page131"/>
    <w:bookmarkEnd w:id="130"/>
    <w:p>
      <w:pPr>
        <w:jc w:val="both"/>
        <w:ind w:firstLine="1938"/>
        <w:spacing w:after="0" w:line="260" w:lineRule="auto"/>
        <w:tabs>
          <w:tab w:leader="none" w:pos="214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5" w:lineRule="exact"/>
        <w:rPr>
          <w:rFonts w:ascii="Arial" w:cs="Arial" w:eastAsia="Arial" w:hAnsi="Arial"/>
          <w:sz w:val="18"/>
          <w:szCs w:val="18"/>
          <w:color w:val="auto"/>
        </w:rPr>
      </w:pPr>
    </w:p>
    <w:p>
      <w:pPr>
        <w:jc w:val="both"/>
        <w:ind w:firstLine="1938"/>
        <w:spacing w:after="0" w:line="256" w:lineRule="auto"/>
        <w:tabs>
          <w:tab w:leader="none" w:pos="214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9" w:lineRule="exact"/>
        <w:rPr>
          <w:rFonts w:ascii="Arial" w:cs="Arial" w:eastAsia="Arial" w:hAnsi="Arial"/>
          <w:sz w:val="18"/>
          <w:szCs w:val="18"/>
          <w:color w:val="auto"/>
        </w:rPr>
      </w:pPr>
    </w:p>
    <w:p>
      <w:pPr>
        <w:jc w:val="both"/>
        <w:ind w:firstLine="1938"/>
        <w:spacing w:after="0" w:line="289" w:lineRule="auto"/>
        <w:tabs>
          <w:tab w:leader="none" w:pos="2183"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5" w:lineRule="exact"/>
        <w:rPr>
          <w:rFonts w:ascii="Arial" w:cs="Arial" w:eastAsia="Arial" w:hAnsi="Arial"/>
          <w:sz w:val="16"/>
          <w:szCs w:val="16"/>
          <w:color w:val="auto"/>
        </w:rPr>
      </w:pPr>
    </w:p>
    <w:p>
      <w:pPr>
        <w:ind w:left="1560" w:hanging="266"/>
        <w:spacing w:after="0"/>
        <w:tabs>
          <w:tab w:leader="none" w:pos="15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17" w:lineRule="exact"/>
        <w:rPr>
          <w:rFonts w:ascii="Arial" w:cs="Arial" w:eastAsia="Arial" w:hAnsi="Arial"/>
          <w:sz w:val="18"/>
          <w:szCs w:val="18"/>
          <w:color w:val="auto"/>
        </w:rPr>
      </w:pPr>
    </w:p>
    <w:p>
      <w:pPr>
        <w:jc w:val="both"/>
        <w:ind w:firstLine="1938"/>
        <w:spacing w:after="0" w:line="258" w:lineRule="auto"/>
        <w:tabs>
          <w:tab w:leader="none" w:pos="217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82" w:lineRule="exact"/>
        <w:rPr>
          <w:rFonts w:ascii="Arial" w:cs="Arial" w:eastAsia="Arial" w:hAnsi="Arial"/>
          <w:sz w:val="18"/>
          <w:szCs w:val="18"/>
          <w:color w:val="auto"/>
        </w:rPr>
      </w:pPr>
    </w:p>
    <w:p>
      <w:pPr>
        <w:ind w:firstLine="1938"/>
        <w:spacing w:after="0" w:line="276" w:lineRule="auto"/>
        <w:tabs>
          <w:tab w:leader="none" w:pos="218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7" w:lineRule="exact"/>
        <w:rPr>
          <w:rFonts w:ascii="Arial" w:cs="Arial" w:eastAsia="Arial" w:hAnsi="Arial"/>
          <w:sz w:val="18"/>
          <w:szCs w:val="18"/>
          <w:color w:val="auto"/>
        </w:rPr>
      </w:pPr>
    </w:p>
    <w:p>
      <w:pPr>
        <w:jc w:val="both"/>
        <w:ind w:firstLine="1938"/>
        <w:spacing w:after="0" w:line="262" w:lineRule="auto"/>
        <w:tabs>
          <w:tab w:leader="none" w:pos="22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80" w:lineRule="exact"/>
        <w:rPr>
          <w:rFonts w:ascii="Arial" w:cs="Arial" w:eastAsia="Arial" w:hAnsi="Arial"/>
          <w:sz w:val="18"/>
          <w:szCs w:val="18"/>
          <w:color w:val="auto"/>
        </w:rPr>
      </w:pPr>
    </w:p>
    <w:p>
      <w:pPr>
        <w:jc w:val="both"/>
        <w:ind w:firstLine="1938"/>
        <w:spacing w:after="0" w:line="292" w:lineRule="auto"/>
        <w:tabs>
          <w:tab w:leader="none" w:pos="221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1" w:name="page132"/>
    <w:bookmarkEnd w:id="131"/>
    <w:p>
      <w:pPr>
        <w:jc w:val="both"/>
        <w:ind w:firstLine="1938"/>
        <w:spacing w:after="0" w:line="265" w:lineRule="auto"/>
        <w:tabs>
          <w:tab w:leader="none" w:pos="217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5" w:lineRule="exact"/>
        <w:rPr>
          <w:rFonts w:ascii="Arial" w:cs="Arial" w:eastAsia="Arial" w:hAnsi="Arial"/>
          <w:sz w:val="17"/>
          <w:szCs w:val="17"/>
          <w:color w:val="auto"/>
        </w:rPr>
      </w:pPr>
    </w:p>
    <w:p>
      <w:pPr>
        <w:jc w:val="both"/>
        <w:ind w:firstLine="1938"/>
        <w:spacing w:after="0" w:line="264" w:lineRule="auto"/>
        <w:tabs>
          <w:tab w:leader="none" w:pos="216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89" w:lineRule="exact"/>
        <w:rPr>
          <w:rFonts w:ascii="Arial" w:cs="Arial" w:eastAsia="Arial" w:hAnsi="Arial"/>
          <w:sz w:val="17"/>
          <w:szCs w:val="17"/>
          <w:color w:val="auto"/>
        </w:rPr>
      </w:pPr>
    </w:p>
    <w:p>
      <w:pPr>
        <w:ind w:left="2200" w:hanging="262"/>
        <w:spacing w:after="0"/>
        <w:tabs>
          <w:tab w:leader="none" w:pos="22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1" w:lineRule="exact"/>
        <w:rPr>
          <w:rFonts w:ascii="Arial" w:cs="Arial" w:eastAsia="Arial" w:hAnsi="Arial"/>
          <w:sz w:val="18"/>
          <w:szCs w:val="18"/>
          <w:color w:val="auto"/>
        </w:rPr>
      </w:pPr>
    </w:p>
    <w:p>
      <w:pPr>
        <w:ind w:firstLine="1938"/>
        <w:spacing w:after="0" w:line="341" w:lineRule="auto"/>
        <w:tabs>
          <w:tab w:leader="none" w:pos="219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2" w:name="page133"/>
    <w:bookmarkEnd w:id="132"/>
    <w:p>
      <w:pPr>
        <w:jc w:val="both"/>
        <w:ind w:firstLine="1938"/>
        <w:spacing w:after="0" w:line="265" w:lineRule="auto"/>
        <w:tabs>
          <w:tab w:leader="none" w:pos="215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84" w:lineRule="exact"/>
        <w:rPr>
          <w:rFonts w:ascii="Arial" w:cs="Arial" w:eastAsia="Arial" w:hAnsi="Arial"/>
          <w:sz w:val="17"/>
          <w:szCs w:val="17"/>
          <w:color w:val="auto"/>
        </w:rPr>
      </w:pPr>
    </w:p>
    <w:p>
      <w:pPr>
        <w:ind w:firstLine="1938"/>
        <w:spacing w:after="0" w:line="307" w:lineRule="auto"/>
        <w:tabs>
          <w:tab w:leader="none" w:pos="214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43" w:lineRule="exact"/>
        <w:rPr>
          <w:rFonts w:ascii="Arial" w:cs="Arial" w:eastAsia="Arial" w:hAnsi="Arial"/>
          <w:sz w:val="17"/>
          <w:szCs w:val="17"/>
          <w:color w:val="auto"/>
        </w:rPr>
      </w:pPr>
    </w:p>
    <w:p>
      <w:pPr>
        <w:ind w:firstLine="1938"/>
        <w:spacing w:after="0" w:line="276" w:lineRule="auto"/>
        <w:tabs>
          <w:tab w:leader="none" w:pos="222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7" w:lineRule="exact"/>
        <w:rPr>
          <w:rFonts w:ascii="Arial" w:cs="Arial" w:eastAsia="Arial" w:hAnsi="Arial"/>
          <w:sz w:val="18"/>
          <w:szCs w:val="18"/>
          <w:color w:val="auto"/>
        </w:rPr>
      </w:pPr>
    </w:p>
    <w:p>
      <w:pPr>
        <w:ind w:right="20" w:firstLine="1938"/>
        <w:spacing w:after="0" w:line="276" w:lineRule="auto"/>
        <w:tabs>
          <w:tab w:leader="none" w:pos="215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7" w:lineRule="exact"/>
        <w:rPr>
          <w:rFonts w:ascii="Arial" w:cs="Arial" w:eastAsia="Arial" w:hAnsi="Arial"/>
          <w:sz w:val="18"/>
          <w:szCs w:val="18"/>
          <w:color w:val="auto"/>
        </w:rPr>
      </w:pPr>
    </w:p>
    <w:p>
      <w:pPr>
        <w:jc w:val="both"/>
        <w:ind w:firstLine="1938"/>
        <w:spacing w:after="0" w:line="283" w:lineRule="auto"/>
        <w:tabs>
          <w:tab w:leader="none" w:pos="224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Arial" w:cs="Arial" w:eastAsia="Arial" w:hAnsi="Arial"/>
          <w:sz w:val="16"/>
          <w:szCs w:val="16"/>
          <w:b w:val="1"/>
          <w:bCs w:val="1"/>
          <w:color w:val="auto"/>
        </w:rPr>
        <w:t>Metropolitan Entities</w:t>
      </w:r>
      <w:r>
        <w:rPr>
          <w:rFonts w:ascii="Arial" w:cs="Arial" w:eastAsia="Arial" w:hAnsi="Arial"/>
          <w:sz w:val="16"/>
          <w:szCs w:val="16"/>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and (E) this Warrant and any other warrant issued to the Metropolitan Entities in connection with the Third Amendment.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3" w:name="page134"/>
    <w:bookmarkEnd w:id="133"/>
    <w:p>
      <w:pPr>
        <w:ind w:firstLine="1938"/>
        <w:spacing w:after="0" w:line="307" w:lineRule="auto"/>
        <w:tabs>
          <w:tab w:leader="none" w:pos="2183" w:val="left"/>
        </w:tabs>
        <w:numPr>
          <w:ilvl w:val="1"/>
          <w:numId w:val="1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43" w:lineRule="exact"/>
        <w:rPr>
          <w:rFonts w:ascii="Arial" w:cs="Arial" w:eastAsia="Arial" w:hAnsi="Arial"/>
          <w:sz w:val="17"/>
          <w:szCs w:val="17"/>
          <w:color w:val="auto"/>
        </w:rPr>
      </w:pPr>
    </w:p>
    <w:p>
      <w:pPr>
        <w:jc w:val="both"/>
        <w:ind w:firstLine="1938"/>
        <w:spacing w:after="0" w:line="281" w:lineRule="auto"/>
        <w:tabs>
          <w:tab w:leader="none" w:pos="2223" w:val="left"/>
        </w:tabs>
        <w:numPr>
          <w:ilvl w:val="1"/>
          <w:numId w:val="1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w:t>
      </w:r>
    </w:p>
    <w:p>
      <w:pPr>
        <w:spacing w:after="0" w:line="1" w:lineRule="exact"/>
        <w:rPr>
          <w:rFonts w:ascii="Arial" w:cs="Arial" w:eastAsia="Arial" w:hAnsi="Arial"/>
          <w:sz w:val="16"/>
          <w:szCs w:val="16"/>
          <w:color w:val="auto"/>
        </w:rPr>
      </w:pPr>
    </w:p>
    <w:p>
      <w:pPr>
        <w:jc w:val="both"/>
        <w:ind w:firstLine="7"/>
        <w:spacing w:after="0" w:line="282" w:lineRule="auto"/>
        <w:tabs>
          <w:tab w:leader="none" w:pos="30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4" w:name="page135"/>
    <w:bookmarkEnd w:id="134"/>
    <w:p>
      <w:pPr>
        <w:ind w:left="2200" w:hanging="262"/>
        <w:spacing w:after="0"/>
        <w:tabs>
          <w:tab w:leader="none" w:pos="22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a “group” as that term is used in Section 13(d) of the Exchange Act and as defined in Rule 13d-5 thereunder.</w:t>
      </w:r>
    </w:p>
    <w:p>
      <w:pPr>
        <w:spacing w:after="0" w:line="244" w:lineRule="exact"/>
        <w:rPr>
          <w:rFonts w:ascii="Arial" w:cs="Arial" w:eastAsia="Arial" w:hAnsi="Arial"/>
          <w:sz w:val="16"/>
          <w:szCs w:val="16"/>
          <w:color w:val="auto"/>
        </w:rPr>
      </w:pPr>
    </w:p>
    <w:p>
      <w:pPr>
        <w:ind w:left="2220" w:hanging="282"/>
        <w:spacing w:after="0"/>
        <w:tabs>
          <w:tab w:leader="none" w:pos="22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5" w:lineRule="exact"/>
        <w:rPr>
          <w:sz w:val="20"/>
          <w:szCs w:val="20"/>
          <w:color w:val="auto"/>
        </w:rPr>
      </w:pPr>
    </w:p>
    <w:p>
      <w:pPr>
        <w:jc w:val="both"/>
        <w:ind w:firstLine="1938"/>
        <w:spacing w:after="0" w:line="255" w:lineRule="auto"/>
        <w:tabs>
          <w:tab w:leader="none" w:pos="21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7" w:lineRule="exact"/>
        <w:rPr>
          <w:rFonts w:ascii="Arial" w:cs="Arial" w:eastAsia="Arial" w:hAnsi="Arial"/>
          <w:sz w:val="18"/>
          <w:szCs w:val="18"/>
          <w:color w:val="auto"/>
        </w:rPr>
      </w:pPr>
    </w:p>
    <w:p>
      <w:pPr>
        <w:ind w:right="20" w:firstLine="1938"/>
        <w:spacing w:after="0" w:line="276" w:lineRule="auto"/>
        <w:tabs>
          <w:tab w:leader="none" w:pos="217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7" w:lineRule="exact"/>
        <w:rPr>
          <w:rFonts w:ascii="Arial" w:cs="Arial" w:eastAsia="Arial" w:hAnsi="Arial"/>
          <w:sz w:val="18"/>
          <w:szCs w:val="18"/>
          <w:color w:val="auto"/>
        </w:rPr>
      </w:pPr>
    </w:p>
    <w:p>
      <w:pPr>
        <w:ind w:firstLine="1938"/>
        <w:spacing w:after="0" w:line="276" w:lineRule="auto"/>
        <w:tabs>
          <w:tab w:leader="none" w:pos="214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7" w:lineRule="exact"/>
        <w:rPr>
          <w:rFonts w:ascii="Arial" w:cs="Arial" w:eastAsia="Arial" w:hAnsi="Arial"/>
          <w:sz w:val="18"/>
          <w:szCs w:val="18"/>
          <w:color w:val="auto"/>
        </w:rPr>
      </w:pPr>
    </w:p>
    <w:p>
      <w:pPr>
        <w:ind w:left="2200" w:hanging="262"/>
        <w:spacing w:after="0"/>
        <w:tabs>
          <w:tab w:leader="none" w:pos="2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1" w:lineRule="exact"/>
        <w:rPr>
          <w:rFonts w:ascii="Arial" w:cs="Arial" w:eastAsia="Arial" w:hAnsi="Arial"/>
          <w:sz w:val="18"/>
          <w:szCs w:val="18"/>
          <w:color w:val="auto"/>
        </w:rPr>
      </w:pPr>
    </w:p>
    <w:p>
      <w:pPr>
        <w:ind w:left="2200" w:hanging="262"/>
        <w:spacing w:after="0"/>
        <w:tabs>
          <w:tab w:leader="none" w:pos="22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4" w:lineRule="exact"/>
        <w:rPr>
          <w:rFonts w:ascii="Arial" w:cs="Arial" w:eastAsia="Arial" w:hAnsi="Arial"/>
          <w:sz w:val="16"/>
          <w:szCs w:val="16"/>
          <w:color w:val="auto"/>
        </w:rPr>
      </w:pPr>
    </w:p>
    <w:p>
      <w:pPr>
        <w:jc w:val="both"/>
        <w:ind w:firstLine="1938"/>
        <w:spacing w:after="0" w:line="262" w:lineRule="auto"/>
        <w:tabs>
          <w:tab w:leader="none" w:pos="22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80" w:lineRule="exact"/>
        <w:rPr>
          <w:rFonts w:ascii="Arial" w:cs="Arial" w:eastAsia="Arial" w:hAnsi="Arial"/>
          <w:sz w:val="18"/>
          <w:szCs w:val="18"/>
          <w:color w:val="auto"/>
        </w:rPr>
      </w:pPr>
    </w:p>
    <w:p>
      <w:pPr>
        <w:jc w:val="both"/>
        <w:ind w:firstLine="1938"/>
        <w:spacing w:after="0" w:line="295" w:lineRule="auto"/>
        <w:tabs>
          <w:tab w:leader="none" w:pos="218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6" w:lineRule="exact"/>
        <w:rPr>
          <w:rFonts w:ascii="Arial" w:cs="Arial" w:eastAsia="Arial" w:hAnsi="Arial"/>
          <w:sz w:val="16"/>
          <w:szCs w:val="16"/>
          <w:color w:val="auto"/>
        </w:rPr>
      </w:pPr>
    </w:p>
    <w:p>
      <w:pPr>
        <w:jc w:val="both"/>
        <w:ind w:firstLine="1938"/>
        <w:spacing w:after="0" w:line="283" w:lineRule="auto"/>
        <w:tabs>
          <w:tab w:leader="none" w:pos="218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19"/>
          <w:szCs w:val="19"/>
          <w:b w:val="1"/>
          <w:bCs w:val="1"/>
          <w:color w:val="auto"/>
        </w:rPr>
        <w:t>‎</w:t>
      </w:r>
      <w:r>
        <w:rPr>
          <w:rFonts w:ascii="Arial" w:cs="Arial" w:eastAsia="Arial" w:hAnsi="Arial"/>
          <w:sz w:val="16"/>
          <w:szCs w:val="16"/>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340" w:type="dxa"/>
            <w:vAlign w:val="bottom"/>
          </w:tcPr>
          <w:p>
            <w:pPr>
              <w:ind w:left="6760"/>
              <w:spacing w:after="0"/>
              <w:rPr>
                <w:sz w:val="20"/>
                <w:szCs w:val="20"/>
                <w:color w:val="auto"/>
              </w:rPr>
            </w:pPr>
            <w:r>
              <w:rPr>
                <w:rFonts w:ascii="Arial" w:cs="Arial" w:eastAsia="Arial" w:hAnsi="Arial"/>
                <w:sz w:val="18"/>
                <w:szCs w:val="18"/>
                <w:color w:val="auto"/>
              </w:rPr>
              <w:t>By:</w:t>
            </w: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rPr>
              <w:t>/s/ Xavier Casanova</w:t>
            </w:r>
          </w:p>
        </w:tc>
      </w:tr>
      <w:tr>
        <w:trPr>
          <w:trHeight w:val="200"/>
        </w:trPr>
        <w:tc>
          <w:tcPr>
            <w:tcW w:w="7340" w:type="dxa"/>
            <w:vAlign w:val="bottom"/>
          </w:tcPr>
          <w:p>
            <w:pPr>
              <w:ind w:left="6760"/>
              <w:spacing w:after="0" w:line="200" w:lineRule="exact"/>
              <w:rPr>
                <w:sz w:val="20"/>
                <w:szCs w:val="20"/>
                <w:color w:val="auto"/>
              </w:rPr>
            </w:pPr>
            <w:r>
              <w:rPr>
                <w:rFonts w:ascii="Arial" w:cs="Arial" w:eastAsia="Arial" w:hAnsi="Arial"/>
                <w:sz w:val="18"/>
                <w:szCs w:val="18"/>
                <w:color w:val="auto"/>
              </w:rPr>
              <w:t>Name:</w:t>
            </w:r>
          </w:p>
        </w:tc>
        <w:tc>
          <w:tcPr>
            <w:tcW w:w="100" w:type="dxa"/>
            <w:vAlign w:val="bottom"/>
          </w:tcPr>
          <w:p>
            <w:pPr>
              <w:spacing w:after="0"/>
              <w:rPr>
                <w:sz w:val="17"/>
                <w:szCs w:val="17"/>
                <w:color w:val="auto"/>
              </w:rPr>
            </w:pPr>
          </w:p>
        </w:tc>
        <w:tc>
          <w:tcPr>
            <w:tcW w:w="380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Xavier Casanova</w:t>
            </w:r>
          </w:p>
        </w:tc>
      </w:tr>
      <w:tr>
        <w:trPr>
          <w:trHeight w:val="227"/>
        </w:trPr>
        <w:tc>
          <w:tcPr>
            <w:tcW w:w="7340" w:type="dxa"/>
            <w:vAlign w:val="bottom"/>
          </w:tcPr>
          <w:p>
            <w:pPr>
              <w:ind w:left="676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9"/>
                <w:szCs w:val="19"/>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437"/>
        </w:trPr>
        <w:tc>
          <w:tcPr>
            <w:tcW w:w="7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9"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holder hereby exercises the right to purchase _________________ 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Presto</w:t>
      </w:r>
    </w:p>
    <w:p>
      <w:pPr>
        <w:spacing w:after="0" w:line="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Automation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evidenced by the attached Warrant to Purchase Common Stock (the “</w:t>
      </w:r>
      <w:r>
        <w:rPr>
          <w:rFonts w:ascii="Arial" w:cs="Arial" w:eastAsia="Arial" w:hAnsi="Arial"/>
          <w:sz w:val="18"/>
          <w:szCs w:val="18"/>
          <w:b w:val="1"/>
          <w:bCs w:val="1"/>
          <w:color w:val="auto"/>
        </w:rPr>
        <w:t>Warrant</w:t>
      </w:r>
      <w:r>
        <w:rPr>
          <w:rFonts w:ascii="Arial" w:cs="Arial" w:eastAsia="Arial" w:hAnsi="Arial"/>
          <w:sz w:val="18"/>
          <w:szCs w:val="18"/>
          <w:color w:val="auto"/>
        </w:rPr>
        <w:t>”). Capitalized terms used herein and not otherwise defined shall have the respective meanings set forth in the Warrant.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80" w:type="dxa"/>
            <w:vAlign w:val="bottom"/>
          </w:tcPr>
          <w:p>
            <w:pPr>
              <w:jc w:val="right"/>
              <w:ind w:right="31"/>
              <w:spacing w:after="0"/>
              <w:rPr>
                <w:sz w:val="20"/>
                <w:szCs w:val="20"/>
                <w:color w:val="auto"/>
              </w:rPr>
            </w:pPr>
            <w:r>
              <w:rPr>
                <w:rFonts w:ascii="Arial" w:cs="Arial" w:eastAsia="Arial" w:hAnsi="Arial"/>
                <w:sz w:val="18"/>
                <w:szCs w:val="18"/>
                <w:color w:val="auto"/>
                <w:w w:val="86"/>
              </w:rPr>
              <w:t>____________</w:t>
            </w:r>
          </w:p>
        </w:tc>
        <w:tc>
          <w:tcPr>
            <w:tcW w:w="5740" w:type="dxa"/>
            <w:vAlign w:val="bottom"/>
            <w:gridSpan w:val="4"/>
          </w:tcPr>
          <w:p>
            <w:pPr>
              <w:ind w:left="10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409"/>
        </w:trPr>
        <w:tc>
          <w:tcPr>
            <w:tcW w:w="1180" w:type="dxa"/>
            <w:vAlign w:val="bottom"/>
          </w:tcPr>
          <w:p>
            <w:pPr>
              <w:jc w:val="right"/>
              <w:ind w:right="31"/>
              <w:spacing w:after="0"/>
              <w:rPr>
                <w:sz w:val="20"/>
                <w:szCs w:val="20"/>
                <w:color w:val="auto"/>
              </w:rPr>
            </w:pPr>
            <w:r>
              <w:rPr>
                <w:rFonts w:ascii="Arial" w:cs="Arial" w:eastAsia="Arial" w:hAnsi="Arial"/>
                <w:sz w:val="18"/>
                <w:szCs w:val="18"/>
                <w:color w:val="auto"/>
                <w:w w:val="86"/>
              </w:rPr>
              <w:t>____________</w:t>
            </w:r>
          </w:p>
        </w:tc>
        <w:tc>
          <w:tcPr>
            <w:tcW w:w="5740" w:type="dxa"/>
            <w:vAlign w:val="bottom"/>
            <w:gridSpan w:val="4"/>
          </w:tcPr>
          <w:p>
            <w:pPr>
              <w:ind w:left="100"/>
              <w:spacing w:after="0"/>
              <w:rPr>
                <w:sz w:val="20"/>
                <w:szCs w:val="20"/>
                <w:color w:val="auto"/>
              </w:rPr>
            </w:pPr>
            <w:r>
              <w:rPr>
                <w:rFonts w:ascii="Arial" w:cs="Arial" w:eastAsia="Arial" w:hAnsi="Arial"/>
                <w:sz w:val="18"/>
                <w:szCs w:val="18"/>
                <w:color w:val="auto"/>
                <w:w w:val="93"/>
              </w:rPr>
              <w:t>a “Cashless Exercise” with respect to _________________ Warrant Shares</w:t>
            </w:r>
          </w:p>
        </w:tc>
      </w:tr>
      <w:tr>
        <w:trPr>
          <w:trHeight w:val="20"/>
        </w:trPr>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4" w:lineRule="exact"/>
        <w:rPr>
          <w:sz w:val="20"/>
          <w:szCs w:val="20"/>
          <w:color w:val="auto"/>
        </w:rPr>
      </w:pPr>
    </w:p>
    <w:p>
      <w:pPr>
        <w:jc w:val="both"/>
        <w:ind w:firstLine="651"/>
        <w:spacing w:after="0" w:line="260" w:lineRule="auto"/>
        <w:tabs>
          <w:tab w:leader="none" w:pos="82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5" w:lineRule="exact"/>
        <w:rPr>
          <w:rFonts w:ascii="Arial" w:cs="Arial" w:eastAsia="Arial" w:hAnsi="Arial"/>
          <w:sz w:val="18"/>
          <w:szCs w:val="18"/>
          <w:color w:val="auto"/>
        </w:rPr>
      </w:pPr>
    </w:p>
    <w:p>
      <w:pPr>
        <w:ind w:left="820" w:hanging="169"/>
        <w:spacing w:after="0"/>
        <w:tabs>
          <w:tab w:leader="none" w:pos="8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Electronic Delivery</w:t>
            </w:r>
          </w:p>
        </w:tc>
        <w:tc>
          <w:tcPr>
            <w:tcW w:w="660" w:type="dxa"/>
            <w:vAlign w:val="bottom"/>
          </w:tcPr>
          <w:p>
            <w:pPr>
              <w:spacing w:after="0"/>
              <w:rPr>
                <w:sz w:val="20"/>
                <w:szCs w:val="20"/>
                <w:color w:val="auto"/>
              </w:rPr>
            </w:pPr>
          </w:p>
        </w:tc>
        <w:tc>
          <w:tcPr>
            <w:tcW w:w="6720" w:type="dxa"/>
            <w:vAlign w:val="bottom"/>
            <w:gridSpan w:val="2"/>
          </w:tcPr>
          <w:p>
            <w:pPr>
              <w:ind w:left="440"/>
              <w:spacing w:after="0"/>
              <w:rPr>
                <w:sz w:val="20"/>
                <w:szCs w:val="20"/>
                <w:color w:val="auto"/>
              </w:rPr>
            </w:pPr>
            <w:r>
              <w:rPr>
                <w:rFonts w:ascii="Arial" w:cs="Arial" w:eastAsia="Arial" w:hAnsi="Arial"/>
                <w:sz w:val="18"/>
                <w:szCs w:val="18"/>
                <w:color w:val="auto"/>
              </w:rPr>
              <w:t>DTC Participant:</w:t>
            </w:r>
          </w:p>
        </w:tc>
      </w:tr>
      <w:tr>
        <w:trPr>
          <w:trHeight w:val="221"/>
        </w:trPr>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740" w:type="dxa"/>
            <w:vAlign w:val="bottom"/>
          </w:tcPr>
          <w:p>
            <w:pPr>
              <w:ind w:left="440"/>
              <w:spacing w:after="0" w:line="200" w:lineRule="exact"/>
              <w:rPr>
                <w:sz w:val="20"/>
                <w:szCs w:val="20"/>
                <w:color w:val="auto"/>
              </w:rPr>
            </w:pPr>
            <w:r>
              <w:rPr>
                <w:rFonts w:ascii="Arial" w:cs="Arial" w:eastAsia="Arial" w:hAnsi="Arial"/>
                <w:sz w:val="18"/>
                <w:szCs w:val="18"/>
                <w:color w:val="auto"/>
              </w:rPr>
              <w:t>DTC Number:</w:t>
            </w:r>
          </w:p>
        </w:tc>
        <w:tc>
          <w:tcPr>
            <w:tcW w:w="4980" w:type="dxa"/>
            <w:vAlign w:val="bottom"/>
            <w:tcBorders>
              <w:top w:val="single" w:sz="8" w:color="auto"/>
              <w:bottom w:val="single" w:sz="8" w:color="auto"/>
            </w:tcBorders>
          </w:tcPr>
          <w:p>
            <w:pPr>
              <w:spacing w:after="0"/>
              <w:rPr>
                <w:sz w:val="19"/>
                <w:szCs w:val="19"/>
                <w:color w:val="auto"/>
              </w:rPr>
            </w:pPr>
          </w:p>
        </w:tc>
      </w:tr>
      <w:tr>
        <w:trPr>
          <w:trHeight w:val="221"/>
        </w:trPr>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40" w:type="dxa"/>
            <w:vAlign w:val="bottom"/>
          </w:tcPr>
          <w:p>
            <w:pPr>
              <w:ind w:left="440"/>
              <w:spacing w:after="0" w:line="200" w:lineRule="exact"/>
              <w:rPr>
                <w:sz w:val="20"/>
                <w:szCs w:val="20"/>
                <w:color w:val="auto"/>
              </w:rPr>
            </w:pPr>
            <w:r>
              <w:rPr>
                <w:rFonts w:ascii="Arial" w:cs="Arial" w:eastAsia="Arial" w:hAnsi="Arial"/>
                <w:sz w:val="18"/>
                <w:szCs w:val="18"/>
                <w:color w:val="auto"/>
              </w:rPr>
              <w:t>Account Name:</w:t>
            </w:r>
          </w:p>
        </w:tc>
        <w:tc>
          <w:tcPr>
            <w:tcW w:w="4980" w:type="dxa"/>
            <w:vAlign w:val="bottom"/>
            <w:tcBorders>
              <w:bottom w:val="single" w:sz="8" w:color="auto"/>
            </w:tcBorders>
          </w:tcPr>
          <w:p>
            <w:pPr>
              <w:spacing w:after="0"/>
              <w:rPr>
                <w:sz w:val="19"/>
                <w:szCs w:val="19"/>
                <w:color w:val="auto"/>
              </w:rPr>
            </w:pPr>
          </w:p>
        </w:tc>
      </w:tr>
      <w:tr>
        <w:trPr>
          <w:trHeight w:val="221"/>
        </w:trPr>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40" w:type="dxa"/>
            <w:vAlign w:val="bottom"/>
          </w:tcPr>
          <w:p>
            <w:pPr>
              <w:ind w:left="440"/>
              <w:spacing w:after="0" w:line="200" w:lineRule="exact"/>
              <w:rPr>
                <w:sz w:val="20"/>
                <w:szCs w:val="20"/>
                <w:color w:val="auto"/>
              </w:rPr>
            </w:pPr>
            <w:r>
              <w:rPr>
                <w:rFonts w:ascii="Arial" w:cs="Arial" w:eastAsia="Arial" w:hAnsi="Arial"/>
                <w:sz w:val="18"/>
                <w:szCs w:val="18"/>
                <w:color w:val="auto"/>
                <w:w w:val="92"/>
              </w:rPr>
              <w:t>Account Number:</w:t>
            </w:r>
          </w:p>
        </w:tc>
        <w:tc>
          <w:tcPr>
            <w:tcW w:w="4980" w:type="dxa"/>
            <w:vAlign w:val="bottom"/>
            <w:tcBorders>
              <w:bottom w:val="single" w:sz="8" w:color="auto"/>
            </w:tcBorders>
          </w:tcPr>
          <w:p>
            <w:pPr>
              <w:spacing w:after="0"/>
              <w:rPr>
                <w:sz w:val="19"/>
                <w:szCs w:val="19"/>
                <w:color w:val="auto"/>
              </w:rPr>
            </w:pPr>
          </w:p>
        </w:tc>
      </w:tr>
      <w:tr>
        <w:trPr>
          <w:trHeight w:val="476"/>
        </w:trPr>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Physical Delivery</w:t>
            </w:r>
          </w:p>
        </w:tc>
        <w:tc>
          <w:tcPr>
            <w:tcW w:w="660" w:type="dxa"/>
            <w:vAlign w:val="bottom"/>
          </w:tcPr>
          <w:p>
            <w:pPr>
              <w:spacing w:after="0"/>
              <w:rPr>
                <w:sz w:val="24"/>
                <w:szCs w:val="24"/>
                <w:color w:val="auto"/>
              </w:rPr>
            </w:pPr>
          </w:p>
        </w:tc>
        <w:tc>
          <w:tcPr>
            <w:tcW w:w="1740" w:type="dxa"/>
            <w:vAlign w:val="bottom"/>
          </w:tcPr>
          <w:p>
            <w:pPr>
              <w:ind w:left="440"/>
              <w:spacing w:after="0"/>
              <w:rPr>
                <w:sz w:val="20"/>
                <w:szCs w:val="20"/>
                <w:color w:val="auto"/>
              </w:rPr>
            </w:pPr>
            <w:r>
              <w:rPr>
                <w:rFonts w:ascii="Arial" w:cs="Arial" w:eastAsia="Arial" w:hAnsi="Arial"/>
                <w:sz w:val="18"/>
                <w:szCs w:val="18"/>
                <w:color w:val="auto"/>
              </w:rPr>
              <w:t>Address:</w:t>
            </w:r>
          </w:p>
        </w:tc>
        <w:tc>
          <w:tcPr>
            <w:tcW w:w="4980" w:type="dxa"/>
            <w:vAlign w:val="bottom"/>
            <w:tcBorders>
              <w:bottom w:val="single" w:sz="8" w:color="auto"/>
            </w:tcBorders>
          </w:tcPr>
          <w:p>
            <w:pPr>
              <w:spacing w:after="0"/>
              <w:rPr>
                <w:sz w:val="24"/>
                <w:szCs w:val="24"/>
                <w:color w:val="auto"/>
              </w:rPr>
            </w:pPr>
          </w:p>
        </w:tc>
      </w:tr>
      <w:tr>
        <w:trPr>
          <w:trHeight w:val="427"/>
        </w:trPr>
        <w:tc>
          <w:tcPr>
            <w:tcW w:w="3860" w:type="dxa"/>
            <w:vAlign w:val="bottom"/>
            <w:gridSpan w:val="3"/>
          </w:tcPr>
          <w:p>
            <w:pPr>
              <w:spacing w:after="0"/>
              <w:rPr>
                <w:sz w:val="20"/>
                <w:szCs w:val="20"/>
                <w:color w:val="auto"/>
              </w:rPr>
            </w:pPr>
            <w:r>
              <w:rPr>
                <w:rFonts w:ascii="Arial" w:cs="Arial" w:eastAsia="Arial" w:hAnsi="Arial"/>
                <w:sz w:val="18"/>
                <w:szCs w:val="18"/>
                <w:color w:val="auto"/>
              </w:rPr>
              <w:t>Date: _______________ __, ______</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51"/>
        </w:trPr>
        <w:tc>
          <w:tcPr>
            <w:tcW w:w="4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r>
        <w:trPr>
          <w:trHeight w:val="227"/>
        </w:trPr>
        <w:tc>
          <w:tcPr>
            <w:tcW w:w="3860" w:type="dxa"/>
            <w:vAlign w:val="bottom"/>
            <w:gridSpan w:val="3"/>
          </w:tcPr>
          <w:p>
            <w:pPr>
              <w:spacing w:after="0"/>
              <w:rPr>
                <w:sz w:val="20"/>
                <w:szCs w:val="20"/>
                <w:color w:val="auto"/>
              </w:rPr>
            </w:pPr>
            <w:r>
              <w:rPr>
                <w:rFonts w:ascii="Arial" w:cs="Arial" w:eastAsia="Arial" w:hAnsi="Arial"/>
                <w:sz w:val="18"/>
                <w:szCs w:val="18"/>
                <w:color w:val="auto"/>
              </w:rPr>
              <w:t>Name of Registered Holder</w:t>
            </w:r>
          </w:p>
        </w:tc>
        <w:tc>
          <w:tcPr>
            <w:tcW w:w="6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980" w:type="dxa"/>
            <w:vAlign w:val="bottom"/>
          </w:tcPr>
          <w:p>
            <w:pPr>
              <w:spacing w:after="0"/>
              <w:rPr>
                <w:sz w:val="19"/>
                <w:szCs w:val="19"/>
                <w:color w:val="auto"/>
              </w:rPr>
            </w:pPr>
          </w:p>
        </w:tc>
      </w:tr>
      <w:tr>
        <w:trPr>
          <w:trHeight w:val="423"/>
        </w:trPr>
        <w:tc>
          <w:tcPr>
            <w:tcW w:w="3860" w:type="dxa"/>
            <w:vAlign w:val="bottom"/>
            <w:gridSpan w:val="3"/>
          </w:tcPr>
          <w:p>
            <w:pPr>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00"/>
        </w:trPr>
        <w:tc>
          <w:tcPr>
            <w:tcW w:w="460" w:type="dxa"/>
            <w:vAlign w:val="bottom"/>
          </w:tcPr>
          <w:p>
            <w:pPr>
              <w:spacing w:after="0"/>
              <w:rPr>
                <w:sz w:val="17"/>
                <w:szCs w:val="17"/>
                <w:color w:val="auto"/>
              </w:rPr>
            </w:pPr>
          </w:p>
        </w:tc>
        <w:tc>
          <w:tcPr>
            <w:tcW w:w="34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Name:</w:t>
            </w:r>
          </w:p>
        </w:tc>
        <w:tc>
          <w:tcPr>
            <w:tcW w:w="660" w:type="dxa"/>
            <w:vAlign w:val="bottom"/>
            <w:tcBorders>
              <w:top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4980" w:type="dxa"/>
            <w:vAlign w:val="bottom"/>
          </w:tcPr>
          <w:p>
            <w:pPr>
              <w:spacing w:after="0"/>
              <w:rPr>
                <w:sz w:val="17"/>
                <w:szCs w:val="17"/>
                <w:color w:val="auto"/>
              </w:rPr>
            </w:pPr>
          </w:p>
        </w:tc>
      </w:tr>
      <w:tr>
        <w:trPr>
          <w:trHeight w:val="227"/>
        </w:trPr>
        <w:tc>
          <w:tcPr>
            <w:tcW w:w="3860" w:type="dxa"/>
            <w:vAlign w:val="bottom"/>
            <w:gridSpan w:val="3"/>
          </w:tcPr>
          <w:p>
            <w:pPr>
              <w:ind w:left="460"/>
              <w:spacing w:after="0"/>
              <w:rPr>
                <w:sz w:val="20"/>
                <w:szCs w:val="20"/>
                <w:color w:val="auto"/>
              </w:rPr>
            </w:pPr>
            <w:r>
              <w:rPr>
                <w:rFonts w:ascii="Arial" w:cs="Arial" w:eastAsia="Arial" w:hAnsi="Arial"/>
                <w:sz w:val="18"/>
                <w:szCs w:val="18"/>
                <w:color w:val="auto"/>
              </w:rPr>
              <w:t>Title:</w:t>
            </w:r>
          </w:p>
        </w:tc>
        <w:tc>
          <w:tcPr>
            <w:tcW w:w="6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980" w:type="dxa"/>
            <w:vAlign w:val="bottom"/>
          </w:tcPr>
          <w:p>
            <w:pPr>
              <w:spacing w:after="0"/>
              <w:rPr>
                <w:sz w:val="19"/>
                <w:szCs w:val="19"/>
                <w:color w:val="auto"/>
              </w:rPr>
            </w:pPr>
          </w:p>
        </w:tc>
      </w:tr>
      <w:tr>
        <w:trPr>
          <w:trHeight w:val="437"/>
        </w:trPr>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9"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-130175</wp:posOffset>
            </wp:positionV>
            <wp:extent cx="24942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286385</wp:posOffset>
            </wp:positionV>
            <wp:extent cx="71335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this form and supply required information.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 not use this form to exercise the warrant.)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22"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320040</wp:posOffset>
            </wp:positionV>
            <wp:extent cx="5354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535432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167005</wp:posOffset>
            </wp:positionV>
            <wp:extent cx="5354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535432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5354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5354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60"/>
        <w:spacing w:after="0"/>
        <w:rPr>
          <w:sz w:val="20"/>
          <w:szCs w:val="20"/>
          <w:color w:val="auto"/>
        </w:rPr>
      </w:pPr>
      <w:r>
        <w:rPr>
          <w:rFonts w:ascii="Arial" w:cs="Arial" w:eastAsia="Arial" w:hAnsi="Arial"/>
          <w:sz w:val="16"/>
          <w:szCs w:val="16"/>
          <w:color w:val="auto"/>
        </w:rPr>
        <w:t>Dated: __________________, ____</w:t>
      </w:r>
    </w:p>
    <w:p>
      <w:pPr>
        <w:spacing w:after="0" w:line="24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Holder’s Signature:</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175895</wp:posOffset>
            </wp:positionV>
            <wp:extent cx="249428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22225</wp:posOffset>
            </wp:positionV>
            <wp:extent cx="249428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-130175</wp:posOffset>
            </wp:positionV>
            <wp:extent cx="249428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35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9" w:name="page140"/>
    <w:bookmarkEnd w:id="139"/>
    <w:p>
      <w:pPr>
        <w:ind w:left="10320"/>
        <w:spacing w:after="0"/>
        <w:rPr>
          <w:sz w:val="20"/>
          <w:szCs w:val="20"/>
          <w:color w:val="auto"/>
        </w:rPr>
      </w:pPr>
      <w:r>
        <w:rPr>
          <w:rFonts w:ascii="Arial" w:cs="Arial" w:eastAsia="Arial" w:hAnsi="Arial"/>
          <w:sz w:val="16"/>
          <w:szCs w:val="16"/>
          <w:b w:val="1"/>
          <w:bCs w:val="1"/>
          <w:color w:val="auto"/>
        </w:rPr>
        <w:t>Exhibit 4.34</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317,100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16,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5" w:lineRule="exact"/>
        <w:rPr>
          <w:sz w:val="20"/>
          <w:szCs w:val="20"/>
          <w:color w:val="auto"/>
        </w:rPr>
      </w:pPr>
    </w:p>
    <w:p>
      <w:pPr>
        <w:jc w:val="both"/>
        <w:ind w:firstLine="1287"/>
        <w:spacing w:after="0" w:line="285" w:lineRule="auto"/>
        <w:rPr>
          <w:sz w:val="20"/>
          <w:szCs w:val="20"/>
          <w:color w:val="auto"/>
        </w:rPr>
      </w:pPr>
      <w:r>
        <w:rPr>
          <w:rFonts w:ascii="Arial" w:cs="Arial" w:eastAsia="Arial" w:hAnsi="Arial"/>
          <w:sz w:val="16"/>
          <w:szCs w:val="16"/>
          <w:color w:val="auto"/>
        </w:rPr>
        <w:t>Presto Automation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Metropolitan Offshore Partners Fund VII, LP,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317,100 duly authorized, validly issued,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17‎. This Warrant is being issued pursuant to Section 3 of that certain Third Amendment to Credit Agreement, dated October 10, 2023, among E La Carte, LLC, the Company and Metropolitan Partners Group Administration, LLC, as agent (the “</w:t>
      </w:r>
      <w:r>
        <w:rPr>
          <w:rFonts w:ascii="Arial" w:cs="Arial" w:eastAsia="Arial" w:hAnsi="Arial"/>
          <w:sz w:val="16"/>
          <w:szCs w:val="16"/>
          <w:b w:val="1"/>
          <w:bCs w:val="1"/>
          <w:color w:val="auto"/>
        </w:rPr>
        <w:t>Third Amendment</w:t>
      </w:r>
      <w:r>
        <w:rPr>
          <w:rFonts w:ascii="Arial" w:cs="Arial" w:eastAsia="Arial" w:hAnsi="Arial"/>
          <w:sz w:val="16"/>
          <w:szCs w:val="16"/>
          <w:color w:val="auto"/>
        </w:rPr>
        <w:t>”), and to Section 7 of that certain Third Amended and Restated Fee Letter, dated October 10, 2023, among E La Carte, LLC, the Company and Metropolitan Partners Group Administration (the “</w:t>
      </w:r>
      <w:r>
        <w:rPr>
          <w:rFonts w:ascii="Arial" w:cs="Arial" w:eastAsia="Arial" w:hAnsi="Arial"/>
          <w:sz w:val="16"/>
          <w:szCs w:val="16"/>
          <w:b w:val="1"/>
          <w:bCs w:val="1"/>
          <w:color w:val="auto"/>
        </w:rPr>
        <w:t>Fee Letter</w:t>
      </w:r>
      <w:r>
        <w:rPr>
          <w:rFonts w:ascii="Arial" w:cs="Arial" w:eastAsia="Arial" w:hAnsi="Arial"/>
          <w:sz w:val="16"/>
          <w:szCs w:val="16"/>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409575</wp:posOffset>
            </wp:positionV>
            <wp:extent cx="71335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ind w:left="1480" w:hanging="186"/>
        <w:spacing w:after="0"/>
        <w:tabs>
          <w:tab w:leader="none" w:pos="1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1" w:lineRule="exact"/>
        <w:rPr>
          <w:rFonts w:ascii="Arial" w:cs="Arial" w:eastAsia="Arial" w:hAnsi="Arial"/>
          <w:sz w:val="18"/>
          <w:szCs w:val="18"/>
          <w:color w:val="auto"/>
        </w:rPr>
      </w:pPr>
    </w:p>
    <w:p>
      <w:pPr>
        <w:jc w:val="both"/>
        <w:ind w:firstLine="1938"/>
        <w:spacing w:after="0" w:line="279" w:lineRule="auto"/>
        <w:tabs>
          <w:tab w:leader="none" w:pos="2173"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 agree that, by reason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 (3rd) Trading Day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1" w:name="page142"/>
    <w:bookmarkEnd w:id="141"/>
    <w:p>
      <w:pPr>
        <w:ind w:left="2200" w:hanging="262"/>
        <w:spacing w:after="0"/>
        <w:tabs>
          <w:tab w:leader="none" w:pos="2200"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37" w:lineRule="exact"/>
        <w:rPr>
          <w:rFonts w:ascii="Arial" w:cs="Arial" w:eastAsia="Arial" w:hAnsi="Arial"/>
          <w:sz w:val="17"/>
          <w:szCs w:val="17"/>
          <w:color w:val="auto"/>
        </w:rPr>
      </w:pPr>
    </w:p>
    <w:p>
      <w:pPr>
        <w:jc w:val="both"/>
        <w:ind w:firstLine="1938"/>
        <w:spacing w:after="0" w:line="279" w:lineRule="auto"/>
        <w:tabs>
          <w:tab w:leader="none" w:pos="2173"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w:t>
      </w:r>
    </w:p>
    <w:p>
      <w:pPr>
        <w:spacing w:after="0" w:line="13" w:lineRule="exact"/>
        <w:rPr>
          <w:rFonts w:ascii="Arial" w:cs="Arial" w:eastAsia="Arial" w:hAnsi="Arial"/>
          <w:sz w:val="16"/>
          <w:szCs w:val="16"/>
          <w:color w:val="auto"/>
        </w:rPr>
      </w:pPr>
    </w:p>
    <w:p>
      <w:pPr>
        <w:jc w:val="both"/>
        <w:ind w:firstLine="7"/>
        <w:spacing w:after="0" w:line="250" w:lineRule="auto"/>
        <w:tabs>
          <w:tab w:leader="none" w:pos="30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number of Warrant Shares multiplied by (B) the Closing Sale Price of the Common Stock on the Share Delivery Date with respect to the related Exercise Notice (the “</w:t>
      </w:r>
      <w:r>
        <w:rPr>
          <w:rFonts w:ascii="Arial" w:cs="Arial" w:eastAsia="Arial" w:hAnsi="Arial"/>
          <w:sz w:val="18"/>
          <w:szCs w:val="18"/>
          <w:b w:val="1"/>
          <w:bCs w:val="1"/>
          <w:color w:val="auto"/>
        </w:rPr>
        <w:t>Buy-In Payment Amount</w:t>
      </w:r>
      <w:r>
        <w:rPr>
          <w:rFonts w:ascii="Arial" w:cs="Arial" w:eastAsia="Arial" w:hAnsi="Arial"/>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2" w:name="page143"/>
    <w:bookmarkEnd w:id="142"/>
    <w:p>
      <w:pPr>
        <w:jc w:val="both"/>
        <w:ind w:firstLine="1938"/>
        <w:spacing w:after="0" w:line="294" w:lineRule="auto"/>
        <w:tabs>
          <w:tab w:leader="none" w:pos="2183"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contained herein to the contrary (other than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19"/>
          <w:szCs w:val="19"/>
          <w:b w:val="1"/>
          <w:bCs w:val="1"/>
          <w:color w:val="auto"/>
        </w:rPr>
        <w:t>‎</w:t>
      </w:r>
      <w:r>
        <w:rPr>
          <w:rFonts w:ascii="Arial" w:cs="Arial" w:eastAsia="Arial" w:hAnsi="Arial"/>
          <w:sz w:val="16"/>
          <w:szCs w:val="16"/>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0"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B</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2" w:lineRule="exact"/>
        <w:rPr>
          <w:sz w:val="20"/>
          <w:szCs w:val="20"/>
          <w:color w:val="auto"/>
        </w:rPr>
      </w:pPr>
    </w:p>
    <w:p>
      <w:pPr>
        <w:ind w:left="1300"/>
        <w:spacing w:after="0" w:line="336"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5" w:lineRule="exact"/>
        <w:rPr>
          <w:sz w:val="20"/>
          <w:szCs w:val="20"/>
          <w:color w:val="auto"/>
        </w:rPr>
      </w:pPr>
    </w:p>
    <w:p>
      <w:pPr>
        <w:jc w:val="both"/>
        <w:ind w:firstLine="1938"/>
        <w:spacing w:after="0" w:line="261" w:lineRule="auto"/>
        <w:tabs>
          <w:tab w:leader="none" w:pos="2173"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3" w:name="page144"/>
    <w:bookmarkEnd w:id="143"/>
    <w:p>
      <w:pPr>
        <w:jc w:val="both"/>
        <w:ind w:firstLine="1938"/>
        <w:spacing w:after="0" w:line="278" w:lineRule="auto"/>
        <w:tabs>
          <w:tab w:leader="none" w:pos="2180"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spacing w:after="0" w:line="16" w:lineRule="exact"/>
        <w:rPr>
          <w:rFonts w:ascii="Arial" w:cs="Arial" w:eastAsia="Arial" w:hAnsi="Arial"/>
          <w:sz w:val="16"/>
          <w:szCs w:val="16"/>
          <w:color w:val="auto"/>
        </w:rPr>
      </w:pPr>
    </w:p>
    <w:p>
      <w:pPr>
        <w:jc w:val="both"/>
        <w:ind w:firstLine="7"/>
        <w:spacing w:after="0" w:line="278" w:lineRule="auto"/>
        <w:tabs>
          <w:tab w:leader="none" w:pos="26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be deemed null and void and shall be cancelled ab initio, and the Holder shall not have the power to vote or to transfer the Excess Shares.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Arial" w:cs="Arial" w:eastAsia="Arial" w:hAnsi="Arial"/>
          <w:sz w:val="16"/>
          <w:szCs w:val="16"/>
          <w:b w:val="1"/>
          <w:bCs w:val="1"/>
          <w:color w:val="auto"/>
        </w:rPr>
        <w:t>Third Amendment Warrants</w:t>
      </w:r>
      <w:r>
        <w:rPr>
          <w:rFonts w:ascii="Arial" w:cs="Arial" w:eastAsia="Arial" w:hAnsi="Arial"/>
          <w:sz w:val="16"/>
          <w:szCs w:val="16"/>
          <w:color w:val="auto"/>
        </w:rPr>
        <w:t>”), together with the total number of shares of Common Stock issued pursuant to Section 4.11 of the stock purchase agreement, dated October 10, 2023 (the “</w:t>
      </w:r>
      <w:r>
        <w:rPr>
          <w:rFonts w:ascii="Arial" w:cs="Arial" w:eastAsia="Arial" w:hAnsi="Arial"/>
          <w:sz w:val="16"/>
          <w:szCs w:val="16"/>
          <w:b w:val="1"/>
          <w:bCs w:val="1"/>
          <w:color w:val="auto"/>
        </w:rPr>
        <w:t>Cleveland Avenue Purchase Agreement</w:t>
      </w:r>
      <w:r>
        <w:rPr>
          <w:rFonts w:ascii="Arial" w:cs="Arial" w:eastAsia="Arial" w:hAnsi="Arial"/>
          <w:sz w:val="16"/>
          <w:szCs w:val="16"/>
          <w:color w:val="auto"/>
        </w:rPr>
        <w:t>”), by and between the Company and Presto CA LLC (“</w:t>
      </w:r>
      <w:r>
        <w:rPr>
          <w:rFonts w:ascii="Arial" w:cs="Arial" w:eastAsia="Arial" w:hAnsi="Arial"/>
          <w:sz w:val="16"/>
          <w:szCs w:val="16"/>
          <w:b w:val="1"/>
          <w:bCs w:val="1"/>
          <w:color w:val="auto"/>
        </w:rPr>
        <w:t>Cleveland Avenue</w:t>
      </w:r>
      <w:r>
        <w:rPr>
          <w:rFonts w:ascii="Arial" w:cs="Arial" w:eastAsia="Arial" w:hAnsi="Arial"/>
          <w:sz w:val="16"/>
          <w:szCs w:val="16"/>
          <w:color w:val="auto"/>
        </w:rPr>
        <w:t>”), may not exceed the requirements of Nasdaq Listing Rule 5635(d) (“</w:t>
      </w:r>
      <w:r>
        <w:rPr>
          <w:rFonts w:ascii="Arial" w:cs="Arial" w:eastAsia="Arial" w:hAnsi="Arial"/>
          <w:sz w:val="16"/>
          <w:szCs w:val="16"/>
          <w:b w:val="1"/>
          <w:bCs w:val="1"/>
          <w:color w:val="auto"/>
        </w:rPr>
        <w:t>Nasdaq 19.99% Cap</w:t>
      </w:r>
      <w:r>
        <w:rPr>
          <w:rFonts w:ascii="Arial" w:cs="Arial" w:eastAsia="Arial" w:hAnsi="Arial"/>
          <w:sz w:val="16"/>
          <w:szCs w:val="16"/>
          <w:color w:val="auto"/>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Arial" w:cs="Arial" w:eastAsia="Arial" w:hAnsi="Arial"/>
          <w:sz w:val="16"/>
          <w:szCs w:val="16"/>
          <w:b w:val="1"/>
          <w:bCs w:val="1"/>
          <w:color w:val="auto"/>
        </w:rPr>
        <w:t>Approval</w:t>
      </w:r>
      <w:r>
        <w:rPr>
          <w:rFonts w:ascii="Arial" w:cs="Arial" w:eastAsia="Arial" w:hAnsi="Arial"/>
          <w:sz w:val="16"/>
          <w:szCs w:val="16"/>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w:t>
      </w:r>
    </w:p>
    <w:p>
      <w:pPr>
        <w:spacing w:after="0" w:line="22" w:lineRule="exact"/>
        <w:rPr>
          <w:rFonts w:ascii="Arial" w:cs="Arial" w:eastAsia="Arial" w:hAnsi="Arial"/>
          <w:sz w:val="16"/>
          <w:szCs w:val="16"/>
          <w:color w:val="auto"/>
        </w:rPr>
      </w:pPr>
    </w:p>
    <w:p>
      <w:pPr>
        <w:jc w:val="both"/>
        <w:ind w:firstLine="7"/>
        <w:spacing w:after="0" w:line="251" w:lineRule="auto"/>
        <w:tabs>
          <w:tab w:leader="none" w:pos="25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4" w:name="page145"/>
    <w:bookmarkEnd w:id="144"/>
    <w:p>
      <w:pPr>
        <w:jc w:val="both"/>
        <w:ind w:firstLine="1938"/>
        <w:spacing w:after="0" w:line="282" w:lineRule="auto"/>
        <w:tabs>
          <w:tab w:leader="none" w:pos="2183"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5" w:name="page146"/>
    <w:bookmarkEnd w:id="145"/>
    <w:p>
      <w:pPr>
        <w:ind w:firstLine="1294"/>
        <w:spacing w:after="0" w:line="272" w:lineRule="auto"/>
        <w:tabs>
          <w:tab w:leader="none" w:pos="1479"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4" w:lineRule="exact"/>
        <w:rPr>
          <w:rFonts w:ascii="Arial" w:cs="Arial" w:eastAsia="Arial" w:hAnsi="Arial"/>
          <w:sz w:val="18"/>
          <w:szCs w:val="18"/>
          <w:color w:val="auto"/>
        </w:rPr>
      </w:pPr>
    </w:p>
    <w:p>
      <w:pPr>
        <w:jc w:val="both"/>
        <w:ind w:firstLine="1938"/>
        <w:spacing w:after="0" w:line="285" w:lineRule="auto"/>
        <w:tabs>
          <w:tab w:leader="none" w:pos="2200"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Adjustment Upon Subdivision or Combination of Shares of Common Stock</w:t>
      </w:r>
      <w:r>
        <w:rPr>
          <w:rFonts w:ascii="Arial" w:cs="Arial" w:eastAsia="Arial" w:hAnsi="Arial"/>
          <w:sz w:val="16"/>
          <w:szCs w:val="16"/>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170" w:lineRule="exact"/>
        <w:rPr>
          <w:rFonts w:ascii="Arial" w:cs="Arial" w:eastAsia="Arial" w:hAnsi="Arial"/>
          <w:sz w:val="16"/>
          <w:szCs w:val="16"/>
          <w:color w:val="auto"/>
        </w:rPr>
      </w:pPr>
    </w:p>
    <w:p>
      <w:pPr>
        <w:jc w:val="both"/>
        <w:ind w:firstLine="1938"/>
        <w:spacing w:after="0" w:line="252" w:lineRule="auto"/>
        <w:tabs>
          <w:tab w:leader="none" w:pos="2183"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Adjustment Upon Issuance of Shares of Common Stock</w:t>
      </w:r>
      <w:r>
        <w:rPr>
          <w:rFonts w:ascii="Arial" w:cs="Arial" w:eastAsia="Arial" w:hAnsi="Arial"/>
          <w:sz w:val="18"/>
          <w:szCs w:val="18"/>
          <w:color w:val="auto"/>
        </w:rPr>
        <w:t>. If and whenever on or after the Issuance Date but prior to April 1, 2024 (the “</w:t>
      </w:r>
      <w:r>
        <w:rPr>
          <w:rFonts w:ascii="Arial" w:cs="Arial" w:eastAsia="Arial" w:hAnsi="Arial"/>
          <w:sz w:val="18"/>
          <w:szCs w:val="18"/>
          <w:b w:val="1"/>
          <w:bCs w:val="1"/>
          <w:color w:val="auto"/>
        </w:rPr>
        <w:t>Anti-Dilution Period</w:t>
      </w:r>
      <w:r>
        <w:rPr>
          <w:rFonts w:ascii="Arial" w:cs="Arial" w:eastAsia="Arial" w:hAnsi="Arial"/>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Arial" w:cs="Arial" w:eastAsia="Arial" w:hAnsi="Arial"/>
          <w:sz w:val="18"/>
          <w:szCs w:val="18"/>
          <w:b w:val="1"/>
          <w:bCs w:val="1"/>
          <w:color w:val="auto"/>
        </w:rPr>
        <w:t>New Issuance Price</w:t>
      </w:r>
      <w:r>
        <w:rPr>
          <w:rFonts w:ascii="Arial" w:cs="Arial" w:eastAsia="Arial" w:hAnsi="Arial"/>
          <w:sz w:val="18"/>
          <w:szCs w:val="18"/>
          <w:color w:val="auto"/>
        </w:rPr>
        <w:t>”) less than $2.00 per share (the “</w:t>
      </w:r>
      <w:r>
        <w:rPr>
          <w:rFonts w:ascii="Arial" w:cs="Arial" w:eastAsia="Arial" w:hAnsi="Arial"/>
          <w:sz w:val="18"/>
          <w:szCs w:val="18"/>
          <w:b w:val="1"/>
          <w:bCs w:val="1"/>
          <w:color w:val="auto"/>
        </w:rPr>
        <w:t>Applicable Price</w:t>
      </w:r>
      <w:r>
        <w:rPr>
          <w:rFonts w:ascii="Arial" w:cs="Arial" w:eastAsia="Arial" w:hAnsi="Arial"/>
          <w:sz w:val="18"/>
          <w:szCs w:val="18"/>
          <w:color w:val="auto"/>
        </w:rPr>
        <w:t>”, and the foregoing a “</w:t>
      </w:r>
      <w:r>
        <w:rPr>
          <w:rFonts w:ascii="Arial" w:cs="Arial" w:eastAsia="Arial" w:hAnsi="Arial"/>
          <w:sz w:val="18"/>
          <w:szCs w:val="18"/>
          <w:b w:val="1"/>
          <w:bCs w:val="1"/>
          <w:color w:val="auto"/>
        </w:rPr>
        <w:t>Dilutive</w:t>
      </w:r>
      <w:r>
        <w:rPr>
          <w:rFonts w:ascii="Arial" w:cs="Arial" w:eastAsia="Arial" w:hAnsi="Arial"/>
          <w:sz w:val="18"/>
          <w:szCs w:val="18"/>
          <w:color w:val="auto"/>
        </w:rPr>
        <w:t xml:space="preserve"> </w:t>
      </w:r>
      <w:r>
        <w:rPr>
          <w:rFonts w:ascii="Arial" w:cs="Arial" w:eastAsia="Arial" w:hAnsi="Arial"/>
          <w:sz w:val="18"/>
          <w:szCs w:val="18"/>
          <w:b w:val="1"/>
          <w:bCs w:val="1"/>
          <w:color w:val="auto"/>
        </w:rPr>
        <w:t>Issuance</w:t>
      </w:r>
      <w:r>
        <w:rPr>
          <w:rFonts w:ascii="Arial" w:cs="Arial" w:eastAsia="Arial" w:hAnsi="Arial"/>
          <w:sz w:val="18"/>
          <w:szCs w:val="18"/>
          <w:color w:val="auto"/>
        </w:rPr>
        <w:t>”), then immediately after such Dilutive Issuance, the number of Warrant Shares shall be increased to an amount equal to (x) the number of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prior to such Dilutive Issuance, multiplied by (y) the quotient of the Applicable Price divided by the New Issuance Price. For all purposes of the foregoing (including, without limitation, determining the adjusted number of Warrant Shares and the New Issuance Price under this Section 2(b)), the following shall be applicable:</w:t>
      </w:r>
    </w:p>
    <w:p>
      <w:pPr>
        <w:spacing w:after="0" w:line="191" w:lineRule="exact"/>
        <w:rPr>
          <w:rFonts w:ascii="Arial" w:cs="Arial" w:eastAsia="Arial" w:hAnsi="Arial"/>
          <w:sz w:val="18"/>
          <w:szCs w:val="18"/>
          <w:color w:val="auto"/>
        </w:rPr>
      </w:pPr>
    </w:p>
    <w:p>
      <w:pPr>
        <w:jc w:val="both"/>
        <w:ind w:firstLine="2581"/>
        <w:spacing w:after="0" w:line="283" w:lineRule="auto"/>
        <w:tabs>
          <w:tab w:leader="none" w:pos="2787" w:val="left"/>
        </w:tabs>
        <w:numPr>
          <w:ilvl w:val="2"/>
          <w:numId w:val="140"/>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6" w:name="page147"/>
    <w:bookmarkEnd w:id="146"/>
    <w:p>
      <w:pPr>
        <w:jc w:val="both"/>
        <w:ind w:firstLine="2581"/>
        <w:spacing w:after="0" w:line="283" w:lineRule="auto"/>
        <w:tabs>
          <w:tab w:leader="none" w:pos="285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175" w:lineRule="exact"/>
        <w:rPr>
          <w:rFonts w:ascii="Arial" w:cs="Arial" w:eastAsia="Arial" w:hAnsi="Arial"/>
          <w:sz w:val="16"/>
          <w:szCs w:val="16"/>
          <w:color w:val="auto"/>
        </w:rPr>
      </w:pPr>
    </w:p>
    <w:p>
      <w:pPr>
        <w:jc w:val="both"/>
        <w:ind w:firstLine="2581"/>
        <w:spacing w:after="0" w:line="267" w:lineRule="auto"/>
        <w:tabs>
          <w:tab w:leader="none" w:pos="290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7" w:name="page148"/>
    <w:bookmarkEnd w:id="147"/>
    <w:p>
      <w:pPr>
        <w:jc w:val="both"/>
        <w:ind w:firstLine="2581"/>
        <w:spacing w:after="0" w:line="280" w:lineRule="auto"/>
        <w:tabs>
          <w:tab w:leader="none" w:pos="2876"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and/or Convertible Security and/or Adjustment Right is issued in connection with the issuance or sale or deemed issuance or sale of any other securities of the Company (as determined by the Holder, the “</w:t>
      </w:r>
      <w:r>
        <w:rPr>
          <w:rFonts w:ascii="Arial" w:cs="Arial" w:eastAsia="Arial" w:hAnsi="Arial"/>
          <w:sz w:val="16"/>
          <w:szCs w:val="16"/>
          <w:b w:val="1"/>
          <w:bCs w:val="1"/>
          <w:color w:val="auto"/>
        </w:rPr>
        <w:t>Primary</w:t>
      </w:r>
      <w:r>
        <w:rPr>
          <w:rFonts w:ascii="Arial" w:cs="Arial" w:eastAsia="Arial" w:hAnsi="Arial"/>
          <w:sz w:val="16"/>
          <w:szCs w:val="16"/>
          <w:color w:val="auto"/>
        </w:rPr>
        <w:t xml:space="preserve"> </w:t>
      </w:r>
      <w:r>
        <w:rPr>
          <w:rFonts w:ascii="Arial" w:cs="Arial" w:eastAsia="Arial" w:hAnsi="Arial"/>
          <w:sz w:val="16"/>
          <w:szCs w:val="16"/>
          <w:b w:val="1"/>
          <w:bCs w:val="1"/>
          <w:color w:val="auto"/>
        </w:rPr>
        <w:t>Security</w:t>
      </w:r>
      <w:r>
        <w:rPr>
          <w:rFonts w:ascii="Arial" w:cs="Arial" w:eastAsia="Arial" w:hAnsi="Arial"/>
          <w:sz w:val="16"/>
          <w:szCs w:val="16"/>
          <w:color w:val="auto"/>
        </w:rPr>
        <w:t>”, and such Option and/or Convertible Security and/or Adjustment Right, the “</w:t>
      </w:r>
      <w:r>
        <w:rPr>
          <w:rFonts w:ascii="Arial" w:cs="Arial" w:eastAsia="Arial" w:hAnsi="Arial"/>
          <w:sz w:val="16"/>
          <w:szCs w:val="16"/>
          <w:b w:val="1"/>
          <w:bCs w:val="1"/>
          <w:color w:val="auto"/>
        </w:rPr>
        <w:t>Secondary Securities</w:t>
      </w:r>
      <w:r>
        <w:rPr>
          <w:rFonts w:ascii="Arial" w:cs="Arial" w:eastAsia="Arial" w:hAnsi="Arial"/>
          <w:sz w:val="16"/>
          <w:szCs w:val="16"/>
          <w:color w:val="auto"/>
        </w:rPr>
        <w:t>” and together with the Primary Security, each</w:t>
      </w:r>
      <w:r>
        <w:rPr>
          <w:rFonts w:ascii="Arial" w:cs="Arial" w:eastAsia="Arial" w:hAnsi="Arial"/>
          <w:sz w:val="16"/>
          <w:szCs w:val="16"/>
          <w:b w:val="1"/>
          <w:bCs w:val="1"/>
          <w:color w:val="auto"/>
        </w:rPr>
        <w:t xml:space="preserve"> </w:t>
      </w:r>
      <w:r>
        <w:rPr>
          <w:rFonts w:ascii="Arial" w:cs="Arial" w:eastAsia="Arial" w:hAnsi="Arial"/>
          <w:sz w:val="16"/>
          <w:szCs w:val="16"/>
          <w:color w:val="auto"/>
        </w:rPr>
        <w:t>a “</w:t>
      </w:r>
      <w:r>
        <w:rPr>
          <w:rFonts w:ascii="Arial" w:cs="Arial" w:eastAsia="Arial" w:hAnsi="Arial"/>
          <w:sz w:val="16"/>
          <w:szCs w:val="16"/>
          <w:b w:val="1"/>
          <w:bCs w:val="1"/>
          <w:color w:val="auto"/>
        </w:rPr>
        <w:t>Unit</w:t>
      </w:r>
      <w:r>
        <w:rPr>
          <w:rFonts w:ascii="Arial" w:cs="Arial" w:eastAsia="Arial" w:hAnsi="Arial"/>
          <w:sz w:val="16"/>
          <w:szCs w:val="16"/>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 (i),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w:t>
      </w:r>
    </w:p>
    <w:p>
      <w:pPr>
        <w:spacing w:after="0" w:line="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consideration will be determined within five Trading Days after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3" w:lineRule="exact"/>
        <w:rPr>
          <w:sz w:val="20"/>
          <w:szCs w:val="20"/>
          <w:color w:val="auto"/>
        </w:rPr>
      </w:pPr>
    </w:p>
    <w:p>
      <w:pPr>
        <w:jc w:val="both"/>
        <w:ind w:firstLine="2581"/>
        <w:spacing w:after="0" w:line="254" w:lineRule="auto"/>
        <w:tabs>
          <w:tab w:leader="none" w:pos="2827"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91" w:lineRule="exact"/>
        <w:rPr>
          <w:rFonts w:ascii="Arial" w:cs="Arial" w:eastAsia="Arial" w:hAnsi="Arial"/>
          <w:sz w:val="18"/>
          <w:szCs w:val="18"/>
          <w:color w:val="auto"/>
        </w:rPr>
      </w:pPr>
    </w:p>
    <w:p>
      <w:pPr>
        <w:ind w:firstLine="1938"/>
        <w:spacing w:after="0" w:line="272" w:lineRule="auto"/>
        <w:tabs>
          <w:tab w:leader="none" w:pos="2173"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4" w:lineRule="exact"/>
        <w:rPr>
          <w:rFonts w:ascii="Arial" w:cs="Arial" w:eastAsia="Arial" w:hAnsi="Arial"/>
          <w:sz w:val="18"/>
          <w:szCs w:val="18"/>
          <w:color w:val="auto"/>
        </w:rPr>
      </w:pPr>
    </w:p>
    <w:p>
      <w:pPr>
        <w:jc w:val="both"/>
        <w:ind w:firstLine="1938"/>
        <w:spacing w:after="0" w:line="260" w:lineRule="auto"/>
        <w:tabs>
          <w:tab w:leader="none" w:pos="2183"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8" w:name="page149"/>
    <w:bookmarkEnd w:id="148"/>
    <w:p>
      <w:pPr>
        <w:jc w:val="both"/>
        <w:ind w:firstLine="1294"/>
        <w:spacing w:after="0" w:line="283" w:lineRule="auto"/>
        <w:tabs>
          <w:tab w:leader="none" w:pos="1479"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xml:space="preserve">. In addition to any adjustments pursuant to Section </w:t>
      </w:r>
      <w:r>
        <w:rPr>
          <w:rFonts w:ascii="Arial" w:cs="Arial" w:eastAsia="Arial" w:hAnsi="Arial"/>
          <w:sz w:val="19"/>
          <w:szCs w:val="19"/>
          <w:b w:val="1"/>
          <w:bCs w:val="1"/>
          <w:color w:val="auto"/>
        </w:rPr>
        <w:t>‎</w:t>
      </w:r>
      <w:r>
        <w:rPr>
          <w:rFonts w:ascii="Arial" w:cs="Arial" w:eastAsia="Arial" w:hAnsi="Arial"/>
          <w:sz w:val="16"/>
          <w:szCs w:val="16"/>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6" w:lineRule="exact"/>
        <w:rPr>
          <w:rFonts w:ascii="Arial" w:cs="Arial" w:eastAsia="Arial" w:hAnsi="Arial"/>
          <w:sz w:val="16"/>
          <w:szCs w:val="16"/>
          <w:color w:val="auto"/>
        </w:rPr>
      </w:pPr>
    </w:p>
    <w:p>
      <w:pPr>
        <w:ind w:left="1480" w:hanging="186"/>
        <w:spacing w:after="0"/>
        <w:tabs>
          <w:tab w:leader="none" w:pos="14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firstLine="1938"/>
        <w:spacing w:after="0" w:line="266" w:lineRule="auto"/>
        <w:tabs>
          <w:tab w:leader="none" w:pos="2173"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9" w:name="page150"/>
    <w:bookmarkEnd w:id="149"/>
    <w:p>
      <w:pPr>
        <w:ind w:left="2200" w:hanging="262"/>
        <w:spacing w:after="0"/>
        <w:tabs>
          <w:tab w:leader="none" w:pos="22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1" w:lineRule="exact"/>
        <w:rPr>
          <w:rFonts w:ascii="Arial" w:cs="Arial" w:eastAsia="Arial" w:hAnsi="Arial"/>
          <w:sz w:val="18"/>
          <w:szCs w:val="18"/>
          <w:color w:val="auto"/>
        </w:rPr>
      </w:pPr>
    </w:p>
    <w:p>
      <w:pPr>
        <w:jc w:val="both"/>
        <w:ind w:firstLine="2581"/>
        <w:spacing w:after="0" w:line="271" w:lineRule="auto"/>
        <w:tabs>
          <w:tab w:leader="none" w:pos="2792" w:val="left"/>
        </w:tabs>
        <w:numPr>
          <w:ilvl w:val="1"/>
          <w:numId w:val="146"/>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77" w:lineRule="exact"/>
        <w:rPr>
          <w:rFonts w:ascii="Arial" w:cs="Arial" w:eastAsia="Arial" w:hAnsi="Arial"/>
          <w:sz w:val="17"/>
          <w:szCs w:val="17"/>
          <w:color w:val="auto"/>
        </w:rPr>
      </w:pPr>
    </w:p>
    <w:p>
      <w:pPr>
        <w:jc w:val="both"/>
        <w:ind w:firstLine="2581"/>
        <w:spacing w:after="0" w:line="288" w:lineRule="auto"/>
        <w:tabs>
          <w:tab w:leader="none" w:pos="2854"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 of</w:t>
      </w:r>
    </w:p>
    <w:p>
      <w:pPr>
        <w:jc w:val="both"/>
        <w:spacing w:after="0" w:line="279" w:lineRule="auto"/>
        <w:rPr>
          <w:rFonts w:ascii="Arial" w:cs="Arial" w:eastAsia="Arial" w:hAnsi="Arial"/>
          <w:sz w:val="16"/>
          <w:szCs w:val="16"/>
          <w:color w:val="auto"/>
        </w:rPr>
      </w:pPr>
      <w:r>
        <w:rPr>
          <w:rFonts w:ascii="Arial" w:cs="Arial" w:eastAsia="Arial" w:hAnsi="Arial"/>
          <w:sz w:val="16"/>
          <w:szCs w:val="16"/>
          <w:color w:val="auto"/>
        </w:rPr>
        <w:t>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79"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 at its sole</w:t>
      </w:r>
    </w:p>
    <w:p>
      <w:pPr>
        <w:spacing w:after="0" w:line="7" w:lineRule="exact"/>
        <w:rPr>
          <w:rFonts w:ascii="Arial" w:cs="Arial" w:eastAsia="Arial" w:hAnsi="Arial"/>
          <w:sz w:val="16"/>
          <w:szCs w:val="16"/>
          <w:color w:val="auto"/>
        </w:rPr>
      </w:pPr>
    </w:p>
    <w:p>
      <w:pPr>
        <w:ind w:right="20"/>
        <w:spacing w:after="0" w:line="257" w:lineRule="auto"/>
        <w:rPr>
          <w:rFonts w:ascii="Arial" w:cs="Arial" w:eastAsia="Arial" w:hAnsi="Arial"/>
          <w:sz w:val="16"/>
          <w:szCs w:val="16"/>
          <w:color w:val="auto"/>
        </w:rPr>
      </w:pPr>
      <w:r>
        <w:rPr>
          <w:rFonts w:ascii="Arial" w:cs="Arial" w:eastAsia="Arial" w:hAnsi="Arial"/>
          <w:sz w:val="18"/>
          <w:szCs w:val="18"/>
          <w:color w:val="auto"/>
        </w:rPr>
        <w:t>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 at</w:t>
      </w:r>
      <w:r>
        <w:rPr>
          <w:rFonts w:ascii="Arial" w:cs="Arial" w:eastAsia="Arial" w:hAnsi="Arial"/>
          <w:sz w:val="17"/>
          <w:szCs w:val="17"/>
          <w:b w:val="1"/>
          <w:bCs w:val="1"/>
          <w:color w:val="auto"/>
        </w:rPr>
        <w:t xml:space="preserve"> </w:t>
      </w:r>
      <w:r>
        <w:rPr>
          <w:rFonts w:ascii="Arial" w:cs="Arial" w:eastAsia="Arial" w:hAnsi="Arial"/>
          <w:sz w:val="17"/>
          <w:szCs w:val="17"/>
          <w:color w:val="auto"/>
        </w:rPr>
        <w:t>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0" w:name="page151"/>
    <w:bookmarkEnd w:id="150"/>
    <w:p>
      <w:pPr>
        <w:jc w:val="both"/>
        <w:ind w:firstLine="1938"/>
        <w:spacing w:after="0" w:line="269" w:lineRule="auto"/>
        <w:tabs>
          <w:tab w:leader="none" w:pos="2187"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xml:space="preserve">. Notwithstanding the foregoing and the provisions of Section </w:t>
      </w:r>
      <w:r>
        <w:rPr>
          <w:rFonts w:ascii="Arial" w:cs="Arial" w:eastAsia="Arial" w:hAnsi="Arial"/>
          <w:sz w:val="20"/>
          <w:szCs w:val="20"/>
          <w:b w:val="1"/>
          <w:bCs w:val="1"/>
          <w:color w:val="auto"/>
        </w:rPr>
        <w:t>‎</w:t>
      </w:r>
      <w:r>
        <w:rPr>
          <w:rFonts w:ascii="Arial" w:cs="Arial" w:eastAsia="Arial" w:hAnsi="Arial"/>
          <w:sz w:val="17"/>
          <w:szCs w:val="17"/>
          <w:color w:val="auto"/>
        </w:rPr>
        <w:t>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65" w:lineRule="exact"/>
        <w:rPr>
          <w:rFonts w:ascii="Arial" w:cs="Arial" w:eastAsia="Arial" w:hAnsi="Arial"/>
          <w:sz w:val="17"/>
          <w:szCs w:val="17"/>
          <w:color w:val="auto"/>
        </w:rPr>
      </w:pPr>
    </w:p>
    <w:p>
      <w:pPr>
        <w:jc w:val="both"/>
        <w:ind w:firstLine="1938"/>
        <w:spacing w:after="0" w:line="297" w:lineRule="auto"/>
        <w:tabs>
          <w:tab w:leader="none" w:pos="2197"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8" w:lineRule="exact"/>
        <w:rPr>
          <w:rFonts w:ascii="Arial" w:cs="Arial" w:eastAsia="Arial" w:hAnsi="Arial"/>
          <w:sz w:val="16"/>
          <w:szCs w:val="16"/>
          <w:color w:val="auto"/>
        </w:rPr>
      </w:pPr>
    </w:p>
    <w:p>
      <w:pPr>
        <w:jc w:val="both"/>
        <w:ind w:firstLine="1294"/>
        <w:spacing w:after="0" w:line="266" w:lineRule="auto"/>
        <w:tabs>
          <w:tab w:leader="none" w:pos="1466"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1" w:name="page152"/>
    <w:bookmarkEnd w:id="151"/>
    <w:p>
      <w:pPr>
        <w:jc w:val="both"/>
        <w:ind w:firstLine="1294"/>
        <w:spacing w:after="0" w:line="284" w:lineRule="auto"/>
        <w:tabs>
          <w:tab w:leader="none" w:pos="1479"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168" w:lineRule="exact"/>
        <w:rPr>
          <w:rFonts w:ascii="Arial" w:cs="Arial" w:eastAsia="Arial" w:hAnsi="Arial"/>
          <w:sz w:val="16"/>
          <w:szCs w:val="16"/>
          <w:color w:val="auto"/>
        </w:rPr>
      </w:pPr>
    </w:p>
    <w:p>
      <w:pPr>
        <w:ind w:left="1480" w:hanging="186"/>
        <w:spacing w:after="0"/>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938"/>
        <w:spacing w:after="0" w:line="247" w:lineRule="auto"/>
        <w:tabs>
          <w:tab w:leader="none" w:pos="2173"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200" w:lineRule="exact"/>
        <w:rPr>
          <w:rFonts w:ascii="Arial" w:cs="Arial" w:eastAsia="Arial" w:hAnsi="Arial"/>
          <w:sz w:val="18"/>
          <w:szCs w:val="18"/>
          <w:color w:val="auto"/>
        </w:rPr>
      </w:pPr>
    </w:p>
    <w:p>
      <w:pPr>
        <w:jc w:val="both"/>
        <w:ind w:firstLine="1938"/>
        <w:spacing w:after="0" w:line="272" w:lineRule="auto"/>
        <w:tabs>
          <w:tab w:leader="none" w:pos="2183" w:val="left"/>
        </w:tabs>
        <w:numPr>
          <w:ilvl w:val="1"/>
          <w:numId w:val="149"/>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6" w:lineRule="exact"/>
        <w:rPr>
          <w:rFonts w:ascii="Arial" w:cs="Arial" w:eastAsia="Arial" w:hAnsi="Arial"/>
          <w:sz w:val="17"/>
          <w:szCs w:val="17"/>
          <w:color w:val="auto"/>
        </w:rPr>
      </w:pPr>
    </w:p>
    <w:p>
      <w:pPr>
        <w:jc w:val="both"/>
        <w:ind w:firstLine="1938"/>
        <w:spacing w:after="0" w:line="291" w:lineRule="auto"/>
        <w:tabs>
          <w:tab w:leader="none" w:pos="2173"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65" w:lineRule="exact"/>
        <w:rPr>
          <w:rFonts w:ascii="Arial" w:cs="Arial" w:eastAsia="Arial" w:hAnsi="Arial"/>
          <w:sz w:val="16"/>
          <w:szCs w:val="16"/>
          <w:color w:val="auto"/>
        </w:rPr>
      </w:pPr>
    </w:p>
    <w:p>
      <w:pPr>
        <w:jc w:val="both"/>
        <w:ind w:firstLine="1938"/>
        <w:spacing w:after="0" w:line="287" w:lineRule="auto"/>
        <w:tabs>
          <w:tab w:leader="none" w:pos="2183"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2" w:name="page153"/>
    <w:bookmarkEnd w:id="152"/>
    <w:p>
      <w:pPr>
        <w:jc w:val="both"/>
        <w:ind w:firstLine="1294"/>
        <w:spacing w:after="0" w:line="293" w:lineRule="auto"/>
        <w:tabs>
          <w:tab w:leader="none" w:pos="1479"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63" w:lineRule="exact"/>
        <w:rPr>
          <w:rFonts w:ascii="Arial" w:cs="Arial" w:eastAsia="Arial" w:hAnsi="Arial"/>
          <w:sz w:val="16"/>
          <w:szCs w:val="16"/>
          <w:color w:val="auto"/>
        </w:rPr>
      </w:pPr>
    </w:p>
    <w:p>
      <w:pPr>
        <w:jc w:val="both"/>
        <w:ind w:firstLine="1294"/>
        <w:spacing w:after="0" w:line="298" w:lineRule="auto"/>
        <w:tabs>
          <w:tab w:leader="none" w:pos="1466"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8" w:lineRule="exact"/>
        <w:rPr>
          <w:rFonts w:ascii="Arial" w:cs="Arial" w:eastAsia="Arial" w:hAnsi="Arial"/>
          <w:sz w:val="16"/>
          <w:szCs w:val="16"/>
          <w:color w:val="auto"/>
        </w:rPr>
      </w:pPr>
    </w:p>
    <w:p>
      <w:pPr>
        <w:jc w:val="both"/>
        <w:ind w:firstLine="1294"/>
        <w:spacing w:after="0" w:line="280" w:lineRule="auto"/>
        <w:tabs>
          <w:tab w:leader="none" w:pos="1555"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0"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90" w:lineRule="exact"/>
        <w:rPr>
          <w:rFonts w:ascii="Arial" w:cs="Arial" w:eastAsia="Arial" w:hAnsi="Arial"/>
          <w:sz w:val="16"/>
          <w:szCs w:val="16"/>
          <w:color w:val="auto"/>
        </w:rPr>
      </w:pPr>
    </w:p>
    <w:p>
      <w:pPr>
        <w:jc w:val="both"/>
        <w:ind w:firstLine="1294"/>
        <w:spacing w:after="0" w:line="298" w:lineRule="auto"/>
        <w:tabs>
          <w:tab w:leader="none" w:pos="1562"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3" w:name="page154"/>
    <w:bookmarkEnd w:id="153"/>
    <w:p>
      <w:pPr>
        <w:jc w:val="both"/>
        <w:ind w:firstLine="1294"/>
        <w:spacing w:after="0" w:line="265" w:lineRule="auto"/>
        <w:tabs>
          <w:tab w:leader="none" w:pos="1568"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185" w:lineRule="exact"/>
        <w:rPr>
          <w:rFonts w:ascii="Arial" w:cs="Arial" w:eastAsia="Arial" w:hAnsi="Arial"/>
          <w:sz w:val="17"/>
          <w:szCs w:val="17"/>
          <w:color w:val="auto"/>
        </w:rPr>
      </w:pPr>
    </w:p>
    <w:p>
      <w:pPr>
        <w:jc w:val="both"/>
        <w:ind w:firstLine="1294"/>
        <w:spacing w:after="0" w:line="269" w:lineRule="auto"/>
        <w:tabs>
          <w:tab w:leader="none" w:pos="1568"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2" w:lineRule="exact"/>
        <w:rPr>
          <w:rFonts w:ascii="Arial" w:cs="Arial" w:eastAsia="Arial" w:hAnsi="Arial"/>
          <w:sz w:val="17"/>
          <w:szCs w:val="17"/>
          <w:color w:val="auto"/>
        </w:rPr>
      </w:pPr>
    </w:p>
    <w:p>
      <w:pPr>
        <w:jc w:val="both"/>
        <w:ind w:firstLine="1294"/>
        <w:spacing w:after="0" w:line="256" w:lineRule="auto"/>
        <w:tabs>
          <w:tab w:leader="none" w:pos="1555"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9" w:lineRule="exact"/>
        <w:rPr>
          <w:rFonts w:ascii="Arial" w:cs="Arial" w:eastAsia="Arial" w:hAnsi="Arial"/>
          <w:sz w:val="18"/>
          <w:szCs w:val="18"/>
          <w:color w:val="auto"/>
        </w:rPr>
      </w:pPr>
    </w:p>
    <w:p>
      <w:pPr>
        <w:jc w:val="both"/>
        <w:ind w:firstLine="1294"/>
        <w:spacing w:after="0" w:line="268" w:lineRule="auto"/>
        <w:tabs>
          <w:tab w:leader="none" w:pos="1555"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4" w:name="page155"/>
    <w:bookmarkEnd w:id="154"/>
    <w:p>
      <w:pPr>
        <w:ind w:firstLine="1294"/>
        <w:spacing w:after="0" w:line="272" w:lineRule="auto"/>
        <w:tabs>
          <w:tab w:leader="none" w:pos="1555"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4" w:lineRule="exact"/>
        <w:rPr>
          <w:rFonts w:ascii="Arial" w:cs="Arial" w:eastAsia="Arial" w:hAnsi="Arial"/>
          <w:sz w:val="18"/>
          <w:szCs w:val="18"/>
          <w:color w:val="auto"/>
        </w:rPr>
      </w:pPr>
    </w:p>
    <w:p>
      <w:pPr>
        <w:ind w:left="1560" w:hanging="266"/>
        <w:spacing w:after="0"/>
        <w:tabs>
          <w:tab w:leader="none" w:pos="156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938"/>
        <w:spacing w:after="0" w:line="260" w:lineRule="auto"/>
        <w:tabs>
          <w:tab w:leader="none" w:pos="2173"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5" w:lineRule="exact"/>
        <w:rPr>
          <w:rFonts w:ascii="Arial" w:cs="Arial" w:eastAsia="Arial" w:hAnsi="Arial"/>
          <w:sz w:val="18"/>
          <w:szCs w:val="18"/>
          <w:color w:val="auto"/>
        </w:rPr>
      </w:pPr>
    </w:p>
    <w:p>
      <w:pPr>
        <w:jc w:val="both"/>
        <w:ind w:firstLine="1938"/>
        <w:spacing w:after="0" w:line="282" w:lineRule="auto"/>
        <w:tabs>
          <w:tab w:leader="none" w:pos="2183"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68" w:lineRule="exact"/>
        <w:rPr>
          <w:rFonts w:ascii="Arial" w:cs="Arial" w:eastAsia="Arial" w:hAnsi="Arial"/>
          <w:sz w:val="17"/>
          <w:szCs w:val="17"/>
          <w:color w:val="auto"/>
        </w:rPr>
      </w:pPr>
    </w:p>
    <w:p>
      <w:pPr>
        <w:jc w:val="both"/>
        <w:ind w:firstLine="1938"/>
        <w:spacing w:after="0" w:line="260" w:lineRule="auto"/>
        <w:tabs>
          <w:tab w:leader="none" w:pos="2173"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5" w:lineRule="exact"/>
        <w:rPr>
          <w:rFonts w:ascii="Arial" w:cs="Arial" w:eastAsia="Arial" w:hAnsi="Arial"/>
          <w:sz w:val="18"/>
          <w:szCs w:val="18"/>
          <w:color w:val="auto"/>
        </w:rPr>
      </w:pPr>
    </w:p>
    <w:p>
      <w:pPr>
        <w:ind w:left="2200" w:hanging="262"/>
        <w:spacing w:after="0"/>
        <w:tabs>
          <w:tab w:leader="none" w:pos="2200"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09" w:lineRule="exact"/>
        <w:rPr>
          <w:rFonts w:ascii="Arial" w:cs="Arial" w:eastAsia="Arial" w:hAnsi="Arial"/>
          <w:sz w:val="16"/>
          <w:szCs w:val="16"/>
          <w:color w:val="auto"/>
        </w:rPr>
      </w:pPr>
    </w:p>
    <w:p>
      <w:pPr>
        <w:jc w:val="both"/>
        <w:ind w:firstLine="1938"/>
        <w:spacing w:after="0" w:line="260" w:lineRule="auto"/>
        <w:tabs>
          <w:tab w:leader="none" w:pos="2187"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5" w:lineRule="exact"/>
        <w:rPr>
          <w:rFonts w:ascii="Arial" w:cs="Arial" w:eastAsia="Arial" w:hAnsi="Arial"/>
          <w:sz w:val="18"/>
          <w:szCs w:val="18"/>
          <w:color w:val="auto"/>
        </w:rPr>
      </w:pPr>
    </w:p>
    <w:p>
      <w:pPr>
        <w:jc w:val="both"/>
        <w:ind w:firstLine="1938"/>
        <w:spacing w:after="0" w:line="260" w:lineRule="auto"/>
        <w:tabs>
          <w:tab w:leader="none" w:pos="2153"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5" w:lineRule="exact"/>
        <w:rPr>
          <w:rFonts w:ascii="Arial" w:cs="Arial" w:eastAsia="Arial" w:hAnsi="Arial"/>
          <w:sz w:val="18"/>
          <w:szCs w:val="18"/>
          <w:color w:val="auto"/>
        </w:rPr>
      </w:pPr>
    </w:p>
    <w:p>
      <w:pPr>
        <w:jc w:val="both"/>
        <w:ind w:firstLine="1938"/>
        <w:spacing w:after="0" w:line="268" w:lineRule="auto"/>
        <w:tabs>
          <w:tab w:leader="none" w:pos="2197"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5" w:name="page156"/>
    <w:bookmarkEnd w:id="155"/>
    <w:p>
      <w:pPr>
        <w:jc w:val="both"/>
        <w:ind w:firstLine="1938"/>
        <w:spacing w:after="0" w:line="284" w:lineRule="auto"/>
        <w:tabs>
          <w:tab w:leader="none" w:pos="2197" w:val="left"/>
        </w:tabs>
        <w:numPr>
          <w:ilvl w:val="2"/>
          <w:numId w:val="153"/>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75" w:lineRule="exact"/>
        <w:rPr>
          <w:rFonts w:ascii="Arial" w:cs="Arial" w:eastAsia="Arial" w:hAnsi="Arial"/>
          <w:sz w:val="16"/>
          <w:szCs w:val="16"/>
          <w:color w:val="auto"/>
        </w:rPr>
      </w:pPr>
    </w:p>
    <w:p>
      <w:pPr>
        <w:jc w:val="both"/>
        <w:ind w:firstLine="1294"/>
        <w:spacing w:after="0" w:line="260" w:lineRule="auto"/>
        <w:tabs>
          <w:tab w:leader="none" w:pos="1568"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 except as set forth in (i) the SEC Reports or (ii) the draft Annual Report on Form 10-K for the fiscal year ended June 30, 2023 in the form provided to the Holder (the “</w:t>
      </w:r>
      <w:r>
        <w:rPr>
          <w:rFonts w:ascii="Arial" w:cs="Arial" w:eastAsia="Arial" w:hAnsi="Arial"/>
          <w:sz w:val="18"/>
          <w:szCs w:val="18"/>
          <w:b w:val="1"/>
          <w:bCs w:val="1"/>
          <w:i w:val="1"/>
          <w:iCs w:val="1"/>
          <w:color w:val="auto"/>
        </w:rPr>
        <w:t>2023 Form 10-K</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2200" w:hanging="262"/>
        <w:spacing w:after="0"/>
        <w:tabs>
          <w:tab w:leader="none" w:pos="2200" w:val="left"/>
        </w:tabs>
        <w:numPr>
          <w:ilvl w:val="2"/>
          <w:numId w:val="154"/>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3" w:lineRule="exact"/>
        <w:rPr>
          <w:rFonts w:ascii="Arial" w:cs="Arial" w:eastAsia="Arial" w:hAnsi="Arial"/>
          <w:sz w:val="16"/>
          <w:szCs w:val="16"/>
          <w:color w:val="auto"/>
        </w:rPr>
      </w:pPr>
    </w:p>
    <w:p>
      <w:pPr>
        <w:jc w:val="both"/>
        <w:ind w:firstLine="7"/>
        <w:spacing w:after="0" w:line="284" w:lineRule="auto"/>
        <w:tabs>
          <w:tab w:leader="none" w:pos="27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38"/>
        <w:spacing w:after="0" w:line="298" w:lineRule="auto"/>
        <w:tabs>
          <w:tab w:leader="none" w:pos="2231" w:val="left"/>
        </w:tabs>
        <w:numPr>
          <w:ilvl w:val="2"/>
          <w:numId w:val="155"/>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8" w:lineRule="exact"/>
        <w:rPr>
          <w:rFonts w:ascii="Arial" w:cs="Arial" w:eastAsia="Arial" w:hAnsi="Arial"/>
          <w:sz w:val="16"/>
          <w:szCs w:val="16"/>
          <w:color w:val="auto"/>
        </w:rPr>
      </w:pPr>
    </w:p>
    <w:p>
      <w:pPr>
        <w:jc w:val="both"/>
        <w:ind w:firstLine="1938"/>
        <w:spacing w:after="0" w:line="260" w:lineRule="auto"/>
        <w:tabs>
          <w:tab w:leader="none" w:pos="2177" w:val="left"/>
        </w:tabs>
        <w:numPr>
          <w:ilvl w:val="2"/>
          <w:numId w:val="155"/>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6" w:name="page157"/>
    <w:bookmarkEnd w:id="156"/>
    <w:p>
      <w:pPr>
        <w:jc w:val="both"/>
        <w:ind w:firstLine="1938"/>
        <w:spacing w:after="0" w:line="282" w:lineRule="auto"/>
        <w:tabs>
          <w:tab w:leader="none" w:pos="2203"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w:t>
      </w:r>
    </w:p>
    <w:p>
      <w:pPr>
        <w:ind w:firstLine="7"/>
        <w:spacing w:after="0" w:line="257" w:lineRule="auto"/>
        <w:tabs>
          <w:tab w:leader="none" w:pos="23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and (iii), would reasonably be expected to have a Company Material Adverse Effect or have a material adverse effect on the Company’s ability to consummate the transactions contemplated hereby.</w:t>
      </w:r>
    </w:p>
    <w:p>
      <w:pPr>
        <w:spacing w:after="0" w:line="187" w:lineRule="exact"/>
        <w:rPr>
          <w:rFonts w:ascii="Arial" w:cs="Arial" w:eastAsia="Arial" w:hAnsi="Arial"/>
          <w:sz w:val="18"/>
          <w:szCs w:val="18"/>
          <w:color w:val="auto"/>
        </w:rPr>
      </w:pPr>
    </w:p>
    <w:p>
      <w:pPr>
        <w:jc w:val="both"/>
        <w:ind w:firstLine="1938"/>
        <w:spacing w:after="0" w:line="269" w:lineRule="auto"/>
        <w:tabs>
          <w:tab w:leader="none" w:pos="2206"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82" w:lineRule="exact"/>
        <w:rPr>
          <w:rFonts w:ascii="Arial" w:cs="Arial" w:eastAsia="Arial" w:hAnsi="Arial"/>
          <w:sz w:val="17"/>
          <w:szCs w:val="17"/>
          <w:color w:val="auto"/>
        </w:rPr>
      </w:pPr>
    </w:p>
    <w:p>
      <w:pPr>
        <w:jc w:val="both"/>
        <w:ind w:firstLine="1938"/>
        <w:spacing w:after="0" w:line="283" w:lineRule="auto"/>
        <w:tabs>
          <w:tab w:leader="none" w:pos="217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b w:val="1"/>
          <w:bCs w:val="1"/>
          <w:i w:val="1"/>
          <w:iCs w:val="1"/>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Arial" w:cs="Arial" w:eastAsia="Arial" w:hAnsi="Arial"/>
          <w:sz w:val="16"/>
          <w:szCs w:val="16"/>
          <w:b w:val="1"/>
          <w:bCs w:val="1"/>
          <w:i w:val="1"/>
          <w:iCs w:val="1"/>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7" w:lineRule="exact"/>
        <w:rPr>
          <w:rFonts w:ascii="Arial" w:cs="Arial" w:eastAsia="Arial" w:hAnsi="Arial"/>
          <w:sz w:val="16"/>
          <w:szCs w:val="16"/>
          <w:color w:val="auto"/>
        </w:rPr>
      </w:pPr>
    </w:p>
    <w:p>
      <w:pPr>
        <w:jc w:val="both"/>
        <w:ind w:firstLine="1938"/>
        <w:spacing w:after="0" w:line="273" w:lineRule="auto"/>
        <w:tabs>
          <w:tab w:leader="none" w:pos="2195" w:val="left"/>
        </w:tabs>
        <w:numPr>
          <w:ilvl w:val="1"/>
          <w:numId w:val="157"/>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7" w:name="page158"/>
    <w:bookmarkEnd w:id="157"/>
    <w:p>
      <w:pPr>
        <w:jc w:val="both"/>
        <w:ind w:firstLine="1938"/>
        <w:spacing w:after="0" w:line="253" w:lineRule="auto"/>
        <w:tabs>
          <w:tab w:leader="none" w:pos="2195"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38"/>
        <w:spacing w:after="0" w:line="260" w:lineRule="auto"/>
        <w:tabs>
          <w:tab w:leader="none" w:pos="215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5" w:lineRule="exact"/>
        <w:rPr>
          <w:rFonts w:ascii="Arial" w:cs="Arial" w:eastAsia="Arial" w:hAnsi="Arial"/>
          <w:sz w:val="18"/>
          <w:szCs w:val="18"/>
          <w:color w:val="auto"/>
        </w:rPr>
      </w:pPr>
    </w:p>
    <w:p>
      <w:pPr>
        <w:jc w:val="both"/>
        <w:ind w:firstLine="1938"/>
        <w:spacing w:after="0" w:line="256" w:lineRule="auto"/>
        <w:tabs>
          <w:tab w:leader="none" w:pos="215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9" w:lineRule="exact"/>
        <w:rPr>
          <w:rFonts w:ascii="Arial" w:cs="Arial" w:eastAsia="Arial" w:hAnsi="Arial"/>
          <w:sz w:val="18"/>
          <w:szCs w:val="18"/>
          <w:color w:val="auto"/>
        </w:rPr>
      </w:pPr>
    </w:p>
    <w:p>
      <w:pPr>
        <w:jc w:val="both"/>
        <w:ind w:firstLine="1938"/>
        <w:spacing w:after="0" w:line="289" w:lineRule="auto"/>
        <w:tabs>
          <w:tab w:leader="none" w:pos="218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5" w:lineRule="exact"/>
        <w:rPr>
          <w:rFonts w:ascii="Arial" w:cs="Arial" w:eastAsia="Arial" w:hAnsi="Arial"/>
          <w:sz w:val="16"/>
          <w:szCs w:val="16"/>
          <w:color w:val="auto"/>
        </w:rPr>
      </w:pPr>
    </w:p>
    <w:p>
      <w:pPr>
        <w:ind w:left="1560" w:hanging="266"/>
        <w:spacing w:after="0"/>
        <w:tabs>
          <w:tab w:leader="none" w:pos="15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17" w:lineRule="exact"/>
        <w:rPr>
          <w:rFonts w:ascii="Arial" w:cs="Arial" w:eastAsia="Arial" w:hAnsi="Arial"/>
          <w:sz w:val="18"/>
          <w:szCs w:val="18"/>
          <w:color w:val="auto"/>
        </w:rPr>
      </w:pPr>
    </w:p>
    <w:p>
      <w:pPr>
        <w:jc w:val="both"/>
        <w:ind w:firstLine="1938"/>
        <w:spacing w:after="0" w:line="258" w:lineRule="auto"/>
        <w:tabs>
          <w:tab w:leader="none" w:pos="217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82" w:lineRule="exact"/>
        <w:rPr>
          <w:rFonts w:ascii="Arial" w:cs="Arial" w:eastAsia="Arial" w:hAnsi="Arial"/>
          <w:sz w:val="18"/>
          <w:szCs w:val="18"/>
          <w:color w:val="auto"/>
        </w:rPr>
      </w:pPr>
    </w:p>
    <w:p>
      <w:pPr>
        <w:ind w:firstLine="1938"/>
        <w:spacing w:after="0" w:line="276" w:lineRule="auto"/>
        <w:tabs>
          <w:tab w:leader="none" w:pos="218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8" w:name="page159"/>
    <w:bookmarkEnd w:id="158"/>
    <w:p>
      <w:pPr>
        <w:jc w:val="both"/>
        <w:ind w:firstLine="1938"/>
        <w:spacing w:after="0" w:line="262" w:lineRule="auto"/>
        <w:tabs>
          <w:tab w:leader="none" w:pos="22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80" w:lineRule="exact"/>
        <w:rPr>
          <w:rFonts w:ascii="Arial" w:cs="Arial" w:eastAsia="Arial" w:hAnsi="Arial"/>
          <w:sz w:val="18"/>
          <w:szCs w:val="18"/>
          <w:color w:val="auto"/>
        </w:rPr>
      </w:pPr>
    </w:p>
    <w:p>
      <w:pPr>
        <w:jc w:val="both"/>
        <w:ind w:firstLine="1938"/>
        <w:spacing w:after="0" w:line="292" w:lineRule="auto"/>
        <w:tabs>
          <w:tab w:leader="none" w:pos="221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8" w:lineRule="exact"/>
        <w:rPr>
          <w:rFonts w:ascii="Arial" w:cs="Arial" w:eastAsia="Arial" w:hAnsi="Arial"/>
          <w:sz w:val="16"/>
          <w:szCs w:val="16"/>
          <w:color w:val="auto"/>
        </w:rPr>
      </w:pPr>
    </w:p>
    <w:p>
      <w:pPr>
        <w:jc w:val="both"/>
        <w:ind w:firstLine="1938"/>
        <w:spacing w:after="0" w:line="265" w:lineRule="auto"/>
        <w:tabs>
          <w:tab w:leader="none" w:pos="2173"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5" w:lineRule="exact"/>
        <w:rPr>
          <w:rFonts w:ascii="Arial" w:cs="Arial" w:eastAsia="Arial" w:hAnsi="Arial"/>
          <w:sz w:val="17"/>
          <w:szCs w:val="17"/>
          <w:color w:val="auto"/>
        </w:rPr>
      </w:pPr>
    </w:p>
    <w:p>
      <w:pPr>
        <w:jc w:val="both"/>
        <w:ind w:firstLine="1938"/>
        <w:spacing w:after="0" w:line="264" w:lineRule="auto"/>
        <w:tabs>
          <w:tab w:leader="none" w:pos="216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9" w:name="page160"/>
    <w:bookmarkEnd w:id="159"/>
    <w:p>
      <w:pPr>
        <w:ind w:left="2200" w:hanging="262"/>
        <w:spacing w:after="0"/>
        <w:tabs>
          <w:tab w:leader="none" w:pos="22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1" w:lineRule="exact"/>
        <w:rPr>
          <w:rFonts w:ascii="Arial" w:cs="Arial" w:eastAsia="Arial" w:hAnsi="Arial"/>
          <w:sz w:val="18"/>
          <w:szCs w:val="18"/>
          <w:color w:val="auto"/>
        </w:rPr>
      </w:pPr>
    </w:p>
    <w:p>
      <w:pPr>
        <w:ind w:firstLine="1938"/>
        <w:spacing w:after="0" w:line="341" w:lineRule="auto"/>
        <w:tabs>
          <w:tab w:leader="none" w:pos="219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20" w:lineRule="exact"/>
        <w:rPr>
          <w:rFonts w:ascii="Arial" w:cs="Arial" w:eastAsia="Arial" w:hAnsi="Arial"/>
          <w:sz w:val="16"/>
          <w:szCs w:val="16"/>
          <w:color w:val="auto"/>
        </w:rPr>
      </w:pPr>
    </w:p>
    <w:p>
      <w:pPr>
        <w:jc w:val="both"/>
        <w:ind w:firstLine="1938"/>
        <w:spacing w:after="0" w:line="265" w:lineRule="auto"/>
        <w:tabs>
          <w:tab w:leader="none" w:pos="215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84" w:lineRule="exact"/>
        <w:rPr>
          <w:rFonts w:ascii="Arial" w:cs="Arial" w:eastAsia="Arial" w:hAnsi="Arial"/>
          <w:sz w:val="17"/>
          <w:szCs w:val="17"/>
          <w:color w:val="auto"/>
        </w:rPr>
      </w:pPr>
    </w:p>
    <w:p>
      <w:pPr>
        <w:ind w:firstLine="1938"/>
        <w:spacing w:after="0" w:line="307" w:lineRule="auto"/>
        <w:tabs>
          <w:tab w:leader="none" w:pos="214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43" w:lineRule="exact"/>
        <w:rPr>
          <w:rFonts w:ascii="Arial" w:cs="Arial" w:eastAsia="Arial" w:hAnsi="Arial"/>
          <w:sz w:val="17"/>
          <w:szCs w:val="17"/>
          <w:color w:val="auto"/>
        </w:rPr>
      </w:pPr>
    </w:p>
    <w:p>
      <w:pPr>
        <w:ind w:firstLine="1938"/>
        <w:spacing w:after="0" w:line="276" w:lineRule="auto"/>
        <w:tabs>
          <w:tab w:leader="none" w:pos="22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7" w:lineRule="exact"/>
        <w:rPr>
          <w:rFonts w:ascii="Arial" w:cs="Arial" w:eastAsia="Arial" w:hAnsi="Arial"/>
          <w:sz w:val="18"/>
          <w:szCs w:val="18"/>
          <w:color w:val="auto"/>
        </w:rPr>
      </w:pPr>
    </w:p>
    <w:p>
      <w:pPr>
        <w:ind w:right="20" w:firstLine="1938"/>
        <w:spacing w:after="0" w:line="276" w:lineRule="auto"/>
        <w:tabs>
          <w:tab w:leader="none" w:pos="215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7" w:lineRule="exact"/>
        <w:rPr>
          <w:rFonts w:ascii="Arial" w:cs="Arial" w:eastAsia="Arial" w:hAnsi="Arial"/>
          <w:sz w:val="18"/>
          <w:szCs w:val="18"/>
          <w:color w:val="auto"/>
        </w:rPr>
      </w:pPr>
    </w:p>
    <w:p>
      <w:pPr>
        <w:jc w:val="both"/>
        <w:ind w:firstLine="1938"/>
        <w:spacing w:after="0" w:line="283" w:lineRule="auto"/>
        <w:tabs>
          <w:tab w:leader="none" w:pos="224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Arial" w:cs="Arial" w:eastAsia="Arial" w:hAnsi="Arial"/>
          <w:sz w:val="16"/>
          <w:szCs w:val="16"/>
          <w:b w:val="1"/>
          <w:bCs w:val="1"/>
          <w:color w:val="auto"/>
        </w:rPr>
        <w:t>Metropolitan Entities</w:t>
      </w:r>
      <w:r>
        <w:rPr>
          <w:rFonts w:ascii="Arial" w:cs="Arial" w:eastAsia="Arial" w:hAnsi="Arial"/>
          <w:sz w:val="16"/>
          <w:szCs w:val="16"/>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and (E) this Warrant and any other warrant issued to the Metropolitan Entities in connection with the Third Amendment.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0" w:name="page161"/>
    <w:bookmarkEnd w:id="160"/>
    <w:p>
      <w:pPr>
        <w:ind w:firstLine="1938"/>
        <w:spacing w:after="0" w:line="307" w:lineRule="auto"/>
        <w:tabs>
          <w:tab w:leader="none" w:pos="2183" w:val="left"/>
        </w:tabs>
        <w:numPr>
          <w:ilvl w:val="1"/>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43" w:lineRule="exact"/>
        <w:rPr>
          <w:rFonts w:ascii="Arial" w:cs="Arial" w:eastAsia="Arial" w:hAnsi="Arial"/>
          <w:sz w:val="17"/>
          <w:szCs w:val="17"/>
          <w:color w:val="auto"/>
        </w:rPr>
      </w:pPr>
    </w:p>
    <w:p>
      <w:pPr>
        <w:jc w:val="both"/>
        <w:ind w:firstLine="1938"/>
        <w:spacing w:after="0" w:line="281" w:lineRule="auto"/>
        <w:tabs>
          <w:tab w:leader="none" w:pos="2224" w:val="left"/>
        </w:tabs>
        <w:numPr>
          <w:ilvl w:val="1"/>
          <w:numId w:val="1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w:t>
      </w:r>
    </w:p>
    <w:p>
      <w:pPr>
        <w:spacing w:after="0" w:line="1" w:lineRule="exact"/>
        <w:rPr>
          <w:rFonts w:ascii="Arial" w:cs="Arial" w:eastAsia="Arial" w:hAnsi="Arial"/>
          <w:sz w:val="16"/>
          <w:szCs w:val="16"/>
          <w:color w:val="auto"/>
        </w:rPr>
      </w:pPr>
    </w:p>
    <w:p>
      <w:pPr>
        <w:jc w:val="both"/>
        <w:ind w:firstLine="7"/>
        <w:spacing w:after="0" w:line="282" w:lineRule="auto"/>
        <w:tabs>
          <w:tab w:leader="none" w:pos="30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1" w:name="page162"/>
    <w:bookmarkEnd w:id="161"/>
    <w:p>
      <w:pPr>
        <w:ind w:left="2200" w:hanging="262"/>
        <w:spacing w:after="0"/>
        <w:tabs>
          <w:tab w:leader="none" w:pos="22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a “group” as that term is used in Section 13(d) of the Exchange Act and as defined in Rule 13d-5 thereunder.</w:t>
      </w:r>
    </w:p>
    <w:p>
      <w:pPr>
        <w:spacing w:after="0" w:line="244" w:lineRule="exact"/>
        <w:rPr>
          <w:rFonts w:ascii="Arial" w:cs="Arial" w:eastAsia="Arial" w:hAnsi="Arial"/>
          <w:sz w:val="16"/>
          <w:szCs w:val="16"/>
          <w:color w:val="auto"/>
        </w:rPr>
      </w:pPr>
    </w:p>
    <w:p>
      <w:pPr>
        <w:ind w:left="2220" w:hanging="282"/>
        <w:spacing w:after="0"/>
        <w:tabs>
          <w:tab w:leader="none" w:pos="222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5" w:lineRule="exact"/>
        <w:rPr>
          <w:sz w:val="20"/>
          <w:szCs w:val="20"/>
          <w:color w:val="auto"/>
        </w:rPr>
      </w:pPr>
    </w:p>
    <w:p>
      <w:pPr>
        <w:jc w:val="both"/>
        <w:ind w:firstLine="1938"/>
        <w:spacing w:after="0" w:line="255" w:lineRule="auto"/>
        <w:tabs>
          <w:tab w:leader="none" w:pos="215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7" w:lineRule="exact"/>
        <w:rPr>
          <w:rFonts w:ascii="Arial" w:cs="Arial" w:eastAsia="Arial" w:hAnsi="Arial"/>
          <w:sz w:val="18"/>
          <w:szCs w:val="18"/>
          <w:color w:val="auto"/>
        </w:rPr>
      </w:pPr>
    </w:p>
    <w:p>
      <w:pPr>
        <w:ind w:right="20" w:firstLine="1938"/>
        <w:spacing w:after="0" w:line="276" w:lineRule="auto"/>
        <w:tabs>
          <w:tab w:leader="none" w:pos="217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7" w:lineRule="exact"/>
        <w:rPr>
          <w:rFonts w:ascii="Arial" w:cs="Arial" w:eastAsia="Arial" w:hAnsi="Arial"/>
          <w:sz w:val="18"/>
          <w:szCs w:val="18"/>
          <w:color w:val="auto"/>
        </w:rPr>
      </w:pPr>
    </w:p>
    <w:p>
      <w:pPr>
        <w:ind w:firstLine="1938"/>
        <w:spacing w:after="0" w:line="276" w:lineRule="auto"/>
        <w:tabs>
          <w:tab w:leader="none" w:pos="21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7" w:lineRule="exact"/>
        <w:rPr>
          <w:rFonts w:ascii="Arial" w:cs="Arial" w:eastAsia="Arial" w:hAnsi="Arial"/>
          <w:sz w:val="18"/>
          <w:szCs w:val="18"/>
          <w:color w:val="auto"/>
        </w:rPr>
      </w:pPr>
    </w:p>
    <w:p>
      <w:pPr>
        <w:ind w:left="2200" w:hanging="262"/>
        <w:spacing w:after="0"/>
        <w:tabs>
          <w:tab w:leader="none" w:pos="22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1" w:lineRule="exact"/>
        <w:rPr>
          <w:rFonts w:ascii="Arial" w:cs="Arial" w:eastAsia="Arial" w:hAnsi="Arial"/>
          <w:sz w:val="18"/>
          <w:szCs w:val="18"/>
          <w:color w:val="auto"/>
        </w:rPr>
      </w:pPr>
    </w:p>
    <w:p>
      <w:pPr>
        <w:ind w:left="2200" w:hanging="262"/>
        <w:spacing w:after="0"/>
        <w:tabs>
          <w:tab w:leader="none" w:pos="22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4" w:lineRule="exact"/>
        <w:rPr>
          <w:rFonts w:ascii="Arial" w:cs="Arial" w:eastAsia="Arial" w:hAnsi="Arial"/>
          <w:sz w:val="16"/>
          <w:szCs w:val="16"/>
          <w:color w:val="auto"/>
        </w:rPr>
      </w:pPr>
    </w:p>
    <w:p>
      <w:pPr>
        <w:jc w:val="both"/>
        <w:ind w:firstLine="1938"/>
        <w:spacing w:after="0" w:line="262" w:lineRule="auto"/>
        <w:tabs>
          <w:tab w:leader="none" w:pos="223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2" w:name="page163"/>
    <w:bookmarkEnd w:id="162"/>
    <w:p>
      <w:pPr>
        <w:jc w:val="both"/>
        <w:ind w:firstLine="1938"/>
        <w:spacing w:after="0" w:line="295" w:lineRule="auto"/>
        <w:tabs>
          <w:tab w:leader="none" w:pos="218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6" w:lineRule="exact"/>
        <w:rPr>
          <w:rFonts w:ascii="Arial" w:cs="Arial" w:eastAsia="Arial" w:hAnsi="Arial"/>
          <w:sz w:val="16"/>
          <w:szCs w:val="16"/>
          <w:color w:val="auto"/>
        </w:rPr>
      </w:pPr>
    </w:p>
    <w:p>
      <w:pPr>
        <w:jc w:val="both"/>
        <w:ind w:firstLine="1938"/>
        <w:spacing w:after="0" w:line="283" w:lineRule="auto"/>
        <w:tabs>
          <w:tab w:leader="none" w:pos="218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19"/>
          <w:szCs w:val="19"/>
          <w:b w:val="1"/>
          <w:bCs w:val="1"/>
          <w:color w:val="auto"/>
        </w:rPr>
        <w:t>‎</w:t>
      </w:r>
      <w:r>
        <w:rPr>
          <w:rFonts w:ascii="Arial" w:cs="Arial" w:eastAsia="Arial" w:hAnsi="Arial"/>
          <w:sz w:val="16"/>
          <w:szCs w:val="16"/>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3" w:name="page164"/>
    <w:bookmarkEnd w:id="163"/>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Xavier Casanova</w:t>
      </w:r>
    </w:p>
    <w:p>
      <w:pPr>
        <w:spacing w:after="0" w:line="3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-130175</wp:posOffset>
            </wp:positionV>
            <wp:extent cx="249428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4"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431165</wp:posOffset>
            </wp:positionV>
            <wp:extent cx="713359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164" w:name="page165"/>
    <w:bookmarkEnd w:id="164"/>
    <w:p>
      <w:pPr>
        <w:ind w:left="10320"/>
        <w:spacing w:after="0"/>
        <w:rPr>
          <w:sz w:val="20"/>
          <w:szCs w:val="20"/>
          <w:color w:val="auto"/>
        </w:rPr>
      </w:pPr>
      <w:r>
        <w:rPr>
          <w:rFonts w:ascii="Arial" w:cs="Arial" w:eastAsia="Arial" w:hAnsi="Arial"/>
          <w:sz w:val="18"/>
          <w:szCs w:val="18"/>
          <w:b w:val="1"/>
          <w:bCs w:val="1"/>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holder hereby exercises the right to purchase _________________ 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Presto</w:t>
      </w:r>
    </w:p>
    <w:p>
      <w:pPr>
        <w:spacing w:after="0" w:line="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Automation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evidenced by the attached Warrant to Purchase Common Stock (the “</w:t>
      </w:r>
      <w:r>
        <w:rPr>
          <w:rFonts w:ascii="Arial" w:cs="Arial" w:eastAsia="Arial" w:hAnsi="Arial"/>
          <w:sz w:val="18"/>
          <w:szCs w:val="18"/>
          <w:b w:val="1"/>
          <w:bCs w:val="1"/>
          <w:color w:val="auto"/>
        </w:rPr>
        <w:t>Warrant</w:t>
      </w:r>
      <w:r>
        <w:rPr>
          <w:rFonts w:ascii="Arial" w:cs="Arial" w:eastAsia="Arial" w:hAnsi="Arial"/>
          <w:sz w:val="18"/>
          <w:szCs w:val="18"/>
          <w:color w:val="auto"/>
        </w:rPr>
        <w:t>”). Capitalized terms used herein and not otherwise defined shall have the respective meanings set forth in the Warrant.</w:t>
      </w:r>
    </w:p>
    <w:p>
      <w:pPr>
        <w:spacing w:after="0" w:line="187" w:lineRule="exact"/>
        <w:rPr>
          <w:sz w:val="20"/>
          <w:szCs w:val="20"/>
          <w:color w:val="auto"/>
        </w:rPr>
      </w:pPr>
    </w:p>
    <w:p>
      <w:pPr>
        <w:ind w:left="820" w:hanging="169"/>
        <w:spacing w:after="0"/>
        <w:tabs>
          <w:tab w:leader="none" w:pos="8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Form of Exercise Price. The Holder intends that payment of the Exercise Price shall be made as:</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_________________ Warrant Shares; and/or</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with respect to _______________ Warrant Shares.</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4" w:lineRule="exact"/>
        <w:rPr>
          <w:sz w:val="20"/>
          <w:szCs w:val="20"/>
          <w:color w:val="auto"/>
        </w:rPr>
      </w:pPr>
    </w:p>
    <w:p>
      <w:pPr>
        <w:jc w:val="both"/>
        <w:ind w:firstLine="651"/>
        <w:spacing w:after="0" w:line="260" w:lineRule="auto"/>
        <w:tabs>
          <w:tab w:leader="none" w:pos="82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5" w:lineRule="exact"/>
        <w:rPr>
          <w:rFonts w:ascii="Arial" w:cs="Arial" w:eastAsia="Arial" w:hAnsi="Arial"/>
          <w:sz w:val="18"/>
          <w:szCs w:val="18"/>
          <w:color w:val="auto"/>
        </w:rPr>
      </w:pPr>
    </w:p>
    <w:p>
      <w:pPr>
        <w:ind w:left="820" w:hanging="169"/>
        <w:spacing w:after="0"/>
        <w:tabs>
          <w:tab w:leader="none" w:pos="8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3"/>
          </w:tcPr>
          <w:p>
            <w:pPr>
              <w:ind w:left="46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760" w:type="dxa"/>
            <w:vAlign w:val="bottom"/>
            <w:gridSpan w:val="2"/>
          </w:tcPr>
          <w:p>
            <w:pPr>
              <w:ind w:left="460"/>
              <w:spacing w:after="0" w:line="201" w:lineRule="exact"/>
              <w:rPr>
                <w:sz w:val="20"/>
                <w:szCs w:val="20"/>
                <w:color w:val="auto"/>
              </w:rPr>
            </w:pPr>
            <w:r>
              <w:rPr>
                <w:rFonts w:ascii="Arial" w:cs="Arial" w:eastAsia="Arial" w:hAnsi="Arial"/>
                <w:sz w:val="18"/>
                <w:szCs w:val="18"/>
                <w:color w:val="auto"/>
              </w:rPr>
              <w:t>DTC Number:</w:t>
            </w:r>
          </w:p>
        </w:tc>
        <w:tc>
          <w:tcPr>
            <w:tcW w:w="49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760" w:type="dxa"/>
            <w:vAlign w:val="bottom"/>
            <w:gridSpan w:val="2"/>
          </w:tcPr>
          <w:p>
            <w:pPr>
              <w:ind w:left="460"/>
              <w:spacing w:after="0" w:line="200" w:lineRule="exact"/>
              <w:rPr>
                <w:sz w:val="20"/>
                <w:szCs w:val="20"/>
                <w:color w:val="auto"/>
              </w:rPr>
            </w:pPr>
            <w:r>
              <w:rPr>
                <w:rFonts w:ascii="Arial" w:cs="Arial" w:eastAsia="Arial" w:hAnsi="Arial"/>
                <w:sz w:val="18"/>
                <w:szCs w:val="18"/>
                <w:color w:val="auto"/>
              </w:rPr>
              <w:t>Account Name:</w:t>
            </w:r>
          </w:p>
        </w:tc>
        <w:tc>
          <w:tcPr>
            <w:tcW w:w="4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760" w:type="dxa"/>
            <w:vAlign w:val="bottom"/>
            <w:gridSpan w:val="2"/>
          </w:tcPr>
          <w:p>
            <w:pPr>
              <w:ind w:left="460"/>
              <w:spacing w:after="0" w:line="200" w:lineRule="exact"/>
              <w:rPr>
                <w:sz w:val="20"/>
                <w:szCs w:val="20"/>
                <w:color w:val="auto"/>
              </w:rPr>
            </w:pPr>
            <w:r>
              <w:rPr>
                <w:rFonts w:ascii="Arial" w:cs="Arial" w:eastAsia="Arial" w:hAnsi="Arial"/>
                <w:sz w:val="18"/>
                <w:szCs w:val="18"/>
                <w:color w:val="auto"/>
                <w:w w:val="92"/>
              </w:rPr>
              <w:t>Account Number:</w:t>
            </w:r>
          </w:p>
        </w:tc>
        <w:tc>
          <w:tcPr>
            <w:tcW w:w="4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3"/>
          </w:tcPr>
          <w:p>
            <w:pPr>
              <w:ind w:left="60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1"/>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17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9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52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520" w:type="dxa"/>
            <w:vAlign w:val="bottom"/>
            <w:tcBorders>
              <w:bottom w:val="single" w:sz="8" w:color="auto"/>
            </w:tcBorders>
            <w:gridSpan w:val="2"/>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520" w:type="dxa"/>
            <w:vAlign w:val="bottom"/>
            <w:gridSpan w:val="2"/>
          </w:tcPr>
          <w:p>
            <w:pPr>
              <w:spacing w:after="0"/>
              <w:rPr>
                <w:sz w:val="20"/>
                <w:szCs w:val="20"/>
                <w:color w:val="auto"/>
              </w:rPr>
            </w:pPr>
            <w:r>
              <w:rPr>
                <w:rFonts w:ascii="Arial" w:cs="Arial" w:eastAsia="Arial" w:hAnsi="Arial"/>
                <w:sz w:val="18"/>
                <w:szCs w:val="18"/>
                <w:color w:val="auto"/>
              </w:rPr>
              <w:t>Name of Registered Holder</w:t>
            </w: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20" w:type="dxa"/>
            <w:vAlign w:val="bottom"/>
            <w:gridSpan w:val="2"/>
          </w:tcPr>
          <w:p>
            <w:pPr>
              <w:ind w:left="460"/>
              <w:spacing w:after="0"/>
              <w:rPr>
                <w:sz w:val="20"/>
                <w:szCs w:val="20"/>
                <w:color w:val="auto"/>
              </w:rPr>
            </w:pPr>
            <w:r>
              <w:rPr>
                <w:rFonts w:ascii="Arial" w:cs="Arial" w:eastAsia="Arial" w:hAnsi="Arial"/>
                <w:sz w:val="18"/>
                <w:szCs w:val="18"/>
                <w:color w:val="auto"/>
              </w:rPr>
              <w:t>Title:</w:t>
            </w: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9"/>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9"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5080</wp:posOffset>
            </wp:positionV>
            <wp:extent cx="249428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 w:lineRule="exact"/>
        <w:rPr>
          <w:sz w:val="20"/>
          <w:szCs w:val="20"/>
          <w:color w:val="auto"/>
        </w:rPr>
      </w:pPr>
    </w:p>
    <w:p>
      <w:pPr>
        <w:ind w:left="6760"/>
        <w:spacing w:after="0"/>
        <w:tabs>
          <w:tab w:leader="none" w:pos="7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431165</wp:posOffset>
            </wp:positionV>
            <wp:extent cx="71335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color w:val="auto"/>
        </w:rPr>
        <w:t>ASSIGNMENT FORM</w:t>
      </w:r>
    </w:p>
    <w:p>
      <w:pPr>
        <w:spacing w:after="0" w:line="22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this form and supply required information.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 not use this form to exercise the warrant.)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22"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320040</wp:posOffset>
            </wp:positionV>
            <wp:extent cx="5354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535432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167005</wp:posOffset>
            </wp:positionV>
            <wp:extent cx="5354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535432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5354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5354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Dated: __________________, ____</w:t>
      </w:r>
    </w:p>
    <w:p>
      <w:pPr>
        <w:spacing w:after="0" w:line="22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Holder’s Signature:</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175895</wp:posOffset>
            </wp:positionV>
            <wp:extent cx="213677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2136775" cy="1714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22225</wp:posOffset>
            </wp:positionV>
            <wp:extent cx="213677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2136775" cy="1714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-130175</wp:posOffset>
            </wp:positionV>
            <wp:extent cx="213677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2136775"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392430</wp:posOffset>
            </wp:positionV>
            <wp:extent cx="713359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7" w:name="page168"/>
    <w:bookmarkEnd w:id="167"/>
    <w:p>
      <w:pPr>
        <w:ind w:left="10320"/>
        <w:spacing w:after="0"/>
        <w:rPr>
          <w:sz w:val="20"/>
          <w:szCs w:val="20"/>
          <w:color w:val="auto"/>
        </w:rPr>
      </w:pPr>
      <w:r>
        <w:rPr>
          <w:rFonts w:ascii="Arial" w:cs="Arial" w:eastAsia="Arial" w:hAnsi="Arial"/>
          <w:sz w:val="16"/>
          <w:szCs w:val="16"/>
          <w:b w:val="1"/>
          <w:bCs w:val="1"/>
          <w:color w:val="auto"/>
        </w:rPr>
        <w:t>Exhibit 4.35</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2023-12</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381,900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16,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5" w:lineRule="exact"/>
        <w:rPr>
          <w:sz w:val="20"/>
          <w:szCs w:val="20"/>
          <w:color w:val="auto"/>
        </w:rPr>
      </w:pPr>
    </w:p>
    <w:p>
      <w:pPr>
        <w:jc w:val="both"/>
        <w:ind w:firstLine="1287"/>
        <w:spacing w:after="0" w:line="267" w:lineRule="auto"/>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certifies that, for good and valuable consideration, the receipt and sufficiency of which are hereby acknowledged, CEOF Holdings, LP, the registered holder hereof or its permitted assigns (the “</w:t>
      </w:r>
      <w:r>
        <w:rPr>
          <w:rFonts w:ascii="Arial" w:cs="Arial" w:eastAsia="Arial" w:hAnsi="Arial"/>
          <w:sz w:val="17"/>
          <w:szCs w:val="17"/>
          <w:b w:val="1"/>
          <w:bCs w:val="1"/>
          <w:color w:val="auto"/>
        </w:rPr>
        <w:t>Holder</w:t>
      </w:r>
      <w:r>
        <w:rPr>
          <w:rFonts w:ascii="Arial" w:cs="Arial" w:eastAsia="Arial" w:hAnsi="Arial"/>
          <w:sz w:val="17"/>
          <w:szCs w:val="17"/>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381,900 duly authorized, validly issued, fully paid, nonassessable shares of Common Stock, subject to adjustment as provided herein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7"/>
          <w:szCs w:val="17"/>
          <w:b w:val="1"/>
          <w:bCs w:val="1"/>
          <w:color w:val="auto"/>
        </w:rPr>
        <w:t>Warrant</w:t>
      </w:r>
      <w:r>
        <w:rPr>
          <w:rFonts w:ascii="Arial" w:cs="Arial" w:eastAsia="Arial" w:hAnsi="Arial"/>
          <w:sz w:val="17"/>
          <w:szCs w:val="17"/>
          <w:color w:val="auto"/>
        </w:rPr>
        <w:t>”) shall have the meanings set forth in Section 17‎. This Warrant is being issued pursuant to Section 3 of that certain Third Amendment to Credit Agreement, dated October 10, 2023, among E La Carte, LLC, the Company and Metropolitan Partners Group Administration, LLC, as agent (the “</w:t>
      </w:r>
      <w:r>
        <w:rPr>
          <w:rFonts w:ascii="Arial" w:cs="Arial" w:eastAsia="Arial" w:hAnsi="Arial"/>
          <w:sz w:val="17"/>
          <w:szCs w:val="17"/>
          <w:b w:val="1"/>
          <w:bCs w:val="1"/>
          <w:color w:val="auto"/>
        </w:rPr>
        <w:t>Third Amendment</w:t>
      </w:r>
      <w:r>
        <w:rPr>
          <w:rFonts w:ascii="Arial" w:cs="Arial" w:eastAsia="Arial" w:hAnsi="Arial"/>
          <w:sz w:val="17"/>
          <w:szCs w:val="17"/>
          <w:color w:val="auto"/>
        </w:rPr>
        <w:t>”), and to Section 7 of that certain Third Amended and Restated Fee Letter, dated October 10, 2023, among E La Carte, LLC, the Company and Metropolitan Partners Group Administration (the “</w:t>
      </w:r>
      <w:r>
        <w:rPr>
          <w:rFonts w:ascii="Arial" w:cs="Arial" w:eastAsia="Arial" w:hAnsi="Arial"/>
          <w:sz w:val="17"/>
          <w:szCs w:val="17"/>
          <w:b w:val="1"/>
          <w:bCs w:val="1"/>
          <w:color w:val="auto"/>
        </w:rPr>
        <w:t>Fee Letter</w:t>
      </w:r>
      <w:r>
        <w:rPr>
          <w:rFonts w:ascii="Arial" w:cs="Arial" w:eastAsia="Arial" w:hAnsi="Arial"/>
          <w:sz w:val="17"/>
          <w:szCs w:val="17"/>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713359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ind w:left="1480" w:hanging="186"/>
        <w:spacing w:after="0"/>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1" w:lineRule="exact"/>
        <w:rPr>
          <w:rFonts w:ascii="Arial" w:cs="Arial" w:eastAsia="Arial" w:hAnsi="Arial"/>
          <w:sz w:val="18"/>
          <w:szCs w:val="18"/>
          <w:color w:val="auto"/>
        </w:rPr>
      </w:pPr>
    </w:p>
    <w:p>
      <w:pPr>
        <w:jc w:val="both"/>
        <w:ind w:firstLine="1938"/>
        <w:spacing w:after="0" w:line="279" w:lineRule="auto"/>
        <w:tabs>
          <w:tab w:leader="none" w:pos="2173"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 agree that, by reason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 (3rd) Trading Day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69" w:name="page170"/>
    <w:bookmarkEnd w:id="169"/>
    <w:p>
      <w:pPr>
        <w:ind w:left="2200" w:hanging="262"/>
        <w:spacing w:after="0"/>
        <w:tabs>
          <w:tab w:leader="none" w:pos="2200"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37" w:lineRule="exact"/>
        <w:rPr>
          <w:rFonts w:ascii="Arial" w:cs="Arial" w:eastAsia="Arial" w:hAnsi="Arial"/>
          <w:sz w:val="17"/>
          <w:szCs w:val="17"/>
          <w:color w:val="auto"/>
        </w:rPr>
      </w:pPr>
    </w:p>
    <w:p>
      <w:pPr>
        <w:jc w:val="both"/>
        <w:ind w:firstLine="1938"/>
        <w:spacing w:after="0" w:line="279" w:lineRule="auto"/>
        <w:tabs>
          <w:tab w:leader="none" w:pos="2173"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w:t>
      </w:r>
    </w:p>
    <w:p>
      <w:pPr>
        <w:spacing w:after="0" w:line="13" w:lineRule="exact"/>
        <w:rPr>
          <w:rFonts w:ascii="Arial" w:cs="Arial" w:eastAsia="Arial" w:hAnsi="Arial"/>
          <w:sz w:val="16"/>
          <w:szCs w:val="16"/>
          <w:color w:val="auto"/>
        </w:rPr>
      </w:pPr>
    </w:p>
    <w:p>
      <w:pPr>
        <w:jc w:val="both"/>
        <w:ind w:firstLine="7"/>
        <w:spacing w:after="0" w:line="250" w:lineRule="auto"/>
        <w:tabs>
          <w:tab w:leader="none" w:pos="30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such number of Warrant Shares multiplied by (B) the Closing Sale Price of the Common Stock on the Share Delivery Date with respect to the related Exercise Notice (the “</w:t>
      </w:r>
      <w:r>
        <w:rPr>
          <w:rFonts w:ascii="Arial" w:cs="Arial" w:eastAsia="Arial" w:hAnsi="Arial"/>
          <w:sz w:val="18"/>
          <w:szCs w:val="18"/>
          <w:b w:val="1"/>
          <w:bCs w:val="1"/>
          <w:color w:val="auto"/>
        </w:rPr>
        <w:t>Buy-In Payment Amount</w:t>
      </w:r>
      <w:r>
        <w:rPr>
          <w:rFonts w:ascii="Arial" w:cs="Arial" w:eastAsia="Arial" w:hAnsi="Arial"/>
          <w:sz w:val="18"/>
          <w:szCs w:val="18"/>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0" w:name="page171"/>
    <w:bookmarkEnd w:id="170"/>
    <w:p>
      <w:pPr>
        <w:jc w:val="both"/>
        <w:ind w:firstLine="1938"/>
        <w:spacing w:after="0" w:line="294" w:lineRule="auto"/>
        <w:tabs>
          <w:tab w:leader="none" w:pos="2183"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contained herein to the contrary (other than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19"/>
          <w:szCs w:val="19"/>
          <w:b w:val="1"/>
          <w:bCs w:val="1"/>
          <w:color w:val="auto"/>
        </w:rPr>
        <w:t>‎</w:t>
      </w:r>
      <w:r>
        <w:rPr>
          <w:rFonts w:ascii="Arial" w:cs="Arial" w:eastAsia="Arial" w:hAnsi="Arial"/>
          <w:sz w:val="16"/>
          <w:szCs w:val="16"/>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0"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B</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2" w:lineRule="exact"/>
        <w:rPr>
          <w:sz w:val="20"/>
          <w:szCs w:val="20"/>
          <w:color w:val="auto"/>
        </w:rPr>
      </w:pPr>
    </w:p>
    <w:p>
      <w:pPr>
        <w:ind w:left="1300"/>
        <w:spacing w:after="0" w:line="336"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5" w:lineRule="exact"/>
        <w:rPr>
          <w:sz w:val="20"/>
          <w:szCs w:val="20"/>
          <w:color w:val="auto"/>
        </w:rPr>
      </w:pPr>
    </w:p>
    <w:p>
      <w:pPr>
        <w:jc w:val="both"/>
        <w:ind w:firstLine="1938"/>
        <w:spacing w:after="0" w:line="261" w:lineRule="auto"/>
        <w:tabs>
          <w:tab w:leader="none" w:pos="2173"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1" w:name="page172"/>
    <w:bookmarkEnd w:id="171"/>
    <w:p>
      <w:pPr>
        <w:jc w:val="both"/>
        <w:ind w:firstLine="1938"/>
        <w:spacing w:after="0" w:line="278" w:lineRule="auto"/>
        <w:tabs>
          <w:tab w:leader="none" w:pos="2180"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spacing w:after="0" w:line="16" w:lineRule="exact"/>
        <w:rPr>
          <w:rFonts w:ascii="Arial" w:cs="Arial" w:eastAsia="Arial" w:hAnsi="Arial"/>
          <w:sz w:val="16"/>
          <w:szCs w:val="16"/>
          <w:color w:val="auto"/>
        </w:rPr>
      </w:pPr>
    </w:p>
    <w:p>
      <w:pPr>
        <w:jc w:val="both"/>
        <w:ind w:firstLine="7"/>
        <w:spacing w:after="0" w:line="278" w:lineRule="auto"/>
        <w:tabs>
          <w:tab w:leader="none" w:pos="26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be deemed null and void and shall be cancelled ab initio, and the Holder shall not have the power to vote or to transfer the Excess Shares.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Arial" w:cs="Arial" w:eastAsia="Arial" w:hAnsi="Arial"/>
          <w:sz w:val="16"/>
          <w:szCs w:val="16"/>
          <w:b w:val="1"/>
          <w:bCs w:val="1"/>
          <w:color w:val="auto"/>
        </w:rPr>
        <w:t>Third Amendment Warrants</w:t>
      </w:r>
      <w:r>
        <w:rPr>
          <w:rFonts w:ascii="Arial" w:cs="Arial" w:eastAsia="Arial" w:hAnsi="Arial"/>
          <w:sz w:val="16"/>
          <w:szCs w:val="16"/>
          <w:color w:val="auto"/>
        </w:rPr>
        <w:t>”), together with the total number of shares of Common Stock issued pursuant to Section 4.11 of the stock purchase agreement, dated October 10, 2023 (the “</w:t>
      </w:r>
      <w:r>
        <w:rPr>
          <w:rFonts w:ascii="Arial" w:cs="Arial" w:eastAsia="Arial" w:hAnsi="Arial"/>
          <w:sz w:val="16"/>
          <w:szCs w:val="16"/>
          <w:b w:val="1"/>
          <w:bCs w:val="1"/>
          <w:color w:val="auto"/>
        </w:rPr>
        <w:t>Cleveland Avenue Purchase Agreement</w:t>
      </w:r>
      <w:r>
        <w:rPr>
          <w:rFonts w:ascii="Arial" w:cs="Arial" w:eastAsia="Arial" w:hAnsi="Arial"/>
          <w:sz w:val="16"/>
          <w:szCs w:val="16"/>
          <w:color w:val="auto"/>
        </w:rPr>
        <w:t>”), by and between the Company and Presto CA LLC (“</w:t>
      </w:r>
      <w:r>
        <w:rPr>
          <w:rFonts w:ascii="Arial" w:cs="Arial" w:eastAsia="Arial" w:hAnsi="Arial"/>
          <w:sz w:val="16"/>
          <w:szCs w:val="16"/>
          <w:b w:val="1"/>
          <w:bCs w:val="1"/>
          <w:color w:val="auto"/>
        </w:rPr>
        <w:t>Cleveland Avenue</w:t>
      </w:r>
      <w:r>
        <w:rPr>
          <w:rFonts w:ascii="Arial" w:cs="Arial" w:eastAsia="Arial" w:hAnsi="Arial"/>
          <w:sz w:val="16"/>
          <w:szCs w:val="16"/>
          <w:color w:val="auto"/>
        </w:rPr>
        <w:t>”), may not exceed the requirements of Nasdaq Listing Rule 5635(d) (“</w:t>
      </w:r>
      <w:r>
        <w:rPr>
          <w:rFonts w:ascii="Arial" w:cs="Arial" w:eastAsia="Arial" w:hAnsi="Arial"/>
          <w:sz w:val="16"/>
          <w:szCs w:val="16"/>
          <w:b w:val="1"/>
          <w:bCs w:val="1"/>
          <w:color w:val="auto"/>
        </w:rPr>
        <w:t>Nasdaq 19.99% Cap</w:t>
      </w:r>
      <w:r>
        <w:rPr>
          <w:rFonts w:ascii="Arial" w:cs="Arial" w:eastAsia="Arial" w:hAnsi="Arial"/>
          <w:sz w:val="16"/>
          <w:szCs w:val="16"/>
          <w:color w:val="auto"/>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Arial" w:cs="Arial" w:eastAsia="Arial" w:hAnsi="Arial"/>
          <w:sz w:val="16"/>
          <w:szCs w:val="16"/>
          <w:b w:val="1"/>
          <w:bCs w:val="1"/>
          <w:color w:val="auto"/>
        </w:rPr>
        <w:t>Approval</w:t>
      </w:r>
      <w:r>
        <w:rPr>
          <w:rFonts w:ascii="Arial" w:cs="Arial" w:eastAsia="Arial" w:hAnsi="Arial"/>
          <w:sz w:val="16"/>
          <w:szCs w:val="16"/>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w:t>
      </w:r>
    </w:p>
    <w:p>
      <w:pPr>
        <w:spacing w:after="0" w:line="22" w:lineRule="exact"/>
        <w:rPr>
          <w:rFonts w:ascii="Arial" w:cs="Arial" w:eastAsia="Arial" w:hAnsi="Arial"/>
          <w:sz w:val="16"/>
          <w:szCs w:val="16"/>
          <w:color w:val="auto"/>
        </w:rPr>
      </w:pPr>
    </w:p>
    <w:p>
      <w:pPr>
        <w:jc w:val="both"/>
        <w:ind w:firstLine="7"/>
        <w:spacing w:after="0" w:line="251" w:lineRule="auto"/>
        <w:tabs>
          <w:tab w:leader="none" w:pos="25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2" w:name="page173"/>
    <w:bookmarkEnd w:id="172"/>
    <w:p>
      <w:pPr>
        <w:jc w:val="both"/>
        <w:ind w:firstLine="1938"/>
        <w:spacing w:after="0" w:line="282" w:lineRule="auto"/>
        <w:tabs>
          <w:tab w:leader="none" w:pos="2183"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3" w:name="page174"/>
    <w:bookmarkEnd w:id="173"/>
    <w:p>
      <w:pPr>
        <w:ind w:firstLine="1294"/>
        <w:spacing w:after="0" w:line="272" w:lineRule="auto"/>
        <w:tabs>
          <w:tab w:leader="none" w:pos="1479"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4" w:lineRule="exact"/>
        <w:rPr>
          <w:rFonts w:ascii="Arial" w:cs="Arial" w:eastAsia="Arial" w:hAnsi="Arial"/>
          <w:sz w:val="18"/>
          <w:szCs w:val="18"/>
          <w:color w:val="auto"/>
        </w:rPr>
      </w:pPr>
    </w:p>
    <w:p>
      <w:pPr>
        <w:jc w:val="both"/>
        <w:ind w:firstLine="1938"/>
        <w:spacing w:after="0" w:line="285" w:lineRule="auto"/>
        <w:tabs>
          <w:tab w:leader="none" w:pos="2200"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Adjustment Upon Subdivision or Combination of Shares of Common Stock</w:t>
      </w:r>
      <w:r>
        <w:rPr>
          <w:rFonts w:ascii="Arial" w:cs="Arial" w:eastAsia="Arial" w:hAnsi="Arial"/>
          <w:sz w:val="16"/>
          <w:szCs w:val="16"/>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170" w:lineRule="exact"/>
        <w:rPr>
          <w:rFonts w:ascii="Arial" w:cs="Arial" w:eastAsia="Arial" w:hAnsi="Arial"/>
          <w:sz w:val="16"/>
          <w:szCs w:val="16"/>
          <w:color w:val="auto"/>
        </w:rPr>
      </w:pPr>
    </w:p>
    <w:p>
      <w:pPr>
        <w:jc w:val="both"/>
        <w:ind w:firstLine="1938"/>
        <w:spacing w:after="0" w:line="252" w:lineRule="auto"/>
        <w:tabs>
          <w:tab w:leader="none" w:pos="2183"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Adjustment Upon Issuance of Shares of Common Stock</w:t>
      </w:r>
      <w:r>
        <w:rPr>
          <w:rFonts w:ascii="Arial" w:cs="Arial" w:eastAsia="Arial" w:hAnsi="Arial"/>
          <w:sz w:val="18"/>
          <w:szCs w:val="18"/>
          <w:color w:val="auto"/>
        </w:rPr>
        <w:t>. If and whenever on or after the Issuance Date but prior to April 1, 2024 (the “</w:t>
      </w:r>
      <w:r>
        <w:rPr>
          <w:rFonts w:ascii="Arial" w:cs="Arial" w:eastAsia="Arial" w:hAnsi="Arial"/>
          <w:sz w:val="18"/>
          <w:szCs w:val="18"/>
          <w:b w:val="1"/>
          <w:bCs w:val="1"/>
          <w:color w:val="auto"/>
        </w:rPr>
        <w:t>Anti-Dilution Period</w:t>
      </w:r>
      <w:r>
        <w:rPr>
          <w:rFonts w:ascii="Arial" w:cs="Arial" w:eastAsia="Arial" w:hAnsi="Arial"/>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Arial" w:cs="Arial" w:eastAsia="Arial" w:hAnsi="Arial"/>
          <w:sz w:val="18"/>
          <w:szCs w:val="18"/>
          <w:b w:val="1"/>
          <w:bCs w:val="1"/>
          <w:color w:val="auto"/>
        </w:rPr>
        <w:t>New Issuance Price</w:t>
      </w:r>
      <w:r>
        <w:rPr>
          <w:rFonts w:ascii="Arial" w:cs="Arial" w:eastAsia="Arial" w:hAnsi="Arial"/>
          <w:sz w:val="18"/>
          <w:szCs w:val="18"/>
          <w:color w:val="auto"/>
        </w:rPr>
        <w:t>”) less than $2.00 per share (the “</w:t>
      </w:r>
      <w:r>
        <w:rPr>
          <w:rFonts w:ascii="Arial" w:cs="Arial" w:eastAsia="Arial" w:hAnsi="Arial"/>
          <w:sz w:val="18"/>
          <w:szCs w:val="18"/>
          <w:b w:val="1"/>
          <w:bCs w:val="1"/>
          <w:color w:val="auto"/>
        </w:rPr>
        <w:t>Applicable Price</w:t>
      </w:r>
      <w:r>
        <w:rPr>
          <w:rFonts w:ascii="Arial" w:cs="Arial" w:eastAsia="Arial" w:hAnsi="Arial"/>
          <w:sz w:val="18"/>
          <w:szCs w:val="18"/>
          <w:color w:val="auto"/>
        </w:rPr>
        <w:t>”, and the foregoing a “</w:t>
      </w:r>
      <w:r>
        <w:rPr>
          <w:rFonts w:ascii="Arial" w:cs="Arial" w:eastAsia="Arial" w:hAnsi="Arial"/>
          <w:sz w:val="18"/>
          <w:szCs w:val="18"/>
          <w:b w:val="1"/>
          <w:bCs w:val="1"/>
          <w:color w:val="auto"/>
        </w:rPr>
        <w:t>Dilutive</w:t>
      </w:r>
      <w:r>
        <w:rPr>
          <w:rFonts w:ascii="Arial" w:cs="Arial" w:eastAsia="Arial" w:hAnsi="Arial"/>
          <w:sz w:val="18"/>
          <w:szCs w:val="18"/>
          <w:color w:val="auto"/>
        </w:rPr>
        <w:t xml:space="preserve"> </w:t>
      </w:r>
      <w:r>
        <w:rPr>
          <w:rFonts w:ascii="Arial" w:cs="Arial" w:eastAsia="Arial" w:hAnsi="Arial"/>
          <w:sz w:val="18"/>
          <w:szCs w:val="18"/>
          <w:b w:val="1"/>
          <w:bCs w:val="1"/>
          <w:color w:val="auto"/>
        </w:rPr>
        <w:t>Issuance</w:t>
      </w:r>
      <w:r>
        <w:rPr>
          <w:rFonts w:ascii="Arial" w:cs="Arial" w:eastAsia="Arial" w:hAnsi="Arial"/>
          <w:sz w:val="18"/>
          <w:szCs w:val="18"/>
          <w:color w:val="auto"/>
        </w:rPr>
        <w:t>”), then immediately after such Dilutive Issuance, the number of Warrant Shares shall be increased to an amount equal to (x) the number of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prior to such Dilutive Issuance, multiplied by (y) the quotient of the Applicable Price divided by the New Issuance Price. For all purposes of the foregoing (including, without limitation, determining the adjusted number of Warrant Shares and the New Issuance Price under this Section 2(b)), the following shall be applicable:</w:t>
      </w:r>
    </w:p>
    <w:p>
      <w:pPr>
        <w:spacing w:after="0" w:line="191" w:lineRule="exact"/>
        <w:rPr>
          <w:rFonts w:ascii="Arial" w:cs="Arial" w:eastAsia="Arial" w:hAnsi="Arial"/>
          <w:sz w:val="18"/>
          <w:szCs w:val="18"/>
          <w:color w:val="auto"/>
        </w:rPr>
      </w:pPr>
    </w:p>
    <w:p>
      <w:pPr>
        <w:jc w:val="both"/>
        <w:ind w:firstLine="2581"/>
        <w:spacing w:after="0" w:line="283" w:lineRule="auto"/>
        <w:tabs>
          <w:tab w:leader="none" w:pos="2787" w:val="left"/>
        </w:tabs>
        <w:numPr>
          <w:ilvl w:val="2"/>
          <w:numId w:val="178"/>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4" w:name="page175"/>
    <w:bookmarkEnd w:id="174"/>
    <w:p>
      <w:pPr>
        <w:jc w:val="both"/>
        <w:ind w:firstLine="2581"/>
        <w:spacing w:after="0" w:line="283" w:lineRule="auto"/>
        <w:tabs>
          <w:tab w:leader="none" w:pos="2850"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175" w:lineRule="exact"/>
        <w:rPr>
          <w:rFonts w:ascii="Arial" w:cs="Arial" w:eastAsia="Arial" w:hAnsi="Arial"/>
          <w:sz w:val="16"/>
          <w:szCs w:val="16"/>
          <w:color w:val="auto"/>
        </w:rPr>
      </w:pPr>
    </w:p>
    <w:p>
      <w:pPr>
        <w:jc w:val="both"/>
        <w:ind w:firstLine="2581"/>
        <w:spacing w:after="0" w:line="267" w:lineRule="auto"/>
        <w:tabs>
          <w:tab w:leader="none" w:pos="290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5" w:name="page176"/>
    <w:bookmarkEnd w:id="175"/>
    <w:p>
      <w:pPr>
        <w:jc w:val="both"/>
        <w:ind w:firstLine="2581"/>
        <w:spacing w:after="0" w:line="280" w:lineRule="auto"/>
        <w:tabs>
          <w:tab w:leader="none" w:pos="2876"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and/or Convertible Security and/or Adjustment Right is issued in connection with the issuance or sale or deemed issuance or sale of any other securities of the Company (as determined by the Holder, the “</w:t>
      </w:r>
      <w:r>
        <w:rPr>
          <w:rFonts w:ascii="Arial" w:cs="Arial" w:eastAsia="Arial" w:hAnsi="Arial"/>
          <w:sz w:val="16"/>
          <w:szCs w:val="16"/>
          <w:b w:val="1"/>
          <w:bCs w:val="1"/>
          <w:color w:val="auto"/>
        </w:rPr>
        <w:t>Primary</w:t>
      </w:r>
      <w:r>
        <w:rPr>
          <w:rFonts w:ascii="Arial" w:cs="Arial" w:eastAsia="Arial" w:hAnsi="Arial"/>
          <w:sz w:val="16"/>
          <w:szCs w:val="16"/>
          <w:color w:val="auto"/>
        </w:rPr>
        <w:t xml:space="preserve"> </w:t>
      </w:r>
      <w:r>
        <w:rPr>
          <w:rFonts w:ascii="Arial" w:cs="Arial" w:eastAsia="Arial" w:hAnsi="Arial"/>
          <w:sz w:val="16"/>
          <w:szCs w:val="16"/>
          <w:b w:val="1"/>
          <w:bCs w:val="1"/>
          <w:color w:val="auto"/>
        </w:rPr>
        <w:t>Security</w:t>
      </w:r>
      <w:r>
        <w:rPr>
          <w:rFonts w:ascii="Arial" w:cs="Arial" w:eastAsia="Arial" w:hAnsi="Arial"/>
          <w:sz w:val="16"/>
          <w:szCs w:val="16"/>
          <w:color w:val="auto"/>
        </w:rPr>
        <w:t>”, and such Option and/or Convertible Security and/or Adjustment Right, the “</w:t>
      </w:r>
      <w:r>
        <w:rPr>
          <w:rFonts w:ascii="Arial" w:cs="Arial" w:eastAsia="Arial" w:hAnsi="Arial"/>
          <w:sz w:val="16"/>
          <w:szCs w:val="16"/>
          <w:b w:val="1"/>
          <w:bCs w:val="1"/>
          <w:color w:val="auto"/>
        </w:rPr>
        <w:t>Secondary Securities</w:t>
      </w:r>
      <w:r>
        <w:rPr>
          <w:rFonts w:ascii="Arial" w:cs="Arial" w:eastAsia="Arial" w:hAnsi="Arial"/>
          <w:sz w:val="16"/>
          <w:szCs w:val="16"/>
          <w:color w:val="auto"/>
        </w:rPr>
        <w:t>” and together with the Primary Security, each</w:t>
      </w:r>
      <w:r>
        <w:rPr>
          <w:rFonts w:ascii="Arial" w:cs="Arial" w:eastAsia="Arial" w:hAnsi="Arial"/>
          <w:sz w:val="16"/>
          <w:szCs w:val="16"/>
          <w:b w:val="1"/>
          <w:bCs w:val="1"/>
          <w:color w:val="auto"/>
        </w:rPr>
        <w:t xml:space="preserve"> </w:t>
      </w:r>
      <w:r>
        <w:rPr>
          <w:rFonts w:ascii="Arial" w:cs="Arial" w:eastAsia="Arial" w:hAnsi="Arial"/>
          <w:sz w:val="16"/>
          <w:szCs w:val="16"/>
          <w:color w:val="auto"/>
        </w:rPr>
        <w:t>a “</w:t>
      </w:r>
      <w:r>
        <w:rPr>
          <w:rFonts w:ascii="Arial" w:cs="Arial" w:eastAsia="Arial" w:hAnsi="Arial"/>
          <w:sz w:val="16"/>
          <w:szCs w:val="16"/>
          <w:b w:val="1"/>
          <w:bCs w:val="1"/>
          <w:color w:val="auto"/>
        </w:rPr>
        <w:t>Unit</w:t>
      </w:r>
      <w:r>
        <w:rPr>
          <w:rFonts w:ascii="Arial" w:cs="Arial" w:eastAsia="Arial" w:hAnsi="Arial"/>
          <w:sz w:val="16"/>
          <w:szCs w:val="16"/>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 (i),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w:t>
      </w:r>
    </w:p>
    <w:p>
      <w:pPr>
        <w:spacing w:after="0" w:line="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consideration will be determined within five Trading Days after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3" w:lineRule="exact"/>
        <w:rPr>
          <w:sz w:val="20"/>
          <w:szCs w:val="20"/>
          <w:color w:val="auto"/>
        </w:rPr>
      </w:pPr>
    </w:p>
    <w:p>
      <w:pPr>
        <w:jc w:val="both"/>
        <w:ind w:firstLine="2581"/>
        <w:spacing w:after="0" w:line="254" w:lineRule="auto"/>
        <w:tabs>
          <w:tab w:leader="none" w:pos="2827"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91" w:lineRule="exact"/>
        <w:rPr>
          <w:rFonts w:ascii="Arial" w:cs="Arial" w:eastAsia="Arial" w:hAnsi="Arial"/>
          <w:sz w:val="18"/>
          <w:szCs w:val="18"/>
          <w:color w:val="auto"/>
        </w:rPr>
      </w:pPr>
    </w:p>
    <w:p>
      <w:pPr>
        <w:ind w:right="20" w:firstLine="1938"/>
        <w:spacing w:after="0" w:line="272" w:lineRule="auto"/>
        <w:tabs>
          <w:tab w:leader="none" w:pos="217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4" w:lineRule="exact"/>
        <w:rPr>
          <w:rFonts w:ascii="Arial" w:cs="Arial" w:eastAsia="Arial" w:hAnsi="Arial"/>
          <w:sz w:val="18"/>
          <w:szCs w:val="18"/>
          <w:color w:val="auto"/>
        </w:rPr>
      </w:pPr>
    </w:p>
    <w:p>
      <w:pPr>
        <w:jc w:val="both"/>
        <w:ind w:firstLine="1938"/>
        <w:spacing w:after="0" w:line="260" w:lineRule="auto"/>
        <w:tabs>
          <w:tab w:leader="none" w:pos="218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6" w:name="page177"/>
    <w:bookmarkEnd w:id="176"/>
    <w:p>
      <w:pPr>
        <w:jc w:val="both"/>
        <w:ind w:firstLine="1294"/>
        <w:spacing w:after="0" w:line="283" w:lineRule="auto"/>
        <w:tabs>
          <w:tab w:leader="none" w:pos="1479"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xml:space="preserve">. In addition to any adjustments pursuant to Section </w:t>
      </w:r>
      <w:r>
        <w:rPr>
          <w:rFonts w:ascii="Arial" w:cs="Arial" w:eastAsia="Arial" w:hAnsi="Arial"/>
          <w:sz w:val="19"/>
          <w:szCs w:val="19"/>
          <w:b w:val="1"/>
          <w:bCs w:val="1"/>
          <w:color w:val="auto"/>
        </w:rPr>
        <w:t>‎</w:t>
      </w:r>
      <w:r>
        <w:rPr>
          <w:rFonts w:ascii="Arial" w:cs="Arial" w:eastAsia="Arial" w:hAnsi="Arial"/>
          <w:sz w:val="16"/>
          <w:szCs w:val="16"/>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6" w:lineRule="exact"/>
        <w:rPr>
          <w:rFonts w:ascii="Arial" w:cs="Arial" w:eastAsia="Arial" w:hAnsi="Arial"/>
          <w:sz w:val="16"/>
          <w:szCs w:val="16"/>
          <w:color w:val="auto"/>
        </w:rPr>
      </w:pPr>
    </w:p>
    <w:p>
      <w:pPr>
        <w:ind w:left="1480" w:hanging="186"/>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firstLine="1938"/>
        <w:spacing w:after="0" w:line="266" w:lineRule="auto"/>
        <w:tabs>
          <w:tab w:leader="none" w:pos="2173"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7" w:name="page178"/>
    <w:bookmarkEnd w:id="177"/>
    <w:p>
      <w:pPr>
        <w:ind w:left="2200" w:hanging="262"/>
        <w:spacing w:after="0"/>
        <w:tabs>
          <w:tab w:leader="none" w:pos="220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1" w:lineRule="exact"/>
        <w:rPr>
          <w:rFonts w:ascii="Arial" w:cs="Arial" w:eastAsia="Arial" w:hAnsi="Arial"/>
          <w:sz w:val="18"/>
          <w:szCs w:val="18"/>
          <w:color w:val="auto"/>
        </w:rPr>
      </w:pPr>
    </w:p>
    <w:p>
      <w:pPr>
        <w:jc w:val="both"/>
        <w:ind w:firstLine="2581"/>
        <w:spacing w:after="0" w:line="271" w:lineRule="auto"/>
        <w:tabs>
          <w:tab w:leader="none" w:pos="2787" w:val="left"/>
        </w:tabs>
        <w:numPr>
          <w:ilvl w:val="1"/>
          <w:numId w:val="184"/>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77" w:lineRule="exact"/>
        <w:rPr>
          <w:rFonts w:ascii="Arial" w:cs="Arial" w:eastAsia="Arial" w:hAnsi="Arial"/>
          <w:sz w:val="17"/>
          <w:szCs w:val="17"/>
          <w:color w:val="auto"/>
        </w:rPr>
      </w:pPr>
    </w:p>
    <w:p>
      <w:pPr>
        <w:jc w:val="both"/>
        <w:ind w:firstLine="2581"/>
        <w:spacing w:after="0" w:line="288" w:lineRule="auto"/>
        <w:tabs>
          <w:tab w:leader="none" w:pos="285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 of</w:t>
      </w:r>
    </w:p>
    <w:p>
      <w:pPr>
        <w:jc w:val="both"/>
        <w:spacing w:after="0" w:line="279" w:lineRule="auto"/>
        <w:rPr>
          <w:rFonts w:ascii="Arial" w:cs="Arial" w:eastAsia="Arial" w:hAnsi="Arial"/>
          <w:sz w:val="16"/>
          <w:szCs w:val="16"/>
          <w:color w:val="auto"/>
        </w:rPr>
      </w:pPr>
      <w:r>
        <w:rPr>
          <w:rFonts w:ascii="Arial" w:cs="Arial" w:eastAsia="Arial" w:hAnsi="Arial"/>
          <w:sz w:val="16"/>
          <w:szCs w:val="16"/>
          <w:color w:val="auto"/>
        </w:rPr>
        <w:t>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79"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 at its sole</w:t>
      </w:r>
    </w:p>
    <w:p>
      <w:pPr>
        <w:spacing w:after="0" w:line="7" w:lineRule="exact"/>
        <w:rPr>
          <w:rFonts w:ascii="Arial" w:cs="Arial" w:eastAsia="Arial" w:hAnsi="Arial"/>
          <w:sz w:val="16"/>
          <w:szCs w:val="16"/>
          <w:color w:val="auto"/>
        </w:rPr>
      </w:pPr>
    </w:p>
    <w:p>
      <w:pPr>
        <w:ind w:right="20"/>
        <w:spacing w:after="0" w:line="257" w:lineRule="auto"/>
        <w:rPr>
          <w:rFonts w:ascii="Arial" w:cs="Arial" w:eastAsia="Arial" w:hAnsi="Arial"/>
          <w:sz w:val="16"/>
          <w:szCs w:val="16"/>
          <w:color w:val="auto"/>
        </w:rPr>
      </w:pPr>
      <w:r>
        <w:rPr>
          <w:rFonts w:ascii="Arial" w:cs="Arial" w:eastAsia="Arial" w:hAnsi="Arial"/>
          <w:sz w:val="18"/>
          <w:szCs w:val="18"/>
          <w:color w:val="auto"/>
        </w:rPr>
        <w:t>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 at</w:t>
      </w:r>
      <w:r>
        <w:rPr>
          <w:rFonts w:ascii="Arial" w:cs="Arial" w:eastAsia="Arial" w:hAnsi="Arial"/>
          <w:sz w:val="17"/>
          <w:szCs w:val="17"/>
          <w:b w:val="1"/>
          <w:bCs w:val="1"/>
          <w:color w:val="auto"/>
        </w:rPr>
        <w:t xml:space="preserve"> </w:t>
      </w:r>
      <w:r>
        <w:rPr>
          <w:rFonts w:ascii="Arial" w:cs="Arial" w:eastAsia="Arial" w:hAnsi="Arial"/>
          <w:sz w:val="17"/>
          <w:szCs w:val="17"/>
          <w:color w:val="auto"/>
        </w:rPr>
        <w:t>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8" w:name="page179"/>
    <w:bookmarkEnd w:id="178"/>
    <w:p>
      <w:pPr>
        <w:jc w:val="both"/>
        <w:ind w:firstLine="1938"/>
        <w:spacing w:after="0" w:line="268" w:lineRule="auto"/>
        <w:tabs>
          <w:tab w:leader="none" w:pos="2187" w:val="left"/>
        </w:tabs>
        <w:numPr>
          <w:ilvl w:val="1"/>
          <w:numId w:val="185"/>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71" w:lineRule="exact"/>
        <w:rPr>
          <w:rFonts w:ascii="Arial" w:cs="Arial" w:eastAsia="Arial" w:hAnsi="Arial"/>
          <w:sz w:val="17"/>
          <w:szCs w:val="17"/>
          <w:color w:val="auto"/>
        </w:rPr>
      </w:pPr>
    </w:p>
    <w:p>
      <w:pPr>
        <w:jc w:val="both"/>
        <w:ind w:firstLine="1938"/>
        <w:spacing w:after="0" w:line="297" w:lineRule="auto"/>
        <w:tabs>
          <w:tab w:leader="none" w:pos="2197"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8" w:lineRule="exact"/>
        <w:rPr>
          <w:rFonts w:ascii="Arial" w:cs="Arial" w:eastAsia="Arial" w:hAnsi="Arial"/>
          <w:sz w:val="16"/>
          <w:szCs w:val="16"/>
          <w:color w:val="auto"/>
        </w:rPr>
      </w:pPr>
    </w:p>
    <w:p>
      <w:pPr>
        <w:jc w:val="both"/>
        <w:ind w:firstLine="1294"/>
        <w:spacing w:after="0" w:line="266" w:lineRule="auto"/>
        <w:tabs>
          <w:tab w:leader="none" w:pos="1466"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9" w:name="page180"/>
    <w:bookmarkEnd w:id="179"/>
    <w:p>
      <w:pPr>
        <w:jc w:val="both"/>
        <w:ind w:firstLine="1294"/>
        <w:spacing w:after="0" w:line="284" w:lineRule="auto"/>
        <w:tabs>
          <w:tab w:leader="none" w:pos="1479"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168" w:lineRule="exact"/>
        <w:rPr>
          <w:rFonts w:ascii="Arial" w:cs="Arial" w:eastAsia="Arial" w:hAnsi="Arial"/>
          <w:sz w:val="16"/>
          <w:szCs w:val="16"/>
          <w:color w:val="auto"/>
        </w:rPr>
      </w:pPr>
    </w:p>
    <w:p>
      <w:pPr>
        <w:ind w:left="1480" w:hanging="186"/>
        <w:spacing w:after="0"/>
        <w:tabs>
          <w:tab w:leader="none" w:pos="148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938"/>
        <w:spacing w:after="0" w:line="247" w:lineRule="auto"/>
        <w:tabs>
          <w:tab w:leader="none" w:pos="2173"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200" w:lineRule="exact"/>
        <w:rPr>
          <w:rFonts w:ascii="Arial" w:cs="Arial" w:eastAsia="Arial" w:hAnsi="Arial"/>
          <w:sz w:val="18"/>
          <w:szCs w:val="18"/>
          <w:color w:val="auto"/>
        </w:rPr>
      </w:pPr>
    </w:p>
    <w:p>
      <w:pPr>
        <w:jc w:val="both"/>
        <w:ind w:firstLine="1938"/>
        <w:spacing w:after="0" w:line="272" w:lineRule="auto"/>
        <w:tabs>
          <w:tab w:leader="none" w:pos="2183"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6" w:lineRule="exact"/>
        <w:rPr>
          <w:rFonts w:ascii="Arial" w:cs="Arial" w:eastAsia="Arial" w:hAnsi="Arial"/>
          <w:sz w:val="17"/>
          <w:szCs w:val="17"/>
          <w:color w:val="auto"/>
        </w:rPr>
      </w:pPr>
    </w:p>
    <w:p>
      <w:pPr>
        <w:jc w:val="both"/>
        <w:ind w:firstLine="1938"/>
        <w:spacing w:after="0" w:line="291" w:lineRule="auto"/>
        <w:tabs>
          <w:tab w:leader="none" w:pos="2173"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65" w:lineRule="exact"/>
        <w:rPr>
          <w:rFonts w:ascii="Arial" w:cs="Arial" w:eastAsia="Arial" w:hAnsi="Arial"/>
          <w:sz w:val="16"/>
          <w:szCs w:val="16"/>
          <w:color w:val="auto"/>
        </w:rPr>
      </w:pPr>
    </w:p>
    <w:p>
      <w:pPr>
        <w:jc w:val="both"/>
        <w:ind w:firstLine="1938"/>
        <w:spacing w:after="0" w:line="287" w:lineRule="auto"/>
        <w:tabs>
          <w:tab w:leader="none" w:pos="2183"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0" w:name="page181"/>
    <w:bookmarkEnd w:id="180"/>
    <w:p>
      <w:pPr>
        <w:jc w:val="both"/>
        <w:ind w:firstLine="1294"/>
        <w:spacing w:after="0" w:line="293" w:lineRule="auto"/>
        <w:tabs>
          <w:tab w:leader="none" w:pos="1479"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63" w:lineRule="exact"/>
        <w:rPr>
          <w:rFonts w:ascii="Arial" w:cs="Arial" w:eastAsia="Arial" w:hAnsi="Arial"/>
          <w:sz w:val="16"/>
          <w:szCs w:val="16"/>
          <w:color w:val="auto"/>
        </w:rPr>
      </w:pPr>
    </w:p>
    <w:p>
      <w:pPr>
        <w:jc w:val="both"/>
        <w:ind w:firstLine="1294"/>
        <w:spacing w:after="0" w:line="298" w:lineRule="auto"/>
        <w:tabs>
          <w:tab w:leader="none" w:pos="1466"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8" w:lineRule="exact"/>
        <w:rPr>
          <w:rFonts w:ascii="Arial" w:cs="Arial" w:eastAsia="Arial" w:hAnsi="Arial"/>
          <w:sz w:val="16"/>
          <w:szCs w:val="16"/>
          <w:color w:val="auto"/>
        </w:rPr>
      </w:pPr>
    </w:p>
    <w:p>
      <w:pPr>
        <w:jc w:val="both"/>
        <w:ind w:firstLine="1294"/>
        <w:spacing w:after="0" w:line="280" w:lineRule="auto"/>
        <w:tabs>
          <w:tab w:leader="none" w:pos="1555"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0"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90" w:lineRule="exact"/>
        <w:rPr>
          <w:rFonts w:ascii="Arial" w:cs="Arial" w:eastAsia="Arial" w:hAnsi="Arial"/>
          <w:sz w:val="16"/>
          <w:szCs w:val="16"/>
          <w:color w:val="auto"/>
        </w:rPr>
      </w:pPr>
    </w:p>
    <w:p>
      <w:pPr>
        <w:jc w:val="both"/>
        <w:ind w:firstLine="1294"/>
        <w:spacing w:after="0" w:line="298" w:lineRule="auto"/>
        <w:tabs>
          <w:tab w:leader="none" w:pos="1562"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1" w:name="page182"/>
    <w:bookmarkEnd w:id="181"/>
    <w:p>
      <w:pPr>
        <w:jc w:val="both"/>
        <w:ind w:firstLine="1294"/>
        <w:spacing w:after="0" w:line="265" w:lineRule="auto"/>
        <w:tabs>
          <w:tab w:leader="none" w:pos="1568"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185" w:lineRule="exact"/>
        <w:rPr>
          <w:rFonts w:ascii="Arial" w:cs="Arial" w:eastAsia="Arial" w:hAnsi="Arial"/>
          <w:sz w:val="17"/>
          <w:szCs w:val="17"/>
          <w:color w:val="auto"/>
        </w:rPr>
      </w:pPr>
    </w:p>
    <w:p>
      <w:pPr>
        <w:jc w:val="both"/>
        <w:ind w:firstLine="1294"/>
        <w:spacing w:after="0" w:line="269" w:lineRule="auto"/>
        <w:tabs>
          <w:tab w:leader="none" w:pos="1568"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2" w:lineRule="exact"/>
        <w:rPr>
          <w:rFonts w:ascii="Arial" w:cs="Arial" w:eastAsia="Arial" w:hAnsi="Arial"/>
          <w:sz w:val="17"/>
          <w:szCs w:val="17"/>
          <w:color w:val="auto"/>
        </w:rPr>
      </w:pPr>
    </w:p>
    <w:p>
      <w:pPr>
        <w:jc w:val="both"/>
        <w:ind w:firstLine="1294"/>
        <w:spacing w:after="0" w:line="256" w:lineRule="auto"/>
        <w:tabs>
          <w:tab w:leader="none" w:pos="1555"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9" w:lineRule="exact"/>
        <w:rPr>
          <w:rFonts w:ascii="Arial" w:cs="Arial" w:eastAsia="Arial" w:hAnsi="Arial"/>
          <w:sz w:val="18"/>
          <w:szCs w:val="18"/>
          <w:color w:val="auto"/>
        </w:rPr>
      </w:pPr>
    </w:p>
    <w:p>
      <w:pPr>
        <w:jc w:val="both"/>
        <w:ind w:firstLine="1294"/>
        <w:spacing w:after="0" w:line="268" w:lineRule="auto"/>
        <w:tabs>
          <w:tab w:leader="none" w:pos="1555"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2" w:name="page183"/>
    <w:bookmarkEnd w:id="182"/>
    <w:p>
      <w:pPr>
        <w:ind w:firstLine="1294"/>
        <w:spacing w:after="0" w:line="272" w:lineRule="auto"/>
        <w:tabs>
          <w:tab w:leader="none" w:pos="1555"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4" w:lineRule="exact"/>
        <w:rPr>
          <w:rFonts w:ascii="Arial" w:cs="Arial" w:eastAsia="Arial" w:hAnsi="Arial"/>
          <w:sz w:val="18"/>
          <w:szCs w:val="18"/>
          <w:color w:val="auto"/>
        </w:rPr>
      </w:pPr>
    </w:p>
    <w:p>
      <w:pPr>
        <w:ind w:left="1560" w:hanging="266"/>
        <w:spacing w:after="0"/>
        <w:tabs>
          <w:tab w:leader="none" w:pos="156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938"/>
        <w:spacing w:after="0" w:line="260" w:lineRule="auto"/>
        <w:tabs>
          <w:tab w:leader="none" w:pos="2173"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5" w:lineRule="exact"/>
        <w:rPr>
          <w:rFonts w:ascii="Arial" w:cs="Arial" w:eastAsia="Arial" w:hAnsi="Arial"/>
          <w:sz w:val="18"/>
          <w:szCs w:val="18"/>
          <w:color w:val="auto"/>
        </w:rPr>
      </w:pPr>
    </w:p>
    <w:p>
      <w:pPr>
        <w:jc w:val="both"/>
        <w:ind w:firstLine="1938"/>
        <w:spacing w:after="0" w:line="282" w:lineRule="auto"/>
        <w:tabs>
          <w:tab w:leader="none" w:pos="2183"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68" w:lineRule="exact"/>
        <w:rPr>
          <w:rFonts w:ascii="Arial" w:cs="Arial" w:eastAsia="Arial" w:hAnsi="Arial"/>
          <w:sz w:val="17"/>
          <w:szCs w:val="17"/>
          <w:color w:val="auto"/>
        </w:rPr>
      </w:pPr>
    </w:p>
    <w:p>
      <w:pPr>
        <w:jc w:val="both"/>
        <w:ind w:firstLine="1938"/>
        <w:spacing w:after="0" w:line="260" w:lineRule="auto"/>
        <w:tabs>
          <w:tab w:leader="none" w:pos="2173"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5" w:lineRule="exact"/>
        <w:rPr>
          <w:rFonts w:ascii="Arial" w:cs="Arial" w:eastAsia="Arial" w:hAnsi="Arial"/>
          <w:sz w:val="18"/>
          <w:szCs w:val="18"/>
          <w:color w:val="auto"/>
        </w:rPr>
      </w:pPr>
    </w:p>
    <w:p>
      <w:pPr>
        <w:ind w:left="2200" w:hanging="262"/>
        <w:spacing w:after="0"/>
        <w:tabs>
          <w:tab w:leader="none" w:pos="220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09" w:lineRule="exact"/>
        <w:rPr>
          <w:rFonts w:ascii="Arial" w:cs="Arial" w:eastAsia="Arial" w:hAnsi="Arial"/>
          <w:sz w:val="16"/>
          <w:szCs w:val="16"/>
          <w:color w:val="auto"/>
        </w:rPr>
      </w:pPr>
    </w:p>
    <w:p>
      <w:pPr>
        <w:jc w:val="both"/>
        <w:ind w:firstLine="1938"/>
        <w:spacing w:after="0" w:line="260" w:lineRule="auto"/>
        <w:tabs>
          <w:tab w:leader="none" w:pos="2187"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5" w:lineRule="exact"/>
        <w:rPr>
          <w:rFonts w:ascii="Arial" w:cs="Arial" w:eastAsia="Arial" w:hAnsi="Arial"/>
          <w:sz w:val="18"/>
          <w:szCs w:val="18"/>
          <w:color w:val="auto"/>
        </w:rPr>
      </w:pPr>
    </w:p>
    <w:p>
      <w:pPr>
        <w:jc w:val="both"/>
        <w:ind w:firstLine="1938"/>
        <w:spacing w:after="0" w:line="260" w:lineRule="auto"/>
        <w:tabs>
          <w:tab w:leader="none" w:pos="2153"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5" w:lineRule="exact"/>
        <w:rPr>
          <w:rFonts w:ascii="Arial" w:cs="Arial" w:eastAsia="Arial" w:hAnsi="Arial"/>
          <w:sz w:val="18"/>
          <w:szCs w:val="18"/>
          <w:color w:val="auto"/>
        </w:rPr>
      </w:pPr>
    </w:p>
    <w:p>
      <w:pPr>
        <w:jc w:val="both"/>
        <w:ind w:firstLine="1938"/>
        <w:spacing w:after="0" w:line="268" w:lineRule="auto"/>
        <w:tabs>
          <w:tab w:leader="none" w:pos="2197"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3" w:name="page184"/>
    <w:bookmarkEnd w:id="183"/>
    <w:p>
      <w:pPr>
        <w:jc w:val="both"/>
        <w:ind w:firstLine="1938"/>
        <w:spacing w:after="0" w:line="284" w:lineRule="auto"/>
        <w:tabs>
          <w:tab w:leader="none" w:pos="2197" w:val="left"/>
        </w:tabs>
        <w:numPr>
          <w:ilvl w:val="2"/>
          <w:numId w:val="191"/>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75" w:lineRule="exact"/>
        <w:rPr>
          <w:rFonts w:ascii="Arial" w:cs="Arial" w:eastAsia="Arial" w:hAnsi="Arial"/>
          <w:sz w:val="16"/>
          <w:szCs w:val="16"/>
          <w:color w:val="auto"/>
        </w:rPr>
      </w:pPr>
    </w:p>
    <w:p>
      <w:pPr>
        <w:jc w:val="both"/>
        <w:ind w:firstLine="1294"/>
        <w:spacing w:after="0" w:line="260" w:lineRule="auto"/>
        <w:tabs>
          <w:tab w:leader="none" w:pos="1568"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 except as set forth in (i) the SEC Reports or (ii) the draft Annual Report on Form 10-K for the fiscal year ended June 30, 2023 in the form provided to the Holder (the “</w:t>
      </w:r>
      <w:r>
        <w:rPr>
          <w:rFonts w:ascii="Arial" w:cs="Arial" w:eastAsia="Arial" w:hAnsi="Arial"/>
          <w:sz w:val="18"/>
          <w:szCs w:val="18"/>
          <w:b w:val="1"/>
          <w:bCs w:val="1"/>
          <w:i w:val="1"/>
          <w:iCs w:val="1"/>
          <w:color w:val="auto"/>
        </w:rPr>
        <w:t>2023 Form 10-K</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2180" w:hanging="242"/>
        <w:spacing w:after="0"/>
        <w:tabs>
          <w:tab w:leader="none" w:pos="2180" w:val="left"/>
        </w:tabs>
        <w:numPr>
          <w:ilvl w:val="2"/>
          <w:numId w:val="192"/>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3" w:lineRule="exact"/>
        <w:rPr>
          <w:rFonts w:ascii="Arial" w:cs="Arial" w:eastAsia="Arial" w:hAnsi="Arial"/>
          <w:sz w:val="16"/>
          <w:szCs w:val="16"/>
          <w:color w:val="auto"/>
        </w:rPr>
      </w:pPr>
    </w:p>
    <w:p>
      <w:pPr>
        <w:jc w:val="both"/>
        <w:ind w:firstLine="7"/>
        <w:spacing w:after="0" w:line="284" w:lineRule="auto"/>
        <w:tabs>
          <w:tab w:leader="none" w:pos="27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38"/>
        <w:spacing w:after="0" w:line="298" w:lineRule="auto"/>
        <w:tabs>
          <w:tab w:leader="none" w:pos="2223" w:val="left"/>
        </w:tabs>
        <w:numPr>
          <w:ilvl w:val="2"/>
          <w:numId w:val="193"/>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8" w:lineRule="exact"/>
        <w:rPr>
          <w:rFonts w:ascii="Arial" w:cs="Arial" w:eastAsia="Arial" w:hAnsi="Arial"/>
          <w:sz w:val="16"/>
          <w:szCs w:val="16"/>
          <w:color w:val="auto"/>
        </w:rPr>
      </w:pPr>
    </w:p>
    <w:p>
      <w:pPr>
        <w:jc w:val="both"/>
        <w:ind w:firstLine="1938"/>
        <w:spacing w:after="0" w:line="260" w:lineRule="auto"/>
        <w:tabs>
          <w:tab w:leader="none" w:pos="2173" w:val="left"/>
        </w:tabs>
        <w:numPr>
          <w:ilvl w:val="2"/>
          <w:numId w:val="193"/>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4" w:name="page185"/>
    <w:bookmarkEnd w:id="184"/>
    <w:p>
      <w:pPr>
        <w:jc w:val="both"/>
        <w:ind w:firstLine="1938"/>
        <w:spacing w:after="0" w:line="282" w:lineRule="auto"/>
        <w:tabs>
          <w:tab w:leader="none" w:pos="2197"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w:t>
      </w:r>
    </w:p>
    <w:p>
      <w:pPr>
        <w:ind w:firstLine="7"/>
        <w:spacing w:after="0" w:line="257" w:lineRule="auto"/>
        <w:tabs>
          <w:tab w:leader="none" w:pos="23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and (iii), would reasonably be expected to have a Company Material Adverse Effect or have a material adverse effect on the Company’s ability to consummate the transactions contemplated hereby.</w:t>
      </w:r>
    </w:p>
    <w:p>
      <w:pPr>
        <w:spacing w:after="0" w:line="187" w:lineRule="exact"/>
        <w:rPr>
          <w:rFonts w:ascii="Arial" w:cs="Arial" w:eastAsia="Arial" w:hAnsi="Arial"/>
          <w:sz w:val="18"/>
          <w:szCs w:val="18"/>
          <w:color w:val="auto"/>
        </w:rPr>
      </w:pPr>
    </w:p>
    <w:p>
      <w:pPr>
        <w:jc w:val="both"/>
        <w:ind w:firstLine="1938"/>
        <w:spacing w:after="0" w:line="269" w:lineRule="auto"/>
        <w:tabs>
          <w:tab w:leader="none" w:pos="220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82" w:lineRule="exact"/>
        <w:rPr>
          <w:rFonts w:ascii="Arial" w:cs="Arial" w:eastAsia="Arial" w:hAnsi="Arial"/>
          <w:sz w:val="17"/>
          <w:szCs w:val="17"/>
          <w:color w:val="auto"/>
        </w:rPr>
      </w:pPr>
    </w:p>
    <w:p>
      <w:pPr>
        <w:jc w:val="both"/>
        <w:ind w:firstLine="1938"/>
        <w:spacing w:after="0" w:line="283" w:lineRule="auto"/>
        <w:tabs>
          <w:tab w:leader="none" w:pos="2167"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b w:val="1"/>
          <w:bCs w:val="1"/>
          <w:i w:val="1"/>
          <w:iCs w:val="1"/>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Arial" w:cs="Arial" w:eastAsia="Arial" w:hAnsi="Arial"/>
          <w:sz w:val="16"/>
          <w:szCs w:val="16"/>
          <w:b w:val="1"/>
          <w:bCs w:val="1"/>
          <w:i w:val="1"/>
          <w:iCs w:val="1"/>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7" w:lineRule="exact"/>
        <w:rPr>
          <w:rFonts w:ascii="Arial" w:cs="Arial" w:eastAsia="Arial" w:hAnsi="Arial"/>
          <w:sz w:val="16"/>
          <w:szCs w:val="16"/>
          <w:color w:val="auto"/>
        </w:rPr>
      </w:pPr>
    </w:p>
    <w:p>
      <w:pPr>
        <w:jc w:val="both"/>
        <w:ind w:firstLine="1938"/>
        <w:spacing w:after="0" w:line="273" w:lineRule="auto"/>
        <w:tabs>
          <w:tab w:leader="none" w:pos="2183" w:val="left"/>
        </w:tabs>
        <w:numPr>
          <w:ilvl w:val="1"/>
          <w:numId w:val="195"/>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5" w:name="page186"/>
    <w:bookmarkEnd w:id="185"/>
    <w:p>
      <w:pPr>
        <w:jc w:val="both"/>
        <w:ind w:firstLine="1938"/>
        <w:spacing w:after="0" w:line="253" w:lineRule="auto"/>
        <w:tabs>
          <w:tab w:leader="none" w:pos="218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38"/>
        <w:spacing w:after="0" w:line="260" w:lineRule="auto"/>
        <w:tabs>
          <w:tab w:leader="none" w:pos="214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5" w:lineRule="exact"/>
        <w:rPr>
          <w:rFonts w:ascii="Arial" w:cs="Arial" w:eastAsia="Arial" w:hAnsi="Arial"/>
          <w:sz w:val="18"/>
          <w:szCs w:val="18"/>
          <w:color w:val="auto"/>
        </w:rPr>
      </w:pPr>
    </w:p>
    <w:p>
      <w:pPr>
        <w:jc w:val="both"/>
        <w:ind w:firstLine="1938"/>
        <w:spacing w:after="0" w:line="256" w:lineRule="auto"/>
        <w:tabs>
          <w:tab w:leader="none" w:pos="214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9" w:lineRule="exact"/>
        <w:rPr>
          <w:rFonts w:ascii="Arial" w:cs="Arial" w:eastAsia="Arial" w:hAnsi="Arial"/>
          <w:sz w:val="18"/>
          <w:szCs w:val="18"/>
          <w:color w:val="auto"/>
        </w:rPr>
      </w:pPr>
    </w:p>
    <w:p>
      <w:pPr>
        <w:jc w:val="both"/>
        <w:ind w:firstLine="1938"/>
        <w:spacing w:after="0" w:line="289" w:lineRule="auto"/>
        <w:tabs>
          <w:tab w:leader="none" w:pos="2183"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5" w:lineRule="exact"/>
        <w:rPr>
          <w:rFonts w:ascii="Arial" w:cs="Arial" w:eastAsia="Arial" w:hAnsi="Arial"/>
          <w:sz w:val="16"/>
          <w:szCs w:val="16"/>
          <w:color w:val="auto"/>
        </w:rPr>
      </w:pPr>
    </w:p>
    <w:p>
      <w:pPr>
        <w:ind w:left="1560" w:hanging="266"/>
        <w:spacing w:after="0"/>
        <w:tabs>
          <w:tab w:leader="none" w:pos="156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17" w:lineRule="exact"/>
        <w:rPr>
          <w:rFonts w:ascii="Arial" w:cs="Arial" w:eastAsia="Arial" w:hAnsi="Arial"/>
          <w:sz w:val="18"/>
          <w:szCs w:val="18"/>
          <w:color w:val="auto"/>
        </w:rPr>
      </w:pPr>
    </w:p>
    <w:p>
      <w:pPr>
        <w:jc w:val="both"/>
        <w:ind w:firstLine="1938"/>
        <w:spacing w:after="0" w:line="258" w:lineRule="auto"/>
        <w:tabs>
          <w:tab w:leader="none" w:pos="217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82" w:lineRule="exact"/>
        <w:rPr>
          <w:rFonts w:ascii="Arial" w:cs="Arial" w:eastAsia="Arial" w:hAnsi="Arial"/>
          <w:sz w:val="18"/>
          <w:szCs w:val="18"/>
          <w:color w:val="auto"/>
        </w:rPr>
      </w:pPr>
    </w:p>
    <w:p>
      <w:pPr>
        <w:ind w:firstLine="1938"/>
        <w:spacing w:after="0" w:line="276" w:lineRule="auto"/>
        <w:tabs>
          <w:tab w:leader="none" w:pos="218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6" w:name="page187"/>
    <w:bookmarkEnd w:id="186"/>
    <w:p>
      <w:pPr>
        <w:jc w:val="both"/>
        <w:ind w:firstLine="1938"/>
        <w:spacing w:after="0" w:line="262" w:lineRule="auto"/>
        <w:tabs>
          <w:tab w:leader="none" w:pos="22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80" w:lineRule="exact"/>
        <w:rPr>
          <w:rFonts w:ascii="Arial" w:cs="Arial" w:eastAsia="Arial" w:hAnsi="Arial"/>
          <w:sz w:val="18"/>
          <w:szCs w:val="18"/>
          <w:color w:val="auto"/>
        </w:rPr>
      </w:pPr>
    </w:p>
    <w:p>
      <w:pPr>
        <w:jc w:val="both"/>
        <w:ind w:firstLine="1938"/>
        <w:spacing w:after="0" w:line="292" w:lineRule="auto"/>
        <w:tabs>
          <w:tab w:leader="none" w:pos="221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8" w:lineRule="exact"/>
        <w:rPr>
          <w:rFonts w:ascii="Arial" w:cs="Arial" w:eastAsia="Arial" w:hAnsi="Arial"/>
          <w:sz w:val="16"/>
          <w:szCs w:val="16"/>
          <w:color w:val="auto"/>
        </w:rPr>
      </w:pPr>
    </w:p>
    <w:p>
      <w:pPr>
        <w:jc w:val="both"/>
        <w:ind w:firstLine="1938"/>
        <w:spacing w:after="0" w:line="265" w:lineRule="auto"/>
        <w:tabs>
          <w:tab w:leader="none" w:pos="2173"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5" w:lineRule="exact"/>
        <w:rPr>
          <w:rFonts w:ascii="Arial" w:cs="Arial" w:eastAsia="Arial" w:hAnsi="Arial"/>
          <w:sz w:val="17"/>
          <w:szCs w:val="17"/>
          <w:color w:val="auto"/>
        </w:rPr>
      </w:pPr>
    </w:p>
    <w:p>
      <w:pPr>
        <w:jc w:val="both"/>
        <w:ind w:firstLine="1938"/>
        <w:spacing w:after="0" w:line="264" w:lineRule="auto"/>
        <w:tabs>
          <w:tab w:leader="none" w:pos="2167"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7" w:name="page188"/>
    <w:bookmarkEnd w:id="187"/>
    <w:p>
      <w:pPr>
        <w:ind w:left="2200" w:hanging="262"/>
        <w:spacing w:after="0"/>
        <w:tabs>
          <w:tab w:leader="none" w:pos="22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1" w:lineRule="exact"/>
        <w:rPr>
          <w:rFonts w:ascii="Arial" w:cs="Arial" w:eastAsia="Arial" w:hAnsi="Arial"/>
          <w:sz w:val="18"/>
          <w:szCs w:val="18"/>
          <w:color w:val="auto"/>
        </w:rPr>
      </w:pPr>
    </w:p>
    <w:p>
      <w:pPr>
        <w:ind w:firstLine="1938"/>
        <w:spacing w:after="0" w:line="341" w:lineRule="auto"/>
        <w:tabs>
          <w:tab w:leader="none" w:pos="219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20" w:lineRule="exact"/>
        <w:rPr>
          <w:rFonts w:ascii="Arial" w:cs="Arial" w:eastAsia="Arial" w:hAnsi="Arial"/>
          <w:sz w:val="16"/>
          <w:szCs w:val="16"/>
          <w:color w:val="auto"/>
        </w:rPr>
      </w:pPr>
    </w:p>
    <w:p>
      <w:pPr>
        <w:jc w:val="both"/>
        <w:ind w:firstLine="1938"/>
        <w:spacing w:after="0" w:line="265" w:lineRule="auto"/>
        <w:tabs>
          <w:tab w:leader="none" w:pos="215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84" w:lineRule="exact"/>
        <w:rPr>
          <w:rFonts w:ascii="Arial" w:cs="Arial" w:eastAsia="Arial" w:hAnsi="Arial"/>
          <w:sz w:val="17"/>
          <w:szCs w:val="17"/>
          <w:color w:val="auto"/>
        </w:rPr>
      </w:pPr>
    </w:p>
    <w:p>
      <w:pPr>
        <w:ind w:firstLine="1938"/>
        <w:spacing w:after="0" w:line="307" w:lineRule="auto"/>
        <w:tabs>
          <w:tab w:leader="none" w:pos="214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43" w:lineRule="exact"/>
        <w:rPr>
          <w:rFonts w:ascii="Arial" w:cs="Arial" w:eastAsia="Arial" w:hAnsi="Arial"/>
          <w:sz w:val="17"/>
          <w:szCs w:val="17"/>
          <w:color w:val="auto"/>
        </w:rPr>
      </w:pPr>
    </w:p>
    <w:p>
      <w:pPr>
        <w:ind w:firstLine="1938"/>
        <w:spacing w:after="0" w:line="276" w:lineRule="auto"/>
        <w:tabs>
          <w:tab w:leader="none" w:pos="222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7" w:lineRule="exact"/>
        <w:rPr>
          <w:rFonts w:ascii="Arial" w:cs="Arial" w:eastAsia="Arial" w:hAnsi="Arial"/>
          <w:sz w:val="18"/>
          <w:szCs w:val="18"/>
          <w:color w:val="auto"/>
        </w:rPr>
      </w:pPr>
    </w:p>
    <w:p>
      <w:pPr>
        <w:ind w:right="20" w:firstLine="1938"/>
        <w:spacing w:after="0" w:line="276" w:lineRule="auto"/>
        <w:tabs>
          <w:tab w:leader="none" w:pos="215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8" w:name="page189"/>
    <w:bookmarkEnd w:id="188"/>
    <w:p>
      <w:pPr>
        <w:jc w:val="both"/>
        <w:ind w:firstLine="1938"/>
        <w:spacing w:after="0" w:line="283" w:lineRule="auto"/>
        <w:tabs>
          <w:tab w:leader="none" w:pos="2246" w:val="left"/>
        </w:tabs>
        <w:numPr>
          <w:ilvl w:val="1"/>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Arial" w:cs="Arial" w:eastAsia="Arial" w:hAnsi="Arial"/>
          <w:sz w:val="16"/>
          <w:szCs w:val="16"/>
          <w:b w:val="1"/>
          <w:bCs w:val="1"/>
          <w:color w:val="auto"/>
        </w:rPr>
        <w:t>Metropolitan Entities</w:t>
      </w:r>
      <w:r>
        <w:rPr>
          <w:rFonts w:ascii="Arial" w:cs="Arial" w:eastAsia="Arial" w:hAnsi="Arial"/>
          <w:sz w:val="16"/>
          <w:szCs w:val="16"/>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and (E) this Warrant and any other warrant issued to the Metropolitan Entities in connection with the Third Amendment.</w:t>
      </w:r>
    </w:p>
    <w:p>
      <w:pPr>
        <w:spacing w:after="0" w:line="170" w:lineRule="exact"/>
        <w:rPr>
          <w:rFonts w:ascii="Arial" w:cs="Arial" w:eastAsia="Arial" w:hAnsi="Arial"/>
          <w:sz w:val="16"/>
          <w:szCs w:val="16"/>
          <w:color w:val="auto"/>
        </w:rPr>
      </w:pPr>
    </w:p>
    <w:p>
      <w:pPr>
        <w:ind w:firstLine="1938"/>
        <w:spacing w:after="0" w:line="307" w:lineRule="auto"/>
        <w:tabs>
          <w:tab w:leader="none" w:pos="2183" w:val="left"/>
        </w:tabs>
        <w:numPr>
          <w:ilvl w:val="1"/>
          <w:numId w:val="2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43" w:lineRule="exact"/>
        <w:rPr>
          <w:rFonts w:ascii="Arial" w:cs="Arial" w:eastAsia="Arial" w:hAnsi="Arial"/>
          <w:sz w:val="17"/>
          <w:szCs w:val="17"/>
          <w:color w:val="auto"/>
        </w:rPr>
      </w:pPr>
    </w:p>
    <w:p>
      <w:pPr>
        <w:jc w:val="both"/>
        <w:ind w:firstLine="1938"/>
        <w:spacing w:after="0" w:line="281" w:lineRule="auto"/>
        <w:tabs>
          <w:tab w:leader="none" w:pos="222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w:t>
      </w:r>
    </w:p>
    <w:p>
      <w:pPr>
        <w:spacing w:after="0" w:line="1" w:lineRule="exact"/>
        <w:rPr>
          <w:rFonts w:ascii="Arial" w:cs="Arial" w:eastAsia="Arial" w:hAnsi="Arial"/>
          <w:sz w:val="16"/>
          <w:szCs w:val="16"/>
          <w:color w:val="auto"/>
        </w:rPr>
      </w:pPr>
    </w:p>
    <w:p>
      <w:pPr>
        <w:jc w:val="both"/>
        <w:ind w:firstLine="7"/>
        <w:spacing w:after="0" w:line="282" w:lineRule="auto"/>
        <w:tabs>
          <w:tab w:leader="none" w:pos="30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9" w:name="page190"/>
    <w:bookmarkEnd w:id="189"/>
    <w:p>
      <w:pPr>
        <w:ind w:left="2200" w:hanging="262"/>
        <w:spacing w:after="0"/>
        <w:tabs>
          <w:tab w:leader="none" w:pos="22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a “group” as that term is used in Section 13(d) of the Exchange Act and as defined in Rule 13d-5 thereunder.</w:t>
      </w:r>
    </w:p>
    <w:p>
      <w:pPr>
        <w:spacing w:after="0" w:line="244" w:lineRule="exact"/>
        <w:rPr>
          <w:rFonts w:ascii="Arial" w:cs="Arial" w:eastAsia="Arial" w:hAnsi="Arial"/>
          <w:sz w:val="16"/>
          <w:szCs w:val="16"/>
          <w:color w:val="auto"/>
        </w:rPr>
      </w:pPr>
    </w:p>
    <w:p>
      <w:pPr>
        <w:ind w:left="2220" w:hanging="282"/>
        <w:spacing w:after="0"/>
        <w:tabs>
          <w:tab w:leader="none" w:pos="222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5" w:lineRule="exact"/>
        <w:rPr>
          <w:sz w:val="20"/>
          <w:szCs w:val="20"/>
          <w:color w:val="auto"/>
        </w:rPr>
      </w:pPr>
    </w:p>
    <w:p>
      <w:pPr>
        <w:jc w:val="both"/>
        <w:ind w:firstLine="1938"/>
        <w:spacing w:after="0" w:line="255" w:lineRule="auto"/>
        <w:tabs>
          <w:tab w:leader="none" w:pos="215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7" w:lineRule="exact"/>
        <w:rPr>
          <w:rFonts w:ascii="Arial" w:cs="Arial" w:eastAsia="Arial" w:hAnsi="Arial"/>
          <w:sz w:val="18"/>
          <w:szCs w:val="18"/>
          <w:color w:val="auto"/>
        </w:rPr>
      </w:pPr>
    </w:p>
    <w:p>
      <w:pPr>
        <w:ind w:right="20" w:firstLine="1938"/>
        <w:spacing w:after="0" w:line="276" w:lineRule="auto"/>
        <w:tabs>
          <w:tab w:leader="none" w:pos="217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7" w:lineRule="exact"/>
        <w:rPr>
          <w:rFonts w:ascii="Arial" w:cs="Arial" w:eastAsia="Arial" w:hAnsi="Arial"/>
          <w:sz w:val="18"/>
          <w:szCs w:val="18"/>
          <w:color w:val="auto"/>
        </w:rPr>
      </w:pPr>
    </w:p>
    <w:p>
      <w:pPr>
        <w:ind w:firstLine="1938"/>
        <w:spacing w:after="0" w:line="276" w:lineRule="auto"/>
        <w:tabs>
          <w:tab w:leader="none" w:pos="214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7" w:lineRule="exact"/>
        <w:rPr>
          <w:rFonts w:ascii="Arial" w:cs="Arial" w:eastAsia="Arial" w:hAnsi="Arial"/>
          <w:sz w:val="18"/>
          <w:szCs w:val="18"/>
          <w:color w:val="auto"/>
        </w:rPr>
      </w:pPr>
    </w:p>
    <w:p>
      <w:pPr>
        <w:ind w:left="2200" w:hanging="262"/>
        <w:spacing w:after="0"/>
        <w:tabs>
          <w:tab w:leader="none" w:pos="22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1" w:lineRule="exact"/>
        <w:rPr>
          <w:rFonts w:ascii="Arial" w:cs="Arial" w:eastAsia="Arial" w:hAnsi="Arial"/>
          <w:sz w:val="18"/>
          <w:szCs w:val="18"/>
          <w:color w:val="auto"/>
        </w:rPr>
      </w:pPr>
    </w:p>
    <w:p>
      <w:pPr>
        <w:ind w:left="2200" w:hanging="262"/>
        <w:spacing w:after="0"/>
        <w:tabs>
          <w:tab w:leader="none" w:pos="22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4" w:lineRule="exact"/>
        <w:rPr>
          <w:rFonts w:ascii="Arial" w:cs="Arial" w:eastAsia="Arial" w:hAnsi="Arial"/>
          <w:sz w:val="16"/>
          <w:szCs w:val="16"/>
          <w:color w:val="auto"/>
        </w:rPr>
      </w:pPr>
    </w:p>
    <w:p>
      <w:pPr>
        <w:jc w:val="both"/>
        <w:ind w:firstLine="1938"/>
        <w:spacing w:after="0" w:line="262" w:lineRule="auto"/>
        <w:tabs>
          <w:tab w:leader="none" w:pos="223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0" w:name="page191"/>
    <w:bookmarkEnd w:id="190"/>
    <w:p>
      <w:pPr>
        <w:jc w:val="both"/>
        <w:ind w:firstLine="1938"/>
        <w:spacing w:after="0" w:line="295" w:lineRule="auto"/>
        <w:tabs>
          <w:tab w:leader="none" w:pos="218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6" w:lineRule="exact"/>
        <w:rPr>
          <w:rFonts w:ascii="Arial" w:cs="Arial" w:eastAsia="Arial" w:hAnsi="Arial"/>
          <w:sz w:val="16"/>
          <w:szCs w:val="16"/>
          <w:color w:val="auto"/>
        </w:rPr>
      </w:pPr>
    </w:p>
    <w:p>
      <w:pPr>
        <w:jc w:val="both"/>
        <w:ind w:firstLine="1938"/>
        <w:spacing w:after="0" w:line="283" w:lineRule="auto"/>
        <w:tabs>
          <w:tab w:leader="none" w:pos="218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19"/>
          <w:szCs w:val="19"/>
          <w:b w:val="1"/>
          <w:bCs w:val="1"/>
          <w:color w:val="auto"/>
        </w:rPr>
        <w:t>‎</w:t>
      </w:r>
      <w:r>
        <w:rPr>
          <w:rFonts w:ascii="Arial" w:cs="Arial" w:eastAsia="Arial" w:hAnsi="Arial"/>
          <w:sz w:val="16"/>
          <w:szCs w:val="16"/>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1" w:name="page192"/>
    <w:bookmarkEnd w:id="191"/>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Xavier Casanova</w:t>
      </w:r>
    </w:p>
    <w:p>
      <w:pPr>
        <w:spacing w:after="0" w:line="3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-130175</wp:posOffset>
            </wp:positionV>
            <wp:extent cx="249428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4"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713359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holder hereby exercises the right to purchase _________________ 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Presto</w:t>
      </w:r>
    </w:p>
    <w:p>
      <w:pPr>
        <w:spacing w:after="0" w:line="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Automation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evidenced by the attached Warrant to Purchase Common Stock (the “</w:t>
      </w:r>
      <w:r>
        <w:rPr>
          <w:rFonts w:ascii="Arial" w:cs="Arial" w:eastAsia="Arial" w:hAnsi="Arial"/>
          <w:sz w:val="18"/>
          <w:szCs w:val="18"/>
          <w:b w:val="1"/>
          <w:bCs w:val="1"/>
          <w:color w:val="auto"/>
        </w:rPr>
        <w:t>Warrant</w:t>
      </w:r>
      <w:r>
        <w:rPr>
          <w:rFonts w:ascii="Arial" w:cs="Arial" w:eastAsia="Arial" w:hAnsi="Arial"/>
          <w:sz w:val="18"/>
          <w:szCs w:val="18"/>
          <w:color w:val="auto"/>
        </w:rPr>
        <w:t>”). Capitalized terms used herein and not otherwise defined shall have the respective meanings set forth in the Warrant.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80" w:type="dxa"/>
            <w:vAlign w:val="bottom"/>
          </w:tcPr>
          <w:p>
            <w:pPr>
              <w:jc w:val="right"/>
              <w:ind w:right="31"/>
              <w:spacing w:after="0"/>
              <w:rPr>
                <w:sz w:val="20"/>
                <w:szCs w:val="20"/>
                <w:color w:val="auto"/>
              </w:rPr>
            </w:pPr>
            <w:r>
              <w:rPr>
                <w:rFonts w:ascii="Arial" w:cs="Arial" w:eastAsia="Arial" w:hAnsi="Arial"/>
                <w:sz w:val="18"/>
                <w:szCs w:val="18"/>
                <w:color w:val="auto"/>
                <w:w w:val="86"/>
              </w:rPr>
              <w:t>____________</w:t>
            </w:r>
          </w:p>
        </w:tc>
        <w:tc>
          <w:tcPr>
            <w:tcW w:w="5740" w:type="dxa"/>
            <w:vAlign w:val="bottom"/>
            <w:gridSpan w:val="4"/>
          </w:tcPr>
          <w:p>
            <w:pPr>
              <w:ind w:left="10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409"/>
        </w:trPr>
        <w:tc>
          <w:tcPr>
            <w:tcW w:w="1180" w:type="dxa"/>
            <w:vAlign w:val="bottom"/>
          </w:tcPr>
          <w:p>
            <w:pPr>
              <w:jc w:val="right"/>
              <w:ind w:right="31"/>
              <w:spacing w:after="0"/>
              <w:rPr>
                <w:sz w:val="20"/>
                <w:szCs w:val="20"/>
                <w:color w:val="auto"/>
              </w:rPr>
            </w:pPr>
            <w:r>
              <w:rPr>
                <w:rFonts w:ascii="Arial" w:cs="Arial" w:eastAsia="Arial" w:hAnsi="Arial"/>
                <w:sz w:val="18"/>
                <w:szCs w:val="18"/>
                <w:color w:val="auto"/>
                <w:w w:val="86"/>
              </w:rPr>
              <w:t>____________</w:t>
            </w:r>
          </w:p>
        </w:tc>
        <w:tc>
          <w:tcPr>
            <w:tcW w:w="5740" w:type="dxa"/>
            <w:vAlign w:val="bottom"/>
            <w:gridSpan w:val="4"/>
          </w:tcPr>
          <w:p>
            <w:pPr>
              <w:ind w:left="100"/>
              <w:spacing w:after="0"/>
              <w:rPr>
                <w:sz w:val="20"/>
                <w:szCs w:val="20"/>
                <w:color w:val="auto"/>
              </w:rPr>
            </w:pPr>
            <w:r>
              <w:rPr>
                <w:rFonts w:ascii="Arial" w:cs="Arial" w:eastAsia="Arial" w:hAnsi="Arial"/>
                <w:sz w:val="18"/>
                <w:szCs w:val="18"/>
                <w:color w:val="auto"/>
                <w:w w:val="92"/>
              </w:rPr>
              <w:t>a “Cashless Exercise” with respect to _________________ Warrant Shares.</w:t>
            </w:r>
          </w:p>
        </w:tc>
      </w:tr>
      <w:tr>
        <w:trPr>
          <w:trHeight w:val="20"/>
        </w:trPr>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4" w:lineRule="exact"/>
        <w:rPr>
          <w:sz w:val="20"/>
          <w:szCs w:val="20"/>
          <w:color w:val="auto"/>
        </w:rPr>
      </w:pPr>
    </w:p>
    <w:p>
      <w:pPr>
        <w:jc w:val="both"/>
        <w:ind w:firstLine="651"/>
        <w:spacing w:after="0" w:line="260" w:lineRule="auto"/>
        <w:tabs>
          <w:tab w:leader="none" w:pos="82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5" w:lineRule="exact"/>
        <w:rPr>
          <w:rFonts w:ascii="Arial" w:cs="Arial" w:eastAsia="Arial" w:hAnsi="Arial"/>
          <w:sz w:val="18"/>
          <w:szCs w:val="18"/>
          <w:color w:val="auto"/>
        </w:rPr>
      </w:pPr>
    </w:p>
    <w:p>
      <w:pPr>
        <w:ind w:left="820" w:hanging="169"/>
        <w:spacing w:after="0"/>
        <w:tabs>
          <w:tab w:leader="none" w:pos="8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Electronic Delivery</w:t>
            </w:r>
          </w:p>
        </w:tc>
        <w:tc>
          <w:tcPr>
            <w:tcW w:w="7780" w:type="dxa"/>
            <w:vAlign w:val="bottom"/>
            <w:gridSpan w:val="5"/>
          </w:tcPr>
          <w:p>
            <w:pPr>
              <w:ind w:left="90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199"/>
        </w:trPr>
        <w:tc>
          <w:tcPr>
            <w:tcW w:w="4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2180" w:type="dxa"/>
            <w:vAlign w:val="bottom"/>
            <w:gridSpan w:val="3"/>
          </w:tcPr>
          <w:p>
            <w:pPr>
              <w:ind w:left="900"/>
              <w:spacing w:after="0" w:line="200" w:lineRule="exact"/>
              <w:rPr>
                <w:sz w:val="20"/>
                <w:szCs w:val="20"/>
                <w:color w:val="auto"/>
              </w:rPr>
            </w:pPr>
            <w:r>
              <w:rPr>
                <w:rFonts w:ascii="Arial" w:cs="Arial" w:eastAsia="Arial" w:hAnsi="Arial"/>
                <w:sz w:val="18"/>
                <w:szCs w:val="18"/>
                <w:color w:val="auto"/>
              </w:rPr>
              <w:t>DTC Number:</w:t>
            </w:r>
          </w:p>
        </w:tc>
        <w:tc>
          <w:tcPr>
            <w:tcW w:w="60" w:type="dxa"/>
            <w:vAlign w:val="bottom"/>
            <w:tcBorders>
              <w:top w:val="single" w:sz="8" w:color="auto"/>
            </w:tcBorders>
          </w:tcPr>
          <w:p>
            <w:pPr>
              <w:spacing w:after="0"/>
              <w:rPr>
                <w:sz w:val="17"/>
                <w:szCs w:val="17"/>
                <w:color w:val="auto"/>
              </w:rPr>
            </w:pPr>
          </w:p>
        </w:tc>
        <w:tc>
          <w:tcPr>
            <w:tcW w:w="5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180" w:type="dxa"/>
            <w:vAlign w:val="bottom"/>
            <w:gridSpan w:val="3"/>
            <w:vMerge w:val="restart"/>
          </w:tcPr>
          <w:p>
            <w:pPr>
              <w:ind w:left="900"/>
              <w:spacing w:after="0"/>
              <w:rPr>
                <w:sz w:val="20"/>
                <w:szCs w:val="20"/>
                <w:color w:val="auto"/>
              </w:rPr>
            </w:pPr>
            <w:r>
              <w:rPr>
                <w:rFonts w:ascii="Arial" w:cs="Arial" w:eastAsia="Arial" w:hAnsi="Arial"/>
                <w:sz w:val="18"/>
                <w:szCs w:val="18"/>
                <w:color w:val="auto"/>
              </w:rPr>
              <w:t>Account Name:</w:t>
            </w:r>
          </w:p>
        </w:tc>
        <w:tc>
          <w:tcPr>
            <w:tcW w:w="6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180" w:type="dxa"/>
            <w:vAlign w:val="bottom"/>
            <w:gridSpan w:val="3"/>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180" w:type="dxa"/>
            <w:vAlign w:val="bottom"/>
            <w:gridSpan w:val="3"/>
          </w:tcPr>
          <w:p>
            <w:pPr>
              <w:ind w:left="900"/>
              <w:spacing w:after="0" w:line="200" w:lineRule="exact"/>
              <w:rPr>
                <w:sz w:val="20"/>
                <w:szCs w:val="20"/>
                <w:color w:val="auto"/>
              </w:rPr>
            </w:pPr>
            <w:r>
              <w:rPr>
                <w:rFonts w:ascii="Arial" w:cs="Arial" w:eastAsia="Arial" w:hAnsi="Arial"/>
                <w:sz w:val="18"/>
                <w:szCs w:val="18"/>
                <w:color w:val="auto"/>
                <w:w w:val="90"/>
              </w:rPr>
              <w:t>Account Number:</w:t>
            </w:r>
          </w:p>
        </w:tc>
        <w:tc>
          <w:tcPr>
            <w:tcW w:w="6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Physical Delivery</w:t>
            </w:r>
          </w:p>
        </w:tc>
        <w:tc>
          <w:tcPr>
            <w:tcW w:w="7780" w:type="dxa"/>
            <w:vAlign w:val="bottom"/>
            <w:gridSpan w:val="5"/>
          </w:tcPr>
          <w:p>
            <w:pPr>
              <w:ind w:left="86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35"/>
        </w:trPr>
        <w:tc>
          <w:tcPr>
            <w:tcW w:w="3460" w:type="dxa"/>
            <w:vAlign w:val="bottom"/>
            <w:gridSpan w:val="4"/>
            <w:vMerge w:val="restart"/>
          </w:tcPr>
          <w:p>
            <w:pPr>
              <w:spacing w:after="0"/>
              <w:rPr>
                <w:sz w:val="20"/>
                <w:szCs w:val="20"/>
                <w:color w:val="auto"/>
              </w:rPr>
            </w:pPr>
            <w:r>
              <w:rPr>
                <w:rFonts w:ascii="Arial" w:cs="Arial" w:eastAsia="Arial" w:hAnsi="Arial"/>
                <w:sz w:val="18"/>
                <w:szCs w:val="18"/>
                <w:color w:val="auto"/>
              </w:rPr>
              <w:t>Date: _______________ __, ______</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460" w:type="dxa"/>
            <w:vAlign w:val="bottom"/>
            <w:gridSpan w:val="4"/>
            <w:vMerge w:val="continue"/>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gridSpan w:val="4"/>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4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460" w:type="dxa"/>
            <w:vAlign w:val="bottom"/>
            <w:gridSpan w:val="4"/>
          </w:tcPr>
          <w:p>
            <w:pPr>
              <w:spacing w:after="0"/>
              <w:rPr>
                <w:sz w:val="20"/>
                <w:szCs w:val="20"/>
                <w:color w:val="auto"/>
              </w:rPr>
            </w:pPr>
            <w:r>
              <w:rPr>
                <w:rFonts w:ascii="Arial" w:cs="Arial" w:eastAsia="Arial" w:hAnsi="Arial"/>
                <w:sz w:val="18"/>
                <w:szCs w:val="18"/>
                <w:color w:val="auto"/>
              </w:rPr>
              <w:t>Name of Registered Holder</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3460" w:type="dxa"/>
            <w:vAlign w:val="bottom"/>
            <w:gridSpan w:val="4"/>
          </w:tcPr>
          <w:p>
            <w:pPr>
              <w:spacing w:after="0"/>
              <w:rPr>
                <w:sz w:val="20"/>
                <w:szCs w:val="20"/>
                <w:color w:val="auto"/>
              </w:rPr>
            </w:pPr>
            <w:r>
              <w:rPr>
                <w:rFonts w:ascii="Arial" w:cs="Arial" w:eastAsia="Arial" w:hAnsi="Arial"/>
                <w:sz w:val="18"/>
                <w:szCs w:val="18"/>
                <w:color w:val="auto"/>
              </w:rPr>
              <w:t>By:</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300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Name:</w:t>
            </w: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60" w:type="dxa"/>
            <w:vAlign w:val="bottom"/>
            <w:gridSpan w:val="4"/>
          </w:tcPr>
          <w:p>
            <w:pPr>
              <w:ind w:left="460"/>
              <w:spacing w:after="0"/>
              <w:rPr>
                <w:sz w:val="20"/>
                <w:szCs w:val="20"/>
                <w:color w:val="auto"/>
              </w:rPr>
            </w:pPr>
            <w:r>
              <w:rPr>
                <w:rFonts w:ascii="Arial" w:cs="Arial" w:eastAsia="Arial" w:hAnsi="Arial"/>
                <w:sz w:val="18"/>
                <w:szCs w:val="18"/>
                <w:color w:val="auto"/>
              </w:rPr>
              <w:t>Title: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9"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39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PRESTO AUTOMATION INC.</w:t>
      </w:r>
    </w:p>
    <w:p>
      <w:pPr>
        <w:spacing w:after="0" w:line="22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4005580</wp:posOffset>
            </wp:positionH>
            <wp:positionV relativeFrom="paragraph">
              <wp:posOffset>-130175</wp:posOffset>
            </wp:positionV>
            <wp:extent cx="313245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3132455" cy="17145"/>
                    </a:xfrm>
                    <a:prstGeom prst="rect">
                      <a:avLst/>
                    </a:prstGeom>
                    <a:noFill/>
                  </pic:spPr>
                </pic:pic>
              </a:graphicData>
            </a:graphic>
          </wp:anchor>
        </w:drawing>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286385</wp:posOffset>
            </wp:positionV>
            <wp:extent cx="713359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ASSIGNMENT FORM</w:t>
      </w:r>
    </w:p>
    <w:p>
      <w:pPr>
        <w:spacing w:after="0" w:line="22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this form and supply required information.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 not use this form to exercise the warrant.)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22"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49968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499681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175895</wp:posOffset>
            </wp:positionV>
            <wp:extent cx="49968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499681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22225</wp:posOffset>
            </wp:positionV>
            <wp:extent cx="49968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49968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Dated: __________________, ____</w:t>
      </w:r>
    </w:p>
    <w:p>
      <w:pPr>
        <w:spacing w:after="0" w:line="34"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Holder’s Signature:</w:t>
      </w:r>
    </w:p>
    <w:p>
      <w:pPr>
        <w:spacing w:after="0" w:line="34"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175895</wp:posOffset>
            </wp:positionV>
            <wp:extent cx="177927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1779270" cy="1714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22225</wp:posOffset>
            </wp:positionV>
            <wp:extent cx="177927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1779270" cy="1714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-130175</wp:posOffset>
            </wp:positionV>
            <wp:extent cx="177927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177927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359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4.36</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6" w:lineRule="exact"/>
        <w:rPr>
          <w:sz w:val="20"/>
          <w:szCs w:val="20"/>
          <w:color w:val="auto"/>
        </w:rPr>
      </w:pPr>
    </w:p>
    <w:p>
      <w:pPr>
        <w:ind w:firstLine="965"/>
        <w:spacing w:after="0" w:line="272"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October 16, 2023, between Presto Automation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purchaser signatory hereto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74" w:lineRule="exact"/>
        <w:rPr>
          <w:sz w:val="20"/>
          <w:szCs w:val="20"/>
          <w:color w:val="auto"/>
        </w:rPr>
      </w:pPr>
    </w:p>
    <w:p>
      <w:pPr>
        <w:ind w:firstLine="965"/>
        <w:spacing w:after="0" w:line="272" w:lineRule="auto"/>
        <w:rPr>
          <w:sz w:val="20"/>
          <w:szCs w:val="20"/>
          <w:color w:val="auto"/>
        </w:rPr>
      </w:pPr>
      <w:r>
        <w:rPr>
          <w:rFonts w:ascii="Arial" w:cs="Arial" w:eastAsia="Arial" w:hAnsi="Arial"/>
          <w:sz w:val="18"/>
          <w:szCs w:val="18"/>
          <w:color w:val="auto"/>
        </w:rPr>
        <w:t>This Agreement is made pursuant to the Securities Purchase Agreement, dated as of October 10, 2023, between the Company and the Purchaser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the Purchaser hereby agrees as follows:</w:t>
      </w:r>
    </w:p>
    <w:p>
      <w:pPr>
        <w:spacing w:after="0" w:line="222" w:lineRule="exact"/>
        <w:rPr>
          <w:sz w:val="20"/>
          <w:szCs w:val="20"/>
          <w:color w:val="auto"/>
        </w:rPr>
      </w:pPr>
    </w:p>
    <w:p>
      <w:pPr>
        <w:ind w:left="820" w:hanging="169"/>
        <w:spacing w:after="0"/>
        <w:tabs>
          <w:tab w:leader="none" w:pos="82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18" w:lineRule="exact"/>
        <w:rPr>
          <w:sz w:val="20"/>
          <w:szCs w:val="20"/>
          <w:color w:val="auto"/>
        </w:rPr>
      </w:pPr>
    </w:p>
    <w:p>
      <w:pPr>
        <w:ind w:firstLine="965"/>
        <w:spacing w:after="0" w:line="307" w:lineRule="auto"/>
        <w:rPr>
          <w:sz w:val="20"/>
          <w:szCs w:val="20"/>
          <w:color w:val="auto"/>
        </w:rPr>
      </w:pPr>
      <w:r>
        <w:rPr>
          <w:rFonts w:ascii="Arial" w:cs="Arial" w:eastAsia="Arial" w:hAnsi="Arial"/>
          <w:sz w:val="17"/>
          <w:szCs w:val="17"/>
          <w:b w:val="1"/>
          <w:bCs w:val="1"/>
          <w:color w:val="auto"/>
        </w:rPr>
        <w:t xml:space="preserve">Capitalized terms used and not otherwise defined herein that are defined in the Purchase Agreement shall have the meanings given such terms in the Purchase Agreement. </w:t>
      </w:r>
      <w:r>
        <w:rPr>
          <w:rFonts w:ascii="Arial" w:cs="Arial" w:eastAsia="Arial" w:hAnsi="Arial"/>
          <w:sz w:val="17"/>
          <w:szCs w:val="17"/>
          <w:color w:val="auto"/>
        </w:rPr>
        <w:t>As used in this Agreement, the following terms shall have the following meanings: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Advice</w:t>
      </w:r>
      <w:r>
        <w:rPr>
          <w:rFonts w:ascii="Arial" w:cs="Arial" w:eastAsia="Arial" w:hAnsi="Arial"/>
          <w:sz w:val="18"/>
          <w:szCs w:val="18"/>
          <w:color w:val="auto"/>
        </w:rPr>
        <w:t>” shall have the meaning set forth in Section 6(c).</w:t>
      </w:r>
    </w:p>
    <w:p>
      <w:pPr>
        <w:spacing w:after="0" w:line="226" w:lineRule="exact"/>
        <w:rPr>
          <w:sz w:val="20"/>
          <w:szCs w:val="20"/>
          <w:color w:val="auto"/>
        </w:rPr>
      </w:pPr>
    </w:p>
    <w:p>
      <w:pPr>
        <w:jc w:val="both"/>
        <w:ind w:left="660" w:firstLine="644"/>
        <w:spacing w:after="0" w:line="2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Effectiveness Date</w:t>
      </w:r>
      <w:r>
        <w:rPr>
          <w:rFonts w:ascii="Arial" w:cs="Arial" w:eastAsia="Arial" w:hAnsi="Arial"/>
          <w:sz w:val="16"/>
          <w:szCs w:val="16"/>
          <w:color w:val="auto"/>
        </w:rPr>
        <w:t>” means, with respect to the Initial Registration Statement required to be filed hereunder,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hereof (or, in the event of a “full review” by the Commission,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hereof) and with respect to any additional Registration Statements which may be required pursuant to Section 2(c) or Section 3(c),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w:t>
      </w:r>
    </w:p>
    <w:p>
      <w:pPr>
        <w:spacing w:after="0" w:line="2" w:lineRule="exact"/>
        <w:rPr>
          <w:sz w:val="20"/>
          <w:szCs w:val="20"/>
          <w:color w:val="auto"/>
        </w:rPr>
      </w:pPr>
    </w:p>
    <w:p>
      <w:pPr>
        <w:jc w:val="both"/>
        <w:ind w:left="660"/>
        <w:spacing w:after="0" w:line="245" w:lineRule="auto"/>
        <w:rPr>
          <w:sz w:val="20"/>
          <w:szCs w:val="20"/>
          <w:color w:val="auto"/>
        </w:rPr>
      </w:pPr>
      <w:r>
        <w:rPr>
          <w:rFonts w:ascii="Arial" w:cs="Arial" w:eastAsia="Arial" w:hAnsi="Arial"/>
          <w:sz w:val="17"/>
          <w:szCs w:val="17"/>
          <w:color w:val="auto"/>
        </w:rPr>
        <w:t>on which an additional Registration Statement is required to be filed hereunder (or, in the event of a “full review” by the Commission,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following the date such additional Registration Statement is required to be filed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shall have the meaning set forth in Section 2(a).</w:t>
      </w:r>
    </w:p>
    <w:p>
      <w:pPr>
        <w:spacing w:after="0" w:line="226" w:lineRule="exact"/>
        <w:rPr>
          <w:sz w:val="20"/>
          <w:szCs w:val="20"/>
          <w:color w:val="auto"/>
        </w:rPr>
      </w:pPr>
    </w:p>
    <w:p>
      <w:pPr>
        <w:jc w:val="both"/>
        <w:ind w:left="660" w:firstLine="644"/>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 Date</w:t>
      </w:r>
      <w:r>
        <w:rPr>
          <w:rFonts w:ascii="Arial" w:cs="Arial" w:eastAsia="Arial" w:hAnsi="Arial"/>
          <w:sz w:val="16"/>
          <w:szCs w:val="16"/>
          <w:color w:val="auto"/>
        </w:rPr>
        <w:t>” means, with respect to the Initial Registration Statement required hereunder, the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hereof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194" w:lineRule="exact"/>
        <w:rPr>
          <w:sz w:val="20"/>
          <w:szCs w:val="20"/>
          <w:color w:val="auto"/>
        </w:rPr>
      </w:pPr>
    </w:p>
    <w:p>
      <w:pPr>
        <w:jc w:val="both"/>
        <w:ind w:left="660" w:firstLine="644"/>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Holders</w:t>
      </w:r>
      <w:r>
        <w:rPr>
          <w:rFonts w:ascii="Arial" w:cs="Arial" w:eastAsia="Arial" w:hAnsi="Arial"/>
          <w:sz w:val="18"/>
          <w:szCs w:val="18"/>
          <w:color w:val="auto"/>
        </w:rPr>
        <w:t>” means the holder or holders, as the case may be, from time to time of Registrable Securities. To the extent there is only one Holder, the term Holders shall mean the Holder.</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5(c).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5(c).</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means the initial Registration Statement filed pursuant to this Agreement.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5(a).</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of Distribution</w:t>
      </w:r>
      <w:r>
        <w:rPr>
          <w:rFonts w:ascii="Arial" w:cs="Arial" w:eastAsia="Arial" w:hAnsi="Arial"/>
          <w:sz w:val="18"/>
          <w:szCs w:val="18"/>
          <w:color w:val="auto"/>
        </w:rPr>
        <w:t>” shall have the meaning set forth in Section 2(a).</w:t>
      </w:r>
    </w:p>
    <w:p>
      <w:pPr>
        <w:spacing w:after="0" w:line="222" w:lineRule="exact"/>
        <w:rPr>
          <w:sz w:val="20"/>
          <w:szCs w:val="20"/>
          <w:color w:val="auto"/>
        </w:rPr>
      </w:pPr>
    </w:p>
    <w:p>
      <w:pPr>
        <w:jc w:val="both"/>
        <w:ind w:firstLine="644"/>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64" w:lineRule="exact"/>
        <w:rPr>
          <w:sz w:val="20"/>
          <w:szCs w:val="20"/>
          <w:color w:val="auto"/>
        </w:rPr>
      </w:pPr>
    </w:p>
    <w:p>
      <w:pPr>
        <w:jc w:val="both"/>
        <w:ind w:firstLine="644"/>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xml:space="preserve">” means, as of any date of determination, all of the Shares;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85" w:lineRule="exact"/>
        <w:rPr>
          <w:sz w:val="20"/>
          <w:szCs w:val="20"/>
          <w:color w:val="auto"/>
        </w:rPr>
      </w:pPr>
    </w:p>
    <w:p>
      <w:pPr>
        <w:jc w:val="both"/>
        <w:ind w:firstLine="64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38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13970</wp:posOffset>
            </wp:positionV>
            <wp:extent cx="713359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80"/>
          </w:cols>
          <w:pgMar w:left="980" w:top="903" w:right="339" w:bottom="1440" w:gutter="0" w:footer="0" w:header="0"/>
        </w:sectPr>
      </w:pPr>
    </w:p>
    <w:bookmarkStart w:id="197" w:name="page198"/>
    <w:bookmarkEnd w:id="197"/>
    <w:p>
      <w:pPr>
        <w:jc w:val="both"/>
        <w:ind w:left="9" w:firstLine="64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5" w:lineRule="exact"/>
        <w:rPr>
          <w:sz w:val="20"/>
          <w:szCs w:val="20"/>
          <w:color w:val="auto"/>
        </w:rPr>
      </w:pPr>
    </w:p>
    <w:p>
      <w:pPr>
        <w:jc w:val="both"/>
        <w:ind w:left="9" w:firstLine="64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Stockholder Questionnaire</w:t>
      </w:r>
      <w:r>
        <w:rPr>
          <w:rFonts w:ascii="Arial" w:cs="Arial" w:eastAsia="Arial" w:hAnsi="Arial"/>
          <w:sz w:val="18"/>
          <w:szCs w:val="18"/>
          <w:color w:val="auto"/>
        </w:rPr>
        <w:t>” shall have the meaning set forth in Section 3(a).</w:t>
      </w:r>
    </w:p>
    <w:p>
      <w:pPr>
        <w:spacing w:after="0" w:line="222" w:lineRule="exact"/>
        <w:rPr>
          <w:sz w:val="20"/>
          <w:szCs w:val="20"/>
          <w:color w:val="auto"/>
        </w:rPr>
      </w:pPr>
    </w:p>
    <w:p>
      <w:pPr>
        <w:jc w:val="both"/>
        <w:ind w:left="9" w:firstLine="644"/>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(i) any publicly-available written or oral guidance of the Commission staff, or any comments, requirements or requests of the Commission staff and (ii) the Securities Act.</w:t>
      </w:r>
    </w:p>
    <w:p>
      <w:pPr>
        <w:spacing w:after="0" w:line="174" w:lineRule="exact"/>
        <w:rPr>
          <w:sz w:val="20"/>
          <w:szCs w:val="20"/>
          <w:color w:val="auto"/>
        </w:rPr>
      </w:pPr>
    </w:p>
    <w:p>
      <w:pPr>
        <w:ind w:left="169" w:hanging="169"/>
        <w:spacing w:after="0"/>
        <w:tabs>
          <w:tab w:leader="none" w:pos="169"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9" w:firstLine="634"/>
        <w:spacing w:after="0" w:line="282" w:lineRule="auto"/>
        <w:tabs>
          <w:tab w:leader="none" w:pos="90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Form S-1 or another appropriate form in accordance herewith, subject to the provisions of Section 2(d)) and shall contain (unless otherwise directed by at least a majority in interest of the Holders) substantially the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and substantially the “</w:t>
      </w:r>
      <w:r>
        <w:rPr>
          <w:rFonts w:ascii="Arial" w:cs="Arial" w:eastAsia="Arial" w:hAnsi="Arial"/>
          <w:sz w:val="16"/>
          <w:szCs w:val="16"/>
          <w:u w:val="single" w:color="auto"/>
          <w:color w:val="auto"/>
        </w:rPr>
        <w:t>Selling Stockholder</w:t>
      </w:r>
      <w:r>
        <w:rPr>
          <w:rFonts w:ascii="Arial" w:cs="Arial" w:eastAsia="Arial" w:hAnsi="Arial"/>
          <w:sz w:val="16"/>
          <w:szCs w:val="16"/>
          <w:color w:val="auto"/>
        </w:rPr>
        <w:t xml:space="preserve">” section attached hereto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Holder shall be required to be named as an “underwriter” without such Holder’s express prior written consent. Subject to the terms of this Agreement, the Company shall use its commercially reasonable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 (ii) may be sold by a non-Affiliate of the Company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The Company shall telephonically request effectiveness of a Registration Statement as of 5:00 p.m. (New York City time) on a Trading Day. The Company shall promptly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spacing w:after="0" w:line="397" w:lineRule="exact"/>
        <w:rPr>
          <w:sz w:val="20"/>
          <w:szCs w:val="20"/>
          <w:color w:val="auto"/>
        </w:rPr>
      </w:pPr>
    </w:p>
    <w:p>
      <w:pPr>
        <w:ind w:left="492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13970</wp:posOffset>
            </wp:positionV>
            <wp:extent cx="713359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89"/>
          </w:cols>
          <w:pgMar w:left="971" w:top="903" w:right="339" w:bottom="1440" w:gutter="0" w:footer="0" w:header="0"/>
        </w:sectPr>
      </w:pPr>
    </w:p>
    <w:bookmarkStart w:id="198" w:name="page199"/>
    <w:bookmarkEnd w:id="198"/>
    <w:p>
      <w:pPr>
        <w:jc w:val="both"/>
        <w:ind w:left="9" w:firstLine="634"/>
        <w:spacing w:after="0" w:line="287" w:lineRule="auto"/>
        <w:tabs>
          <w:tab w:leader="none" w:pos="948" w:val="left"/>
        </w:tabs>
        <w:numPr>
          <w:ilvl w:val="1"/>
          <w:numId w:val="208"/>
        </w:numPr>
        <w:rPr>
          <w:rFonts w:ascii="Arial" w:cs="Arial" w:eastAsia="Arial" w:hAnsi="Arial"/>
          <w:sz w:val="16"/>
          <w:szCs w:val="16"/>
          <w:color w:val="auto"/>
        </w:rPr>
      </w:pPr>
      <w:r>
        <w:rPr>
          <w:rFonts w:ascii="Arial" w:cs="Arial" w:eastAsia="Arial" w:hAnsi="Arial"/>
          <w:sz w:val="16"/>
          <w:szCs w:val="16"/>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2(d) with respect to filing on Form S-3 or other appropriate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70" w:lineRule="exact"/>
        <w:rPr>
          <w:rFonts w:ascii="Arial" w:cs="Arial" w:eastAsia="Arial" w:hAnsi="Arial"/>
          <w:sz w:val="16"/>
          <w:szCs w:val="16"/>
          <w:color w:val="auto"/>
        </w:rPr>
      </w:pPr>
    </w:p>
    <w:p>
      <w:pPr>
        <w:jc w:val="both"/>
        <w:ind w:left="9" w:firstLine="634"/>
        <w:spacing w:after="0" w:line="254"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91" w:lineRule="exact"/>
        <w:rPr>
          <w:rFonts w:ascii="Arial" w:cs="Arial" w:eastAsia="Arial" w:hAnsi="Arial"/>
          <w:sz w:val="18"/>
          <w:szCs w:val="18"/>
          <w:color w:val="auto"/>
        </w:rPr>
      </w:pPr>
    </w:p>
    <w:p>
      <w:pPr>
        <w:ind w:left="649" w:hanging="649"/>
        <w:spacing w:after="0"/>
        <w:tabs>
          <w:tab w:leader="none" w:pos="64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First, the Company shall reduce or eliminate any securities to be included other than Registrable Securities; and</w:t>
      </w:r>
    </w:p>
    <w:p>
      <w:pPr>
        <w:spacing w:after="0" w:line="221" w:lineRule="exact"/>
        <w:rPr>
          <w:rFonts w:ascii="Arial" w:cs="Arial" w:eastAsia="Arial" w:hAnsi="Arial"/>
          <w:sz w:val="18"/>
          <w:szCs w:val="18"/>
          <w:color w:val="auto"/>
        </w:rPr>
      </w:pPr>
    </w:p>
    <w:p>
      <w:pPr>
        <w:ind w:left="649" w:hanging="649"/>
        <w:spacing w:after="0" w:line="302" w:lineRule="auto"/>
        <w:tabs>
          <w:tab w:leader="none" w:pos="64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Second, the Company shall reduce Registrable Securities represented by Shares (applied, in the case that some Shares may be registered, to the Holders on a pro rata basis based on the total number of unregistered Shares held by such Holders).</w:t>
      </w:r>
    </w:p>
    <w:p>
      <w:pPr>
        <w:spacing w:after="0" w:line="366" w:lineRule="exact"/>
        <w:rPr>
          <w:sz w:val="20"/>
          <w:szCs w:val="20"/>
          <w:color w:val="auto"/>
        </w:rPr>
      </w:pPr>
    </w:p>
    <w:p>
      <w:pPr>
        <w:ind w:left="492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13970</wp:posOffset>
            </wp:positionV>
            <wp:extent cx="713359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89"/>
          </w:cols>
          <w:pgMar w:left="971" w:top="903" w:right="339" w:bottom="1440" w:gutter="0" w:footer="0" w:header="0"/>
        </w:sectPr>
      </w:pPr>
    </w:p>
    <w:bookmarkStart w:id="199" w:name="page200"/>
    <w:bookmarkEnd w:id="199"/>
    <w:p>
      <w:pPr>
        <w:jc w:val="both"/>
        <w:ind w:left="9"/>
        <w:spacing w:after="0" w:line="293" w:lineRule="auto"/>
        <w:rPr>
          <w:sz w:val="20"/>
          <w:szCs w:val="20"/>
          <w:color w:val="auto"/>
        </w:rPr>
      </w:pPr>
      <w:r>
        <w:rPr>
          <w:rFonts w:ascii="Arial" w:cs="Arial" w:eastAsia="Arial" w:hAnsi="Arial"/>
          <w:sz w:val="16"/>
          <w:szCs w:val="16"/>
          <w:color w:val="auto"/>
        </w:rPr>
        <w:t>In the event of a cutback hereunder, the Company shall give the Holder at least three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64" w:lineRule="exact"/>
        <w:rPr>
          <w:sz w:val="20"/>
          <w:szCs w:val="20"/>
          <w:color w:val="auto"/>
        </w:rPr>
      </w:pPr>
    </w:p>
    <w:p>
      <w:pPr>
        <w:jc w:val="both"/>
        <w:ind w:left="9" w:firstLine="634"/>
        <w:spacing w:after="0" w:line="298" w:lineRule="auto"/>
        <w:tabs>
          <w:tab w:leader="none" w:pos="92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If Form S-3 is not available for the registration of the resale of Registrable Securities hereunder, the Company shall (i) register the resale of the Registrable Securities on Form S-1 or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58" w:lineRule="exact"/>
        <w:rPr>
          <w:rFonts w:ascii="Arial" w:cs="Arial" w:eastAsia="Arial" w:hAnsi="Arial"/>
          <w:sz w:val="16"/>
          <w:szCs w:val="16"/>
          <w:color w:val="auto"/>
        </w:rPr>
      </w:pPr>
    </w:p>
    <w:p>
      <w:pPr>
        <w:ind w:left="9" w:right="20" w:firstLine="634"/>
        <w:spacing w:after="0" w:line="272" w:lineRule="auto"/>
        <w:tabs>
          <w:tab w:leader="none" w:pos="89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74" w:lineRule="exact"/>
        <w:rPr>
          <w:rFonts w:ascii="Arial" w:cs="Arial" w:eastAsia="Arial" w:hAnsi="Arial"/>
          <w:sz w:val="18"/>
          <w:szCs w:val="18"/>
          <w:color w:val="auto"/>
        </w:rPr>
      </w:pPr>
    </w:p>
    <w:p>
      <w:pPr>
        <w:ind w:left="169" w:hanging="169"/>
        <w:spacing w:after="0"/>
        <w:tabs>
          <w:tab w:leader="none" w:pos="169"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2" w:lineRule="exact"/>
        <w:rPr>
          <w:sz w:val="20"/>
          <w:szCs w:val="20"/>
          <w:color w:val="auto"/>
        </w:rPr>
      </w:pPr>
    </w:p>
    <w:p>
      <w:pPr>
        <w:ind w:left="329"/>
        <w:spacing w:after="0"/>
        <w:rPr>
          <w:sz w:val="20"/>
          <w:szCs w:val="20"/>
          <w:color w:val="auto"/>
        </w:rPr>
      </w:pPr>
      <w:r>
        <w:rPr>
          <w:rFonts w:ascii="Arial" w:cs="Arial" w:eastAsia="Arial" w:hAnsi="Arial"/>
          <w:sz w:val="18"/>
          <w:szCs w:val="18"/>
          <w:color w:val="auto"/>
        </w:rPr>
        <w:t>In connection with the Company’s registration obligations hereunder, the Company shall:</w:t>
      </w:r>
    </w:p>
    <w:p>
      <w:pPr>
        <w:spacing w:after="0" w:line="222" w:lineRule="exact"/>
        <w:rPr>
          <w:sz w:val="20"/>
          <w:szCs w:val="20"/>
          <w:color w:val="auto"/>
        </w:rPr>
      </w:pPr>
    </w:p>
    <w:p>
      <w:pPr>
        <w:jc w:val="both"/>
        <w:ind w:left="9" w:firstLine="634"/>
        <w:spacing w:after="0" w:line="281" w:lineRule="auto"/>
        <w:tabs>
          <w:tab w:leader="none" w:pos="899"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Not less than three Trading Days prior to the filing of each Registration Statement and not less than one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 Trading Days after the Holders have been so furnished copies of a Registration Statement or one Trading Day after the Holders have been so furnished copies of any related Prospectus or amendments or supplements thereto. Each Holder agrees to furnish to the Company a completed questionnaire in the form attached to this Agreement as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Selling Stockholder Questionnaire</w:t>
      </w:r>
      <w:r>
        <w:rPr>
          <w:rFonts w:ascii="Arial" w:cs="Arial" w:eastAsia="Arial" w:hAnsi="Arial"/>
          <w:sz w:val="16"/>
          <w:szCs w:val="16"/>
          <w:color w:val="auto"/>
        </w:rPr>
        <w:t>”) on a date that is not less than two Trading</w:t>
      </w:r>
    </w:p>
    <w:p>
      <w:pPr>
        <w:spacing w:after="0" w:line="2" w:lineRule="exact"/>
        <w:rPr>
          <w:sz w:val="20"/>
          <w:szCs w:val="20"/>
          <w:color w:val="auto"/>
        </w:rPr>
      </w:pPr>
    </w:p>
    <w:p>
      <w:pPr>
        <w:ind w:left="9"/>
        <w:spacing w:after="0" w:line="208" w:lineRule="auto"/>
        <w:rPr>
          <w:sz w:val="20"/>
          <w:szCs w:val="20"/>
          <w:color w:val="auto"/>
        </w:rPr>
      </w:pPr>
      <w:r>
        <w:rPr>
          <w:rFonts w:ascii="Arial" w:cs="Arial" w:eastAsia="Arial" w:hAnsi="Arial"/>
          <w:sz w:val="18"/>
          <w:szCs w:val="18"/>
          <w:color w:val="auto"/>
        </w:rPr>
        <w:t>Days prior to the Filing Date or by the end of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on which such Holder receives draft materials in accordance with this Section.</w:t>
      </w:r>
    </w:p>
    <w:p>
      <w:pPr>
        <w:spacing w:after="0" w:line="203" w:lineRule="exact"/>
        <w:rPr>
          <w:sz w:val="20"/>
          <w:szCs w:val="20"/>
          <w:color w:val="auto"/>
        </w:rPr>
      </w:pPr>
    </w:p>
    <w:p>
      <w:pPr>
        <w:jc w:val="both"/>
        <w:ind w:left="9" w:firstLine="634"/>
        <w:spacing w:after="0" w:line="283" w:lineRule="auto"/>
        <w:tabs>
          <w:tab w:leader="none" w:pos="913" w:val="left"/>
        </w:tabs>
        <w:numPr>
          <w:ilvl w:val="1"/>
          <w:numId w:val="213"/>
        </w:numPr>
        <w:rPr>
          <w:rFonts w:ascii="Arial" w:cs="Arial" w:eastAsia="Arial" w:hAnsi="Arial"/>
          <w:sz w:val="16"/>
          <w:szCs w:val="16"/>
          <w:color w:val="auto"/>
        </w:rPr>
      </w:pPr>
      <w:r>
        <w:rPr>
          <w:rFonts w:ascii="Arial" w:cs="Arial" w:eastAsia="Arial" w:hAnsi="Arial"/>
          <w:sz w:val="16"/>
          <w:szCs w:val="16"/>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jc w:val="both"/>
        <w:ind w:left="9" w:hanging="9"/>
        <w:spacing w:after="0" w:line="286" w:lineRule="auto"/>
        <w:tabs>
          <w:tab w:leader="none" w:pos="33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383" w:lineRule="exact"/>
        <w:rPr>
          <w:sz w:val="20"/>
          <w:szCs w:val="20"/>
          <w:color w:val="auto"/>
        </w:rPr>
      </w:pPr>
    </w:p>
    <w:p>
      <w:pPr>
        <w:ind w:left="492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13970</wp:posOffset>
            </wp:positionV>
            <wp:extent cx="713359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89"/>
          </w:cols>
          <w:pgMar w:left="971" w:top="903" w:right="339" w:bottom="1440" w:gutter="0" w:footer="0" w:header="0"/>
        </w:sectPr>
      </w:pPr>
    </w:p>
    <w:bookmarkStart w:id="200" w:name="page201"/>
    <w:bookmarkEnd w:id="200"/>
    <w:p>
      <w:pPr>
        <w:jc w:val="both"/>
        <w:ind w:left="-460" w:firstLine="634"/>
        <w:spacing w:after="0" w:line="256" w:lineRule="auto"/>
        <w:tabs>
          <w:tab w:leader="none" w:pos="42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89" w:lineRule="exact"/>
        <w:rPr>
          <w:rFonts w:ascii="Arial" w:cs="Arial" w:eastAsia="Arial" w:hAnsi="Arial"/>
          <w:sz w:val="18"/>
          <w:szCs w:val="18"/>
          <w:color w:val="auto"/>
        </w:rPr>
      </w:pPr>
    </w:p>
    <w:p>
      <w:pPr>
        <w:jc w:val="both"/>
        <w:ind w:left="-460" w:firstLine="634"/>
        <w:spacing w:after="0" w:line="282" w:lineRule="auto"/>
        <w:tabs>
          <w:tab w:leader="none" w:pos="48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Trading Day prior to such filing) and (if requested by any such Person) confirm such notice in writing no later than one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such notice contain any information which would constitute material, non-public information regarding the Company or any of its Subsidiaries.</w:t>
      </w:r>
    </w:p>
    <w:p>
      <w:pPr>
        <w:spacing w:after="0" w:line="178" w:lineRule="exact"/>
        <w:rPr>
          <w:rFonts w:ascii="Arial" w:cs="Arial" w:eastAsia="Arial" w:hAnsi="Arial"/>
          <w:sz w:val="16"/>
          <w:szCs w:val="16"/>
          <w:color w:val="auto"/>
        </w:rPr>
      </w:pPr>
    </w:p>
    <w:p>
      <w:pPr>
        <w:jc w:val="both"/>
        <w:ind w:left="-460" w:firstLine="634"/>
        <w:spacing w:after="0" w:line="260" w:lineRule="auto"/>
        <w:tabs>
          <w:tab w:leader="none" w:pos="45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85" w:lineRule="exact"/>
        <w:rPr>
          <w:rFonts w:ascii="Arial" w:cs="Arial" w:eastAsia="Arial" w:hAnsi="Arial"/>
          <w:sz w:val="18"/>
          <w:szCs w:val="18"/>
          <w:color w:val="auto"/>
        </w:rPr>
      </w:pPr>
    </w:p>
    <w:p>
      <w:pPr>
        <w:jc w:val="both"/>
        <w:ind w:left="-460" w:firstLine="634"/>
        <w:spacing w:after="0" w:line="254" w:lineRule="auto"/>
        <w:tabs>
          <w:tab w:leader="none" w:pos="41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200" w:lineRule="exact"/>
        <w:rPr>
          <w:sz w:val="20"/>
          <w:szCs w:val="20"/>
          <w:color w:val="auto"/>
        </w:rPr>
      </w:pPr>
    </w:p>
    <w:p>
      <w:pPr>
        <w:spacing w:after="0" w:line="20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13970</wp:posOffset>
            </wp:positionV>
            <wp:extent cx="713359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120"/>
          </w:cols>
          <w:pgMar w:left="1440" w:top="903" w:right="339" w:bottom="1440" w:gutter="0" w:footer="0" w:header="0"/>
        </w:sectPr>
      </w:pPr>
    </w:p>
    <w:bookmarkStart w:id="201" w:name="page202"/>
    <w:bookmarkEnd w:id="201"/>
    <w:p>
      <w:pPr>
        <w:jc w:val="both"/>
        <w:ind w:left="9" w:firstLine="634"/>
        <w:spacing w:after="0" w:line="282" w:lineRule="auto"/>
        <w:tabs>
          <w:tab w:leader="none" w:pos="946" w:val="left"/>
        </w:tabs>
        <w:numPr>
          <w:ilvl w:val="1"/>
          <w:numId w:val="216"/>
        </w:numPr>
        <w:rPr>
          <w:rFonts w:ascii="Arial" w:cs="Arial" w:eastAsia="Arial" w:hAnsi="Arial"/>
          <w:sz w:val="17"/>
          <w:szCs w:val="17"/>
          <w:color w:val="auto"/>
        </w:rPr>
      </w:pPr>
      <w:r>
        <w:rPr>
          <w:rFonts w:ascii="Arial" w:cs="Arial" w:eastAsia="Arial" w:hAnsi="Arial"/>
          <w:sz w:val="17"/>
          <w:szCs w:val="17"/>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68" w:lineRule="exact"/>
        <w:rPr>
          <w:rFonts w:ascii="Arial" w:cs="Arial" w:eastAsia="Arial" w:hAnsi="Arial"/>
          <w:sz w:val="17"/>
          <w:szCs w:val="17"/>
          <w:color w:val="auto"/>
        </w:rPr>
      </w:pPr>
    </w:p>
    <w:p>
      <w:pPr>
        <w:jc w:val="both"/>
        <w:ind w:left="9" w:firstLine="634"/>
        <w:spacing w:after="0" w:line="268" w:lineRule="auto"/>
        <w:tabs>
          <w:tab w:leader="none" w:pos="907" w:val="left"/>
        </w:tabs>
        <w:numPr>
          <w:ilvl w:val="1"/>
          <w:numId w:val="216"/>
        </w:numPr>
        <w:rPr>
          <w:rFonts w:ascii="Arial" w:cs="Arial" w:eastAsia="Arial" w:hAnsi="Arial"/>
          <w:sz w:val="17"/>
          <w:szCs w:val="17"/>
          <w:color w:val="auto"/>
        </w:rPr>
      </w:pPr>
      <w:r>
        <w:rPr>
          <w:rFonts w:ascii="Arial" w:cs="Arial" w:eastAsia="Arial" w:hAnsi="Arial"/>
          <w:sz w:val="17"/>
          <w:szCs w:val="17"/>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84" w:lineRule="exact"/>
        <w:rPr>
          <w:rFonts w:ascii="Arial" w:cs="Arial" w:eastAsia="Arial" w:hAnsi="Arial"/>
          <w:sz w:val="17"/>
          <w:szCs w:val="17"/>
          <w:color w:val="auto"/>
        </w:rPr>
      </w:pPr>
    </w:p>
    <w:p>
      <w:pPr>
        <w:jc w:val="both"/>
        <w:ind w:left="9" w:firstLine="634"/>
        <w:spacing w:after="0" w:line="256" w:lineRule="auto"/>
        <w:tabs>
          <w:tab w:leader="none" w:pos="89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89" w:lineRule="exact"/>
        <w:rPr>
          <w:rFonts w:ascii="Arial" w:cs="Arial" w:eastAsia="Arial" w:hAnsi="Arial"/>
          <w:sz w:val="18"/>
          <w:szCs w:val="18"/>
          <w:color w:val="auto"/>
        </w:rPr>
      </w:pPr>
    </w:p>
    <w:p>
      <w:pPr>
        <w:jc w:val="both"/>
        <w:ind w:left="9" w:firstLine="634"/>
        <w:spacing w:after="0" w:line="281" w:lineRule="auto"/>
        <w:tabs>
          <w:tab w:leader="none" w:pos="883" w:val="left"/>
        </w:tabs>
        <w:numPr>
          <w:ilvl w:val="1"/>
          <w:numId w:val="216"/>
        </w:numPr>
        <w:rPr>
          <w:rFonts w:ascii="Arial" w:cs="Arial" w:eastAsia="Arial" w:hAnsi="Arial"/>
          <w:sz w:val="16"/>
          <w:szCs w:val="16"/>
          <w:color w:val="auto"/>
        </w:rPr>
      </w:pPr>
      <w:r>
        <w:rPr>
          <w:rFonts w:ascii="Arial" w:cs="Arial" w:eastAsia="Arial" w:hAnsi="Arial"/>
          <w:sz w:val="16"/>
          <w:szCs w:val="16"/>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for a period not to exceed forty-five</w:t>
      </w:r>
    </w:p>
    <w:p>
      <w:pPr>
        <w:spacing w:after="0" w:line="3" w:lineRule="exact"/>
        <w:rPr>
          <w:rFonts w:ascii="Arial" w:cs="Arial" w:eastAsia="Arial" w:hAnsi="Arial"/>
          <w:sz w:val="16"/>
          <w:szCs w:val="16"/>
          <w:color w:val="auto"/>
        </w:rPr>
      </w:pPr>
    </w:p>
    <w:p>
      <w:pPr>
        <w:ind w:left="349" w:hanging="349"/>
        <w:spacing w:after="0"/>
        <w:tabs>
          <w:tab w:leader="none" w:pos="349" w:val="left"/>
        </w:tabs>
        <w:numPr>
          <w:ilvl w:val="0"/>
          <w:numId w:val="217"/>
        </w:numPr>
        <w:rPr>
          <w:rFonts w:ascii="Arial" w:cs="Arial" w:eastAsia="Arial" w:hAnsi="Arial"/>
          <w:sz w:val="17"/>
          <w:szCs w:val="17"/>
          <w:color w:val="auto"/>
        </w:rPr>
      </w:pPr>
      <w:r>
        <w:rPr>
          <w:rFonts w:ascii="Arial" w:cs="Arial" w:eastAsia="Arial" w:hAnsi="Arial"/>
          <w:sz w:val="17"/>
          <w:szCs w:val="17"/>
          <w:color w:val="auto"/>
        </w:rPr>
        <w:t>consecutive calendar days or ninety (90) calendar days in the aggregate (which need not be consecutive days) in any 12-month period.</w:t>
      </w:r>
    </w:p>
    <w:p>
      <w:pPr>
        <w:spacing w:after="0" w:line="200" w:lineRule="exact"/>
        <w:rPr>
          <w:sz w:val="20"/>
          <w:szCs w:val="20"/>
          <w:color w:val="auto"/>
        </w:rPr>
      </w:pPr>
    </w:p>
    <w:p>
      <w:pPr>
        <w:spacing w:after="0" w:line="235" w:lineRule="exact"/>
        <w:rPr>
          <w:sz w:val="20"/>
          <w:szCs w:val="20"/>
          <w:color w:val="auto"/>
        </w:rPr>
      </w:pPr>
    </w:p>
    <w:p>
      <w:pPr>
        <w:ind w:left="492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13970</wp:posOffset>
            </wp:positionV>
            <wp:extent cx="713359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89"/>
          </w:cols>
          <w:pgMar w:left="971" w:top="903" w:right="339" w:bottom="1440" w:gutter="0" w:footer="0" w:header="0"/>
        </w:sectPr>
      </w:pPr>
    </w:p>
    <w:bookmarkStart w:id="202" w:name="page203"/>
    <w:bookmarkEnd w:id="202"/>
    <w:p>
      <w:pPr>
        <w:jc w:val="both"/>
        <w:ind w:left="660" w:firstLine="634"/>
        <w:spacing w:after="0" w:line="271" w:lineRule="auto"/>
        <w:tabs>
          <w:tab w:leader="none" w:pos="158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77" w:lineRule="exact"/>
        <w:rPr>
          <w:rFonts w:ascii="Arial" w:cs="Arial" w:eastAsia="Arial" w:hAnsi="Arial"/>
          <w:sz w:val="17"/>
          <w:szCs w:val="17"/>
          <w:color w:val="auto"/>
        </w:rPr>
      </w:pPr>
    </w:p>
    <w:p>
      <w:pPr>
        <w:ind w:left="660" w:firstLine="634"/>
        <w:spacing w:after="0" w:line="272" w:lineRule="auto"/>
        <w:tabs>
          <w:tab w:leader="none" w:pos="15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maintain eligibility for use of Form S-3 (or any successor form thereto) for the registration of the resale of Registrable Securities.</w:t>
      </w:r>
    </w:p>
    <w:p>
      <w:pPr>
        <w:spacing w:after="0" w:line="174" w:lineRule="exact"/>
        <w:rPr>
          <w:sz w:val="20"/>
          <w:szCs w:val="20"/>
          <w:color w:val="auto"/>
        </w:rPr>
      </w:pPr>
    </w:p>
    <w:p>
      <w:pPr>
        <w:spacing w:after="0" w:line="336" w:lineRule="auto"/>
        <w:rPr>
          <w:sz w:val="20"/>
          <w:szCs w:val="20"/>
          <w:color w:val="auto"/>
        </w:rPr>
      </w:pPr>
      <w:r>
        <w:rPr>
          <w:rFonts w:ascii="Arial" w:cs="Arial" w:eastAsia="Arial" w:hAnsi="Arial"/>
          <w:sz w:val="16"/>
          <w:szCs w:val="16"/>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w:t>
      </w:r>
    </w:p>
    <w:p>
      <w:pPr>
        <w:spacing w:after="0" w:line="128" w:lineRule="exact"/>
        <w:rPr>
          <w:sz w:val="20"/>
          <w:szCs w:val="20"/>
          <w:color w:val="auto"/>
        </w:rPr>
      </w:pPr>
    </w:p>
    <w:p>
      <w:pPr>
        <w:jc w:val="both"/>
        <w:ind w:firstLine="651"/>
        <w:spacing w:after="0" w:line="284" w:lineRule="auto"/>
        <w:tabs>
          <w:tab w:leader="none" w:pos="822"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03" w:name="page204"/>
    <w:bookmarkEnd w:id="203"/>
    <w:p>
      <w:pPr>
        <w:ind w:left="169" w:hanging="169"/>
        <w:spacing w:after="0"/>
        <w:tabs>
          <w:tab w:leader="none" w:pos="169"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9" w:firstLine="634"/>
        <w:spacing w:after="0" w:line="282" w:lineRule="auto"/>
        <w:tabs>
          <w:tab w:leader="none" w:pos="923"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173" w:lineRule="exact"/>
        <w:rPr>
          <w:rFonts w:ascii="Arial" w:cs="Arial" w:eastAsia="Arial" w:hAnsi="Arial"/>
          <w:sz w:val="16"/>
          <w:szCs w:val="16"/>
          <w:color w:val="auto"/>
        </w:rPr>
      </w:pPr>
    </w:p>
    <w:p>
      <w:pPr>
        <w:jc w:val="both"/>
        <w:ind w:left="9" w:firstLine="634"/>
        <w:spacing w:after="0" w:line="265" w:lineRule="auto"/>
        <w:tabs>
          <w:tab w:leader="none" w:pos="919" w:val="left"/>
        </w:tabs>
        <w:numPr>
          <w:ilvl w:val="1"/>
          <w:numId w:val="220"/>
        </w:numPr>
        <w:rPr>
          <w:rFonts w:ascii="Arial" w:cs="Arial" w:eastAsia="Arial" w:hAnsi="Arial"/>
          <w:sz w:val="17"/>
          <w:szCs w:val="17"/>
          <w:color w:val="auto"/>
        </w:rPr>
      </w:pPr>
      <w:r>
        <w:rPr>
          <w:rFonts w:ascii="Arial" w:cs="Arial" w:eastAsia="Arial" w:hAnsi="Arial"/>
          <w:sz w:val="17"/>
          <w:szCs w:val="17"/>
          <w:u w:val="single" w:color="auto"/>
          <w:color w:val="auto"/>
        </w:rPr>
        <w:t>Indemnification by Holders</w:t>
      </w:r>
      <w:r>
        <w:rPr>
          <w:rFonts w:ascii="Arial" w:cs="Arial" w:eastAsia="Arial" w:hAnsi="Arial"/>
          <w:sz w:val="17"/>
          <w:szCs w:val="17"/>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200" w:lineRule="exact"/>
        <w:rPr>
          <w:sz w:val="20"/>
          <w:szCs w:val="20"/>
          <w:color w:val="auto"/>
        </w:rPr>
      </w:pPr>
    </w:p>
    <w:p>
      <w:pPr>
        <w:spacing w:after="0" w:line="207" w:lineRule="exact"/>
        <w:rPr>
          <w:sz w:val="20"/>
          <w:szCs w:val="20"/>
          <w:color w:val="auto"/>
        </w:rPr>
      </w:pPr>
    </w:p>
    <w:p>
      <w:pPr>
        <w:ind w:left="492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13970</wp:posOffset>
            </wp:positionV>
            <wp:extent cx="713359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89"/>
          </w:cols>
          <w:pgMar w:left="971" w:top="903" w:right="339" w:bottom="1440" w:gutter="0" w:footer="0" w:header="0"/>
        </w:sectPr>
      </w:pPr>
    </w:p>
    <w:bookmarkStart w:id="204" w:name="page205"/>
    <w:bookmarkEnd w:id="204"/>
    <w:p>
      <w:pPr>
        <w:jc w:val="both"/>
        <w:ind w:firstLine="634"/>
        <w:spacing w:after="0" w:line="289" w:lineRule="auto"/>
        <w:tabs>
          <w:tab w:leader="none" w:pos="913"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If any Proceeding shall be brought or asserted against any Person entitled to indemnity hereunder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such Indemnified Party shall promptly notify the Person from whom indemnity is sought (the “</w:t>
      </w:r>
      <w:r>
        <w:rPr>
          <w:rFonts w:ascii="Arial" w:cs="Arial" w:eastAsia="Arial" w:hAnsi="Arial"/>
          <w:sz w:val="16"/>
          <w:szCs w:val="16"/>
          <w:u w:val="single" w:color="auto"/>
          <w:color w:val="auto"/>
        </w:rPr>
        <w:t>Indemnifying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65" w:lineRule="exact"/>
        <w:rPr>
          <w:sz w:val="20"/>
          <w:szCs w:val="20"/>
          <w:color w:val="auto"/>
        </w:rPr>
      </w:pPr>
    </w:p>
    <w:p>
      <w:pPr>
        <w:jc w:val="both"/>
        <w:ind w:firstLine="644"/>
        <w:spacing w:after="0" w:line="284" w:lineRule="auto"/>
        <w:rPr>
          <w:sz w:val="20"/>
          <w:szCs w:val="20"/>
          <w:color w:val="auto"/>
        </w:rPr>
      </w:pPr>
      <w:r>
        <w:rPr>
          <w:rFonts w:ascii="Arial" w:cs="Arial" w:eastAsia="Arial" w:hAnsi="Arial"/>
          <w:sz w:val="16"/>
          <w:szCs w:val="16"/>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7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twenty (20)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92" w:lineRule="exact"/>
        <w:rPr>
          <w:sz w:val="20"/>
          <w:szCs w:val="20"/>
          <w:color w:val="auto"/>
        </w:rPr>
      </w:pPr>
    </w:p>
    <w:p>
      <w:pPr>
        <w:jc w:val="both"/>
        <w:ind w:firstLine="634"/>
        <w:spacing w:after="0" w:line="267" w:lineRule="auto"/>
        <w:tabs>
          <w:tab w:leader="none" w:pos="923"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39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13970</wp:posOffset>
            </wp:positionV>
            <wp:extent cx="713359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80"/>
          </w:cols>
          <w:pgMar w:left="980" w:top="903" w:right="339" w:bottom="1440" w:gutter="0" w:footer="0" w:header="0"/>
        </w:sectPr>
      </w:pPr>
    </w:p>
    <w:bookmarkStart w:id="205" w:name="page206"/>
    <w:bookmarkEnd w:id="205"/>
    <w:p>
      <w:pPr>
        <w:jc w:val="both"/>
        <w:ind w:left="9" w:firstLine="644"/>
        <w:spacing w:after="0" w:line="271" w:lineRule="auto"/>
        <w:rPr>
          <w:sz w:val="20"/>
          <w:szCs w:val="20"/>
          <w:color w:val="auto"/>
        </w:rPr>
      </w:pPr>
      <w:r>
        <w:rPr>
          <w:rFonts w:ascii="Arial" w:cs="Arial" w:eastAsia="Arial" w:hAnsi="Arial"/>
          <w:sz w:val="17"/>
          <w:szCs w:val="17"/>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77" w:lineRule="exact"/>
        <w:rPr>
          <w:sz w:val="20"/>
          <w:szCs w:val="20"/>
          <w:color w:val="auto"/>
        </w:rPr>
      </w:pPr>
    </w:p>
    <w:p>
      <w:pPr>
        <w:jc w:val="both"/>
        <w:ind w:left="9" w:firstLine="644"/>
        <w:spacing w:after="0" w:line="272" w:lineRule="auto"/>
        <w:rPr>
          <w:sz w:val="20"/>
          <w:szCs w:val="20"/>
          <w:color w:val="auto"/>
        </w:rPr>
      </w:pPr>
      <w:r>
        <w:rPr>
          <w:rFonts w:ascii="Arial" w:cs="Arial" w:eastAsia="Arial" w:hAnsi="Arial"/>
          <w:sz w:val="18"/>
          <w:szCs w:val="18"/>
          <w:color w:val="auto"/>
        </w:rPr>
        <w:t>The indemnity and contribution agreements contained in this Section are in addition to any liability that the Indemnifying Parties may have to the Indemnified Parties.</w:t>
      </w:r>
    </w:p>
    <w:p>
      <w:pPr>
        <w:spacing w:after="0" w:line="174" w:lineRule="exact"/>
        <w:rPr>
          <w:sz w:val="20"/>
          <w:szCs w:val="20"/>
          <w:color w:val="auto"/>
        </w:rPr>
      </w:pPr>
    </w:p>
    <w:p>
      <w:pPr>
        <w:ind w:left="169" w:hanging="169"/>
        <w:spacing w:after="0"/>
        <w:tabs>
          <w:tab w:leader="none" w:pos="169"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9" w:firstLine="634"/>
        <w:spacing w:after="0" w:line="271" w:lineRule="auto"/>
        <w:tabs>
          <w:tab w:leader="none" w:pos="896" w:val="left"/>
        </w:tabs>
        <w:numPr>
          <w:ilvl w:val="1"/>
          <w:numId w:val="223"/>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77" w:lineRule="exact"/>
        <w:rPr>
          <w:rFonts w:ascii="Arial" w:cs="Arial" w:eastAsia="Arial" w:hAnsi="Arial"/>
          <w:sz w:val="17"/>
          <w:szCs w:val="17"/>
          <w:color w:val="auto"/>
        </w:rPr>
      </w:pPr>
    </w:p>
    <w:p>
      <w:pPr>
        <w:jc w:val="both"/>
        <w:ind w:left="9" w:firstLine="634"/>
        <w:spacing w:after="0" w:line="260" w:lineRule="auto"/>
        <w:tabs>
          <w:tab w:leader="none" w:pos="919"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No Piggyback on Registrations; Prohibition on Filing Other Registration Statements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6(b)</w:t>
      </w:r>
      <w:r>
        <w:rPr>
          <w:rFonts w:ascii="Arial" w:cs="Arial" w:eastAsia="Arial" w:hAnsi="Arial"/>
          <w:sz w:val="18"/>
          <w:szCs w:val="18"/>
          <w:color w:val="auto"/>
        </w:rPr>
        <w:t xml:space="preserve"> attached hereto, neither the Company nor any of its security holders (other than the Holders in such capacity pursuant hereto) may include securities of the Company in any Registration Statements other than the Registrable Securities.</w:t>
      </w:r>
    </w:p>
    <w:p>
      <w:pPr>
        <w:spacing w:after="0" w:line="185" w:lineRule="exact"/>
        <w:rPr>
          <w:rFonts w:ascii="Arial" w:cs="Arial" w:eastAsia="Arial" w:hAnsi="Arial"/>
          <w:sz w:val="18"/>
          <w:szCs w:val="18"/>
          <w:color w:val="auto"/>
        </w:rPr>
      </w:pPr>
    </w:p>
    <w:p>
      <w:pPr>
        <w:jc w:val="both"/>
        <w:ind w:left="9" w:firstLine="634"/>
        <w:spacing w:after="0" w:line="291" w:lineRule="auto"/>
        <w:tabs>
          <w:tab w:leader="none" w:pos="923"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Discontinued Disposition</w:t>
      </w:r>
      <w:r>
        <w:rPr>
          <w:rFonts w:ascii="Arial" w:cs="Arial" w:eastAsia="Arial" w:hAnsi="Arial"/>
          <w:sz w:val="16"/>
          <w:szCs w:val="16"/>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Arial" w:cs="Arial" w:eastAsia="Arial" w:hAnsi="Arial"/>
          <w:sz w:val="16"/>
          <w:szCs w:val="16"/>
          <w:u w:val="single" w:color="auto"/>
          <w:color w:val="auto"/>
        </w:rPr>
        <w:t>Advice</w:t>
      </w:r>
      <w:r>
        <w:rPr>
          <w:rFonts w:ascii="Arial" w:cs="Arial" w:eastAsia="Arial" w:hAnsi="Arial"/>
          <w:sz w:val="16"/>
          <w:szCs w:val="16"/>
          <w:color w:val="auto"/>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377" w:lineRule="exact"/>
        <w:rPr>
          <w:sz w:val="20"/>
          <w:szCs w:val="20"/>
          <w:color w:val="auto"/>
        </w:rPr>
      </w:pPr>
    </w:p>
    <w:p>
      <w:pPr>
        <w:ind w:left="488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13970</wp:posOffset>
            </wp:positionV>
            <wp:extent cx="713359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89"/>
          </w:cols>
          <w:pgMar w:left="971" w:top="903" w:right="339" w:bottom="1440" w:gutter="0" w:footer="0" w:header="0"/>
        </w:sectPr>
      </w:pPr>
    </w:p>
    <w:bookmarkStart w:id="206" w:name="page207"/>
    <w:bookmarkEnd w:id="206"/>
    <w:p>
      <w:pPr>
        <w:jc w:val="both"/>
        <w:ind w:left="-460" w:firstLine="634"/>
        <w:spacing w:after="0" w:line="284" w:lineRule="auto"/>
        <w:tabs>
          <w:tab w:leader="none" w:pos="436"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spacing w:after="0" w:line="172" w:lineRule="exact"/>
        <w:rPr>
          <w:rFonts w:ascii="Arial" w:cs="Arial" w:eastAsia="Arial" w:hAnsi="Arial"/>
          <w:sz w:val="16"/>
          <w:szCs w:val="16"/>
          <w:color w:val="auto"/>
        </w:rPr>
      </w:pPr>
    </w:p>
    <w:p>
      <w:pPr>
        <w:ind w:left="-460" w:firstLine="634"/>
        <w:spacing w:after="0" w:line="272" w:lineRule="auto"/>
        <w:tabs>
          <w:tab w:leader="none" w:pos="426"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delivered as set forth in the Purchase Agreement.</w:t>
      </w:r>
    </w:p>
    <w:p>
      <w:pPr>
        <w:spacing w:after="0" w:line="174" w:lineRule="exact"/>
        <w:rPr>
          <w:rFonts w:ascii="Arial" w:cs="Arial" w:eastAsia="Arial" w:hAnsi="Arial"/>
          <w:sz w:val="18"/>
          <w:szCs w:val="18"/>
          <w:color w:val="auto"/>
        </w:rPr>
      </w:pPr>
    </w:p>
    <w:p>
      <w:pPr>
        <w:jc w:val="both"/>
        <w:ind w:left="-460" w:firstLine="634"/>
        <w:spacing w:after="0" w:line="276" w:lineRule="auto"/>
        <w:tabs>
          <w:tab w:leader="none" w:pos="407"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73" w:lineRule="exact"/>
        <w:rPr>
          <w:rFonts w:ascii="Arial" w:cs="Arial" w:eastAsia="Arial" w:hAnsi="Arial"/>
          <w:sz w:val="17"/>
          <w:szCs w:val="17"/>
          <w:color w:val="auto"/>
        </w:rPr>
      </w:pPr>
    </w:p>
    <w:p>
      <w:pPr>
        <w:jc w:val="both"/>
        <w:ind w:left="-460" w:firstLine="634"/>
        <w:spacing w:after="0" w:line="254" w:lineRule="auto"/>
        <w:tabs>
          <w:tab w:leader="none" w:pos="436"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Arial" w:cs="Arial" w:eastAsia="Arial" w:hAnsi="Arial"/>
          <w:sz w:val="18"/>
          <w:szCs w:val="18"/>
          <w:u w:val="single" w:color="auto"/>
          <w:color w:val="auto"/>
        </w:rPr>
        <w:t>Schedule 6(i)</w:t>
      </w:r>
      <w:r>
        <w:rPr>
          <w:rFonts w:ascii="Arial" w:cs="Arial" w:eastAsia="Arial" w:hAnsi="Arial"/>
          <w:sz w:val="18"/>
          <w:szCs w:val="18"/>
          <w:color w:val="auto"/>
        </w:rPr>
        <w:t>, neither the Company nor any of its Subsidiaries has previously entered into any agreement granting any registration rights with respect to any of its securities to any Person that have not been satisfied in full.</w:t>
      </w:r>
    </w:p>
    <w:p>
      <w:pPr>
        <w:spacing w:after="0" w:line="191" w:lineRule="exact"/>
        <w:rPr>
          <w:rFonts w:ascii="Arial" w:cs="Arial" w:eastAsia="Arial" w:hAnsi="Arial"/>
          <w:sz w:val="18"/>
          <w:szCs w:val="18"/>
          <w:color w:val="auto"/>
        </w:rPr>
      </w:pPr>
    </w:p>
    <w:p>
      <w:pPr>
        <w:jc w:val="both"/>
        <w:ind w:left="-460" w:firstLine="634"/>
        <w:spacing w:after="0" w:line="253" w:lineRule="auto"/>
        <w:tabs>
          <w:tab w:leader="none" w:pos="436"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Execution and Counterparts</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92" w:lineRule="exact"/>
        <w:rPr>
          <w:rFonts w:ascii="Arial" w:cs="Arial" w:eastAsia="Arial" w:hAnsi="Arial"/>
          <w:sz w:val="18"/>
          <w:szCs w:val="18"/>
          <w:color w:val="auto"/>
        </w:rPr>
      </w:pPr>
    </w:p>
    <w:p>
      <w:pPr>
        <w:ind w:left="-460" w:right="20" w:firstLine="634"/>
        <w:spacing w:after="0" w:line="272" w:lineRule="auto"/>
        <w:tabs>
          <w:tab w:leader="none" w:pos="437"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in accordance with the provisions of the Purchase Agreement.</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13970</wp:posOffset>
            </wp:positionV>
            <wp:extent cx="713359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120"/>
          </w:cols>
          <w:pgMar w:left="1440" w:top="903" w:right="339" w:bottom="1440" w:gutter="0" w:footer="0" w:header="0"/>
        </w:sectPr>
      </w:pPr>
    </w:p>
    <w:bookmarkStart w:id="207" w:name="page208"/>
    <w:bookmarkEnd w:id="207"/>
    <w:p>
      <w:pPr>
        <w:ind w:left="380" w:hanging="206"/>
        <w:spacing w:after="0"/>
        <w:tabs>
          <w:tab w:leader="none" w:pos="380"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Cumulative Remedies</w:t>
      </w:r>
      <w:r>
        <w:rPr>
          <w:rFonts w:ascii="Arial" w:cs="Arial" w:eastAsia="Arial" w:hAnsi="Arial"/>
          <w:sz w:val="17"/>
          <w:szCs w:val="17"/>
          <w:color w:val="auto"/>
        </w:rPr>
        <w:t>. The remedies provided herein are cumulative and not exclusive of any other remedies provided by law.</w:t>
      </w:r>
    </w:p>
    <w:p>
      <w:pPr>
        <w:spacing w:after="0" w:line="233" w:lineRule="exact"/>
        <w:rPr>
          <w:rFonts w:ascii="Arial" w:cs="Arial" w:eastAsia="Arial" w:hAnsi="Arial"/>
          <w:sz w:val="17"/>
          <w:szCs w:val="17"/>
          <w:color w:val="auto"/>
        </w:rPr>
      </w:pPr>
    </w:p>
    <w:p>
      <w:pPr>
        <w:jc w:val="both"/>
        <w:ind w:left="-460" w:firstLine="634"/>
        <w:spacing w:after="0" w:line="291" w:lineRule="auto"/>
        <w:tabs>
          <w:tab w:leader="none" w:pos="436"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62" w:lineRule="exact"/>
        <w:rPr>
          <w:rFonts w:ascii="Arial" w:cs="Arial" w:eastAsia="Arial" w:hAnsi="Arial"/>
          <w:sz w:val="16"/>
          <w:szCs w:val="16"/>
          <w:color w:val="auto"/>
        </w:rPr>
      </w:pPr>
    </w:p>
    <w:p>
      <w:pPr>
        <w:ind w:left="-460" w:right="20" w:firstLine="634"/>
        <w:spacing w:after="0" w:line="272" w:lineRule="auto"/>
        <w:tabs>
          <w:tab w:leader="none" w:pos="397"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only, do not constitute a part of the Agreement and shall not be deemed to limit or affect any of the provisions hereof.</w:t>
      </w:r>
    </w:p>
    <w:p>
      <w:pPr>
        <w:spacing w:after="0" w:line="174" w:lineRule="exact"/>
        <w:rPr>
          <w:rFonts w:ascii="Arial" w:cs="Arial" w:eastAsia="Arial" w:hAnsi="Arial"/>
          <w:sz w:val="18"/>
          <w:szCs w:val="18"/>
          <w:color w:val="auto"/>
        </w:rPr>
      </w:pPr>
    </w:p>
    <w:p>
      <w:pPr>
        <w:jc w:val="both"/>
        <w:ind w:left="-460" w:firstLine="634"/>
        <w:spacing w:after="0" w:line="266" w:lineRule="auto"/>
        <w:tabs>
          <w:tab w:leader="none" w:pos="486"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Independent Nature of Holders’ Obligations and Rights</w:t>
      </w:r>
      <w:r>
        <w:rPr>
          <w:rFonts w:ascii="Arial" w:cs="Arial" w:eastAsia="Arial" w:hAnsi="Arial"/>
          <w:sz w:val="17"/>
          <w:szCs w:val="17"/>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8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t>
      </w:r>
    </w:p>
    <w:p>
      <w:pPr>
        <w:spacing w:after="0" w:line="222"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13970</wp:posOffset>
            </wp:positionV>
            <wp:extent cx="713359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120"/>
          </w:cols>
          <w:pgMar w:left="1440" w:top="903" w:right="339" w:bottom="1440" w:gutter="0" w:footer="0" w:header="0"/>
        </w:sectPr>
      </w:pPr>
    </w:p>
    <w:bookmarkStart w:id="208" w:name="page209"/>
    <w:bookmarkEnd w:id="208"/>
    <w:p>
      <w:pPr>
        <w:spacing w:after="0"/>
        <w:rPr>
          <w:sz w:val="20"/>
          <w:szCs w:val="20"/>
          <w:color w:val="auto"/>
        </w:rPr>
      </w:pPr>
      <w:r>
        <w:rPr>
          <w:rFonts w:ascii="Arial" w:cs="Arial" w:eastAsia="Arial" w:hAnsi="Arial"/>
          <w:sz w:val="16"/>
          <w:szCs w:val="16"/>
          <w:color w:val="auto"/>
        </w:rPr>
        <w:t>IN WITNESS WHEREOF, the parties have executed this Registration Rights Agreement as of the date first written above.</w:t>
      </w: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PRESTO AUTOMATION INC.</w:t>
      </w:r>
    </w:p>
    <w:p>
      <w:pPr>
        <w:spacing w:after="0" w:line="226"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Xavier Casanova</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-130175</wp:posOffset>
            </wp:positionV>
            <wp:extent cx="249428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4"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439420</wp:posOffset>
            </wp:positionV>
            <wp:extent cx="713359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9159"/>
          </w:cols>
          <w:pgMar w:left="1300" w:top="903" w:right="1440"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27"/>
        </w:trPr>
        <w:tc>
          <w:tcPr>
            <w:tcW w:w="3440" w:type="dxa"/>
            <w:vAlign w:val="bottom"/>
          </w:tcPr>
          <w:p>
            <w:pPr>
              <w:spacing w:after="0"/>
              <w:rPr>
                <w:sz w:val="19"/>
                <w:szCs w:val="19"/>
                <w:color w:val="auto"/>
              </w:rPr>
            </w:pP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[SIGNATURE PAGE OF HOLDERS TO PRST RRA]</w:t>
            </w:r>
          </w:p>
        </w:tc>
        <w:tc>
          <w:tcPr>
            <w:tcW w:w="2800" w:type="dxa"/>
            <w:vAlign w:val="bottom"/>
          </w:tcPr>
          <w:p>
            <w:pPr>
              <w:spacing w:after="0"/>
              <w:rPr>
                <w:sz w:val="19"/>
                <w:szCs w:val="19"/>
                <w:color w:val="auto"/>
              </w:rPr>
            </w:pPr>
          </w:p>
        </w:tc>
      </w:tr>
      <w:tr>
        <w:trPr>
          <w:trHeight w:val="437"/>
        </w:trPr>
        <w:tc>
          <w:tcPr>
            <w:tcW w:w="3440" w:type="dxa"/>
            <w:vAlign w:val="bottom"/>
          </w:tcPr>
          <w:p>
            <w:pPr>
              <w:spacing w:after="0"/>
              <w:rPr>
                <w:sz w:val="20"/>
                <w:szCs w:val="20"/>
                <w:color w:val="auto"/>
              </w:rPr>
            </w:pPr>
            <w:r>
              <w:rPr>
                <w:rFonts w:ascii="Arial" w:cs="Arial" w:eastAsia="Arial" w:hAnsi="Arial"/>
                <w:sz w:val="18"/>
                <w:szCs w:val="18"/>
                <w:color w:val="auto"/>
              </w:rPr>
              <w:t>Name of Holder:</w:t>
            </w:r>
          </w:p>
        </w:tc>
        <w:tc>
          <w:tcPr>
            <w:tcW w:w="840" w:type="dxa"/>
            <w:vAlign w:val="bottom"/>
          </w:tcPr>
          <w:p>
            <w:pPr>
              <w:spacing w:after="0"/>
              <w:rPr>
                <w:sz w:val="24"/>
                <w:szCs w:val="24"/>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CA LLC</w:t>
            </w:r>
          </w:p>
        </w:tc>
        <w:tc>
          <w:tcPr>
            <w:tcW w:w="2800" w:type="dxa"/>
            <w:vAlign w:val="bottom"/>
          </w:tcPr>
          <w:p>
            <w:pPr>
              <w:spacing w:after="0"/>
              <w:rPr>
                <w:sz w:val="24"/>
                <w:szCs w:val="24"/>
                <w:color w:val="auto"/>
              </w:rPr>
            </w:pPr>
          </w:p>
        </w:tc>
      </w:tr>
      <w:tr>
        <w:trPr>
          <w:trHeight w:val="436"/>
        </w:trPr>
        <w:tc>
          <w:tcPr>
            <w:tcW w:w="3440" w:type="dxa"/>
            <w:vAlign w:val="bottom"/>
          </w:tcPr>
          <w:p>
            <w:pPr>
              <w:spacing w:after="0"/>
              <w:rPr>
                <w:sz w:val="20"/>
                <w:szCs w:val="20"/>
                <w:color w:val="auto"/>
              </w:rPr>
            </w:pPr>
            <w:r>
              <w:rPr>
                <w:rFonts w:ascii="Arial" w:cs="Arial" w:eastAsia="Arial" w:hAnsi="Arial"/>
                <w:sz w:val="18"/>
                <w:szCs w:val="18"/>
                <w:i w:val="1"/>
                <w:iCs w:val="1"/>
                <w:color w:val="auto"/>
                <w:w w:val="97"/>
              </w:rPr>
              <w:t>Signature of Authorized Signatory of Holder</w:t>
            </w:r>
            <w:r>
              <w:rPr>
                <w:rFonts w:ascii="Arial" w:cs="Arial" w:eastAsia="Arial" w:hAnsi="Arial"/>
                <w:sz w:val="18"/>
                <w:szCs w:val="18"/>
                <w:color w:val="auto"/>
                <w:w w:val="97"/>
              </w:rPr>
              <w:t>:</w:t>
            </w:r>
          </w:p>
        </w:tc>
        <w:tc>
          <w:tcPr>
            <w:tcW w:w="840" w:type="dxa"/>
            <w:vAlign w:val="bottom"/>
          </w:tcPr>
          <w:p>
            <w:pPr>
              <w:spacing w:after="0"/>
              <w:rPr>
                <w:sz w:val="24"/>
                <w:szCs w:val="24"/>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McCoy</w:t>
            </w:r>
          </w:p>
        </w:tc>
        <w:tc>
          <w:tcPr>
            <w:tcW w:w="2800" w:type="dxa"/>
            <w:vAlign w:val="bottom"/>
          </w:tcPr>
          <w:p>
            <w:pPr>
              <w:spacing w:after="0"/>
              <w:rPr>
                <w:sz w:val="24"/>
                <w:szCs w:val="24"/>
                <w:color w:val="auto"/>
              </w:rPr>
            </w:pPr>
          </w:p>
        </w:tc>
      </w:tr>
      <w:tr>
        <w:trPr>
          <w:trHeight w:val="436"/>
        </w:trPr>
        <w:tc>
          <w:tcPr>
            <w:tcW w:w="3440" w:type="dxa"/>
            <w:vAlign w:val="bottom"/>
          </w:tcPr>
          <w:p>
            <w:pPr>
              <w:spacing w:after="0"/>
              <w:rPr>
                <w:sz w:val="20"/>
                <w:szCs w:val="20"/>
                <w:color w:val="auto"/>
              </w:rPr>
            </w:pPr>
            <w:r>
              <w:rPr>
                <w:rFonts w:ascii="Arial" w:cs="Arial" w:eastAsia="Arial" w:hAnsi="Arial"/>
                <w:sz w:val="18"/>
                <w:szCs w:val="18"/>
                <w:color w:val="auto"/>
              </w:rPr>
              <w:t>Name of Authorized Signatory:</w:t>
            </w:r>
          </w:p>
        </w:tc>
        <w:tc>
          <w:tcPr>
            <w:tcW w:w="840" w:type="dxa"/>
            <w:vAlign w:val="bottom"/>
          </w:tcPr>
          <w:p>
            <w:pPr>
              <w:spacing w:after="0"/>
              <w:rPr>
                <w:sz w:val="24"/>
                <w:szCs w:val="24"/>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Joseph McCoy</w:t>
            </w:r>
          </w:p>
        </w:tc>
        <w:tc>
          <w:tcPr>
            <w:tcW w:w="2800" w:type="dxa"/>
            <w:vAlign w:val="bottom"/>
          </w:tcPr>
          <w:p>
            <w:pPr>
              <w:spacing w:after="0"/>
              <w:rPr>
                <w:sz w:val="24"/>
                <w:szCs w:val="24"/>
                <w:color w:val="auto"/>
              </w:rPr>
            </w:pPr>
          </w:p>
        </w:tc>
      </w:tr>
      <w:tr>
        <w:trPr>
          <w:trHeight w:val="436"/>
        </w:trPr>
        <w:tc>
          <w:tcPr>
            <w:tcW w:w="3440" w:type="dxa"/>
            <w:vAlign w:val="bottom"/>
          </w:tcPr>
          <w:p>
            <w:pPr>
              <w:spacing w:after="0"/>
              <w:rPr>
                <w:sz w:val="20"/>
                <w:szCs w:val="20"/>
                <w:color w:val="auto"/>
              </w:rPr>
            </w:pPr>
            <w:r>
              <w:rPr>
                <w:rFonts w:ascii="Arial" w:cs="Arial" w:eastAsia="Arial" w:hAnsi="Arial"/>
                <w:sz w:val="18"/>
                <w:szCs w:val="18"/>
                <w:color w:val="auto"/>
              </w:rPr>
              <w:t>Title of Authorized Signatory:</w:t>
            </w:r>
          </w:p>
        </w:tc>
        <w:tc>
          <w:tcPr>
            <w:tcW w:w="840" w:type="dxa"/>
            <w:vAlign w:val="bottom"/>
          </w:tcPr>
          <w:p>
            <w:pPr>
              <w:spacing w:after="0"/>
              <w:rPr>
                <w:sz w:val="24"/>
                <w:szCs w:val="24"/>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2800" w:type="dxa"/>
            <w:vAlign w:val="bottom"/>
          </w:tcPr>
          <w:p>
            <w:pPr>
              <w:spacing w:after="0"/>
              <w:rPr>
                <w:sz w:val="24"/>
                <w:szCs w:val="24"/>
                <w:color w:val="auto"/>
              </w:rPr>
            </w:pPr>
          </w:p>
        </w:tc>
      </w:tr>
      <w:tr>
        <w:trPr>
          <w:trHeight w:val="427"/>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[SIGNATURE PAGES CONTINUE]</w:t>
            </w:r>
          </w:p>
        </w:tc>
        <w:tc>
          <w:tcPr>
            <w:tcW w:w="2800" w:type="dxa"/>
            <w:vAlign w:val="bottom"/>
          </w:tcPr>
          <w:p>
            <w:pPr>
              <w:spacing w:after="0"/>
              <w:rPr>
                <w:sz w:val="24"/>
                <w:szCs w:val="24"/>
                <w:color w:val="auto"/>
              </w:rPr>
            </w:pPr>
          </w:p>
        </w:tc>
      </w:tr>
      <w:tr>
        <w:trPr>
          <w:trHeight w:val="679"/>
        </w:trPr>
        <w:tc>
          <w:tcPr>
            <w:tcW w:w="3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u w:val="single" w:color="auto"/>
          <w:color w:val="auto"/>
        </w:rPr>
        <w:t>Annex 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Plan of Distribution</w:t>
      </w:r>
    </w:p>
    <w:p>
      <w:pPr>
        <w:spacing w:after="0" w:line="22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Each Selling Stockholder (the “</w:t>
      </w:r>
      <w:r>
        <w:rPr>
          <w:rFonts w:ascii="Arial" w:cs="Arial" w:eastAsia="Arial" w:hAnsi="Arial"/>
          <w:sz w:val="18"/>
          <w:szCs w:val="18"/>
          <w:u w:val="single" w:color="auto"/>
          <w:color w:val="auto"/>
        </w:rPr>
        <w:t>Selling Stockholders</w:t>
      </w:r>
      <w:r>
        <w:rPr>
          <w:rFonts w:ascii="Arial" w:cs="Arial" w:eastAsia="Arial" w:hAnsi="Arial"/>
          <w:sz w:val="18"/>
          <w:szCs w:val="18"/>
          <w:color w:val="auto"/>
        </w:rPr>
        <w:t>”) of the securities and any of their pledgees, assignees and successors-in-interest may, from time to time, sell any or all of their securities covered hereby on the Nasdaq Global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9" w:lineRule="exact"/>
        <w:rPr>
          <w:sz w:val="20"/>
          <w:szCs w:val="20"/>
          <w:color w:val="auto"/>
        </w:rPr>
      </w:pPr>
    </w:p>
    <w:p>
      <w:pPr>
        <w:ind w:left="1300" w:hanging="328"/>
        <w:spacing w:after="0"/>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1" w:lineRule="exact"/>
        <w:rPr>
          <w:rFonts w:ascii="Arial" w:cs="Arial" w:eastAsia="Arial" w:hAnsi="Arial"/>
          <w:sz w:val="18"/>
          <w:szCs w:val="18"/>
          <w:color w:val="auto"/>
        </w:rPr>
      </w:pPr>
    </w:p>
    <w:p>
      <w:pPr>
        <w:ind w:left="1300" w:right="400" w:hanging="328"/>
        <w:spacing w:after="0" w:line="272" w:lineRule="auto"/>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74" w:lineRule="exact"/>
        <w:rPr>
          <w:rFonts w:ascii="Arial" w:cs="Arial" w:eastAsia="Arial" w:hAnsi="Arial"/>
          <w:sz w:val="18"/>
          <w:szCs w:val="18"/>
          <w:color w:val="auto"/>
        </w:rPr>
      </w:pPr>
    </w:p>
    <w:p>
      <w:pPr>
        <w:ind w:left="1300" w:hanging="328"/>
        <w:spacing w:after="0"/>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1" w:lineRule="exact"/>
        <w:rPr>
          <w:rFonts w:ascii="Arial" w:cs="Arial" w:eastAsia="Arial" w:hAnsi="Arial"/>
          <w:sz w:val="18"/>
          <w:szCs w:val="18"/>
          <w:color w:val="auto"/>
        </w:rPr>
      </w:pPr>
    </w:p>
    <w:p>
      <w:pPr>
        <w:ind w:left="1300" w:hanging="328"/>
        <w:spacing w:after="0"/>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1" w:lineRule="exact"/>
        <w:rPr>
          <w:rFonts w:ascii="Arial" w:cs="Arial" w:eastAsia="Arial" w:hAnsi="Arial"/>
          <w:sz w:val="18"/>
          <w:szCs w:val="18"/>
          <w:color w:val="auto"/>
        </w:rPr>
      </w:pPr>
    </w:p>
    <w:p>
      <w:pPr>
        <w:ind w:left="1300" w:hanging="328"/>
        <w:spacing w:after="0"/>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1" w:lineRule="exact"/>
        <w:rPr>
          <w:rFonts w:ascii="Arial" w:cs="Arial" w:eastAsia="Arial" w:hAnsi="Arial"/>
          <w:sz w:val="18"/>
          <w:szCs w:val="18"/>
          <w:color w:val="auto"/>
        </w:rPr>
      </w:pPr>
    </w:p>
    <w:p>
      <w:pPr>
        <w:ind w:left="1300" w:hanging="328"/>
        <w:spacing w:after="0"/>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221" w:lineRule="exact"/>
        <w:rPr>
          <w:rFonts w:ascii="Arial" w:cs="Arial" w:eastAsia="Arial" w:hAnsi="Arial"/>
          <w:sz w:val="18"/>
          <w:szCs w:val="18"/>
          <w:color w:val="auto"/>
        </w:rPr>
      </w:pPr>
    </w:p>
    <w:p>
      <w:pPr>
        <w:ind w:left="1300" w:right="140" w:hanging="328"/>
        <w:spacing w:after="0" w:line="272" w:lineRule="auto"/>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Stockholders to sell a specified number of such securities at a stipulated price per security;</w:t>
      </w:r>
    </w:p>
    <w:p>
      <w:pPr>
        <w:spacing w:after="0" w:line="174" w:lineRule="exact"/>
        <w:rPr>
          <w:rFonts w:ascii="Arial" w:cs="Arial" w:eastAsia="Arial" w:hAnsi="Arial"/>
          <w:sz w:val="18"/>
          <w:szCs w:val="18"/>
          <w:color w:val="auto"/>
        </w:rPr>
      </w:pPr>
    </w:p>
    <w:p>
      <w:pPr>
        <w:ind w:left="1300" w:hanging="328"/>
        <w:spacing w:after="0"/>
        <w:tabs>
          <w:tab w:leader="none" w:pos="13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through the writing or settlement of options or other hedging transactions, whether through an options exchange or otherwise;</w:t>
      </w:r>
    </w:p>
    <w:p>
      <w:pPr>
        <w:spacing w:after="0" w:line="233" w:lineRule="exact"/>
        <w:rPr>
          <w:rFonts w:ascii="Arial" w:cs="Arial" w:eastAsia="Arial" w:hAnsi="Arial"/>
          <w:sz w:val="17"/>
          <w:szCs w:val="17"/>
          <w:color w:val="auto"/>
        </w:rPr>
      </w:pPr>
    </w:p>
    <w:p>
      <w:pPr>
        <w:ind w:left="1300" w:hanging="328"/>
        <w:spacing w:after="0"/>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1" w:lineRule="exact"/>
        <w:rPr>
          <w:rFonts w:ascii="Arial" w:cs="Arial" w:eastAsia="Arial" w:hAnsi="Arial"/>
          <w:sz w:val="18"/>
          <w:szCs w:val="18"/>
          <w:color w:val="auto"/>
        </w:rPr>
      </w:pPr>
    </w:p>
    <w:p>
      <w:pPr>
        <w:ind w:left="1300" w:hanging="328"/>
        <w:spacing w:after="0"/>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2"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8"/>
          <w:szCs w:val="18"/>
          <w:color w:val="auto"/>
        </w:rPr>
        <w:t>The Selling Stockholders may also sell securities under Rule 144 or any other exemption from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if available, rather than under this prospectus.</w:t>
      </w:r>
    </w:p>
    <w:p>
      <w:pPr>
        <w:spacing w:after="0" w:line="174"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399415</wp:posOffset>
            </wp:positionV>
            <wp:extent cx="713359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211" w:name="page212"/>
    <w:bookmarkEnd w:id="211"/>
    <w:p>
      <w:pPr>
        <w:jc w:val="both"/>
        <w:ind w:firstLine="643"/>
        <w:spacing w:after="0" w:line="252" w:lineRule="auto"/>
        <w:rPr>
          <w:sz w:val="20"/>
          <w:szCs w:val="20"/>
          <w:color w:val="auto"/>
        </w:rPr>
      </w:pPr>
      <w:r>
        <w:rPr>
          <w:rFonts w:ascii="Arial" w:cs="Arial" w:eastAsia="Arial" w:hAnsi="Arial"/>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95"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92" w:lineRule="exact"/>
        <w:rPr>
          <w:sz w:val="20"/>
          <w:szCs w:val="20"/>
          <w:color w:val="auto"/>
        </w:rPr>
      </w:pPr>
    </w:p>
    <w:p>
      <w:pPr>
        <w:jc w:val="both"/>
        <w:ind w:firstLine="643"/>
        <w:spacing w:after="0" w:line="336" w:lineRule="auto"/>
        <w:rPr>
          <w:sz w:val="20"/>
          <w:szCs w:val="20"/>
          <w:color w:val="auto"/>
        </w:rPr>
      </w:pPr>
      <w:r>
        <w:rPr>
          <w:rFonts w:ascii="Arial" w:cs="Arial" w:eastAsia="Arial" w:hAnsi="Arial"/>
          <w:sz w:val="16"/>
          <w:szCs w:val="16"/>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28"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95" w:lineRule="exact"/>
        <w:rPr>
          <w:sz w:val="20"/>
          <w:szCs w:val="20"/>
          <w:color w:val="auto"/>
        </w:rPr>
      </w:pPr>
    </w:p>
    <w:p>
      <w:pPr>
        <w:jc w:val="both"/>
        <w:ind w:firstLine="643"/>
        <w:spacing w:after="0" w:line="291"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6" w:lineRule="exact"/>
        <w:rPr>
          <w:sz w:val="20"/>
          <w:szCs w:val="20"/>
          <w:color w:val="auto"/>
        </w:rPr>
      </w:pPr>
    </w:p>
    <w:p>
      <w:pPr>
        <w:jc w:val="both"/>
        <w:ind w:firstLine="643"/>
        <w:spacing w:after="0" w:line="276" w:lineRule="auto"/>
        <w:rPr>
          <w:sz w:val="20"/>
          <w:szCs w:val="20"/>
          <w:color w:val="auto"/>
        </w:rPr>
      </w:pPr>
      <w:r>
        <w:rPr>
          <w:rFonts w:ascii="Arial" w:cs="Arial" w:eastAsia="Arial" w:hAnsi="Arial"/>
          <w:sz w:val="17"/>
          <w:szCs w:val="17"/>
          <w:color w:val="auto"/>
        </w:rPr>
        <w:t>The common stock being offered by the selling shareholders are those previously issued to the selling shareholders. For additional information regarding the issuances of those shares of common stock, see “Private Placement of Shares of Common Stock” above. We are registering the shares of common stock in order to permit the selling shareholders to offer the shares for resale from time to time. Except for the ownership of the shares of common stock, the selling shareholders have not had any material relationship with us within the past three years.</w:t>
      </w:r>
    </w:p>
    <w:p>
      <w:pPr>
        <w:spacing w:after="0" w:line="173"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as of ________, 2023.</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third column lists the shares of common stock being offered by this prospectus by the selling shareholders.</w:t>
      </w:r>
    </w:p>
    <w:p>
      <w:pPr>
        <w:spacing w:after="0" w:line="22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In accordance with the terms of a registration rights agreement with the selling shareholders, this prospectus generally covers the resale of the number of shares of common stock issued to the selling shareholders in the “Private Placement of Shares of Common Stock” described above. The fourth column assumes the sale of all of the shares offered by the selling shareholders pursuant to this prospectus.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selling shareholders may sell all, some or none of their shares in this offering. See “Plan of Distribution.”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Maximum Number of</w:t>
            </w:r>
          </w:p>
        </w:tc>
        <w:tc>
          <w:tcPr>
            <w:tcW w:w="2240" w:type="dxa"/>
            <w:vAlign w:val="bottom"/>
          </w:tcPr>
          <w:p>
            <w:pPr>
              <w:spacing w:after="0"/>
              <w:rPr>
                <w:sz w:val="18"/>
                <w:szCs w:val="18"/>
                <w:color w:val="auto"/>
              </w:rPr>
            </w:pPr>
          </w:p>
        </w:tc>
      </w:tr>
      <w:tr>
        <w:trPr>
          <w:trHeight w:val="214"/>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shares of</w:t>
            </w:r>
          </w:p>
        </w:tc>
        <w:tc>
          <w:tcPr>
            <w:tcW w:w="2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shares of Common Stock</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shares of</w:t>
            </w:r>
          </w:p>
        </w:tc>
      </w:tr>
      <w:tr>
        <w:trPr>
          <w:trHeight w:val="214"/>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 Stock Owned</w:t>
            </w:r>
          </w:p>
        </w:tc>
        <w:tc>
          <w:tcPr>
            <w:tcW w:w="2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to be Sold Pursuant to this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Owned</w:t>
            </w:r>
          </w:p>
        </w:tc>
      </w:tr>
      <w:tr>
        <w:trPr>
          <w:trHeight w:val="24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Shareholder</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Prior to Offering</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Prospectus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5"/>
              </w:rPr>
              <w:t>After Offering</w:t>
            </w:r>
          </w:p>
        </w:tc>
      </w:tr>
      <w:tr>
        <w:trPr>
          <w:trHeight w:val="214"/>
        </w:trPr>
        <w:tc>
          <w:tcPr>
            <w:tcW w:w="4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r>
      <w:tr>
        <w:trPr>
          <w:trHeight w:val="214"/>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4"/>
        </w:trPr>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Annex 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 Notice and Questionnaire</w:t>
      </w:r>
    </w:p>
    <w:p>
      <w:pPr>
        <w:spacing w:after="0" w:line="226" w:lineRule="exact"/>
        <w:rPr>
          <w:sz w:val="20"/>
          <w:szCs w:val="20"/>
          <w:color w:val="auto"/>
        </w:rPr>
      </w:pPr>
    </w:p>
    <w:p>
      <w:pPr>
        <w:jc w:val="both"/>
        <w:ind w:firstLine="643"/>
        <w:spacing w:after="0" w:line="291" w:lineRule="auto"/>
        <w:rPr>
          <w:sz w:val="20"/>
          <w:szCs w:val="20"/>
          <w:color w:val="auto"/>
        </w:rPr>
      </w:pPr>
      <w:r>
        <w:rPr>
          <w:rFonts w:ascii="Arial" w:cs="Arial" w:eastAsia="Arial" w:hAnsi="Arial"/>
          <w:sz w:val="16"/>
          <w:szCs w:val="16"/>
          <w:color w:val="auto"/>
        </w:rPr>
        <w:t>The undersigned beneficial owner of common stock (the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of Presto Automation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understands that the Company has filed or intends to file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for the registration and resale under Rule 415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the Registrable Securities, in accordance with the terms of the Registration Rights Agreement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63"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w:t>
      </w:r>
    </w:p>
    <w:p>
      <w:pPr>
        <w:spacing w:after="0" w:line="226"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8"/>
          <w:szCs w:val="18"/>
          <w:color w:val="auto"/>
        </w:rPr>
        <w:t>The undersigned beneficial owner (the “</w:t>
      </w:r>
      <w:r>
        <w:rPr>
          <w:rFonts w:ascii="Arial" w:cs="Arial" w:eastAsia="Arial" w:hAnsi="Arial"/>
          <w:sz w:val="18"/>
          <w:szCs w:val="18"/>
          <w:u w:val="single" w:color="auto"/>
          <w:color w:val="auto"/>
        </w:rPr>
        <w:t>Selling Stockholder</w:t>
      </w:r>
      <w:r>
        <w:rPr>
          <w:rFonts w:ascii="Arial" w:cs="Arial" w:eastAsia="Arial" w:hAnsi="Arial"/>
          <w:sz w:val="18"/>
          <w:szCs w:val="18"/>
          <w:color w:val="auto"/>
        </w:rPr>
        <w:t>”) of Registrable Securities hereby elects to include the Registrable Securities owned by it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408940</wp:posOffset>
            </wp:positionV>
            <wp:extent cx="713359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t>The undersigned hereby provides the following information to the Company and represents and warrants that such information is accurate: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QUESTIONNAIRE</w:t>
      </w:r>
    </w:p>
    <w:p>
      <w:pPr>
        <w:spacing w:after="0" w:line="222" w:lineRule="exact"/>
        <w:rPr>
          <w:sz w:val="20"/>
          <w:szCs w:val="20"/>
          <w:color w:val="auto"/>
        </w:rPr>
      </w:pPr>
    </w:p>
    <w:p>
      <w:pPr>
        <w:ind w:left="180" w:hanging="173"/>
        <w:spacing w:after="0"/>
        <w:tabs>
          <w:tab w:leader="none" w:pos="18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Name.</w:t>
      </w:r>
    </w:p>
    <w:p>
      <w:pPr>
        <w:spacing w:after="0" w:line="225" w:lineRule="exact"/>
        <w:rPr>
          <w:rFonts w:ascii="Arial" w:cs="Arial" w:eastAsia="Arial" w:hAnsi="Arial"/>
          <w:sz w:val="18"/>
          <w:szCs w:val="18"/>
          <w:b w:val="1"/>
          <w:bCs w:val="1"/>
          <w:color w:val="auto"/>
        </w:rPr>
      </w:pPr>
    </w:p>
    <w:p>
      <w:pPr>
        <w:ind w:left="1300" w:hanging="649"/>
        <w:spacing w:after="0"/>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Full Legal Name of Selling Stockholder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2" w:lineRule="exact"/>
        <w:rPr>
          <w:rFonts w:ascii="Arial" w:cs="Arial" w:eastAsia="Arial" w:hAnsi="Arial"/>
          <w:sz w:val="18"/>
          <w:szCs w:val="18"/>
          <w:color w:val="auto"/>
        </w:rPr>
      </w:pPr>
    </w:p>
    <w:p>
      <w:pPr>
        <w:ind w:left="1300" w:hanging="649"/>
        <w:spacing w:after="0"/>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Full Legal Name of Registered Holder (if not the same as (a) above) through which Registrable Securities are held: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2" w:lineRule="exact"/>
        <w:rPr>
          <w:rFonts w:ascii="Arial" w:cs="Arial" w:eastAsia="Arial" w:hAnsi="Arial"/>
          <w:sz w:val="18"/>
          <w:szCs w:val="18"/>
          <w:color w:val="auto"/>
        </w:rPr>
      </w:pPr>
    </w:p>
    <w:p>
      <w:pPr>
        <w:ind w:left="1300" w:hanging="649"/>
        <w:spacing w:after="0" w:line="272" w:lineRule="auto"/>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80" w:hanging="173"/>
        <w:spacing w:after="0"/>
        <w:tabs>
          <w:tab w:leader="none" w:pos="18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-1940560</wp:posOffset>
            </wp:positionV>
            <wp:extent cx="631634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6316345" cy="1714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-1242695</wp:posOffset>
            </wp:positionV>
            <wp:extent cx="631634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6316345" cy="1714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-408305</wp:posOffset>
            </wp:positionV>
            <wp:extent cx="631634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6316345" cy="1714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594995</wp:posOffset>
            </wp:positionV>
            <wp:extent cx="691197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6911975" cy="1714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441960</wp:posOffset>
            </wp:positionV>
            <wp:extent cx="691197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6911975" cy="1714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288925</wp:posOffset>
            </wp:positionV>
            <wp:extent cx="691197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69119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Telephone: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-130175</wp:posOffset>
            </wp:positionV>
            <wp:extent cx="598424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5984240" cy="1714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22225</wp:posOffset>
            </wp:positionV>
            <wp:extent cx="598424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5984240" cy="1714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-130175</wp:posOffset>
            </wp:positionV>
            <wp:extent cx="598424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5984240" cy="17145"/>
                    </a:xfrm>
                    <a:prstGeom prst="rect">
                      <a:avLst/>
                    </a:prstGeom>
                    <a:noFill/>
                  </pic:spPr>
                </pic:pic>
              </a:graphicData>
            </a:graphic>
          </wp:anchor>
        </w:drawing>
      </w:r>
    </w:p>
    <w:p>
      <w:pPr>
        <w:spacing w:after="0" w:line="238" w:lineRule="exact"/>
        <w:rPr>
          <w:sz w:val="20"/>
          <w:szCs w:val="20"/>
          <w:color w:val="auto"/>
        </w:rPr>
      </w:pPr>
    </w:p>
    <w:p>
      <w:pPr>
        <w:ind w:left="180" w:hanging="173"/>
        <w:spacing w:after="0"/>
        <w:tabs>
          <w:tab w:leader="none" w:pos="18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Broker-Dealer Status:</w:t>
      </w:r>
    </w:p>
    <w:p>
      <w:pPr>
        <w:spacing w:after="0" w:line="225" w:lineRule="exact"/>
        <w:rPr>
          <w:rFonts w:ascii="Arial" w:cs="Arial" w:eastAsia="Arial" w:hAnsi="Arial"/>
          <w:sz w:val="18"/>
          <w:szCs w:val="18"/>
          <w:b w:val="1"/>
          <w:bCs w:val="1"/>
          <w:color w:val="auto"/>
        </w:rPr>
      </w:pPr>
    </w:p>
    <w:p>
      <w:pPr>
        <w:ind w:left="1300" w:hanging="649"/>
        <w:spacing w:after="0"/>
        <w:tabs>
          <w:tab w:leader="none" w:pos="13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Are you a broker-dealer?</w:t>
      </w:r>
    </w:p>
    <w:p>
      <w:pPr>
        <w:spacing w:after="0" w:line="177"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7" w:lineRule="exact"/>
        <w:rPr>
          <w:sz w:val="20"/>
          <w:szCs w:val="20"/>
          <w:color w:val="auto"/>
        </w:rPr>
      </w:pPr>
    </w:p>
    <w:p>
      <w:pPr>
        <w:ind w:left="5120" w:right="280" w:hanging="4469"/>
        <w:spacing w:after="0" w:line="343" w:lineRule="exact"/>
        <w:tabs>
          <w:tab w:leader="none" w:pos="130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If “yes” to Section 3(a), did you receive your Registrable Securities as compensation for investment banking services to the Company?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color w:val="auto"/>
        </w:rPr>
        <w:t>Note:</w:t>
      </w:r>
      <w:r>
        <w:rPr>
          <w:sz w:val="20"/>
          <w:szCs w:val="20"/>
          <w:color w:val="auto"/>
        </w:rPr>
        <w:tab/>
      </w:r>
      <w:r>
        <w:rPr>
          <w:rFonts w:ascii="Arial" w:cs="Arial" w:eastAsia="Arial" w:hAnsi="Arial"/>
          <w:sz w:val="16"/>
          <w:szCs w:val="16"/>
          <w:color w:val="auto"/>
        </w:rPr>
        <w:t>If “no” to Section 3(b), the Commission’s staff has indicated that you should be identified as an underwriter in the Registration Statement.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903" w:right="359" w:bottom="1440" w:gutter="0" w:footer="0" w:header="0"/>
        </w:sectPr>
      </w:pPr>
    </w:p>
    <w:bookmarkStart w:id="215" w:name="page216"/>
    <w:bookmarkEnd w:id="215"/>
    <w:p>
      <w:pPr>
        <w:ind w:left="1300" w:hanging="649"/>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Are you an affiliate of a broker-dealer?</w:t>
      </w:r>
    </w:p>
    <w:p>
      <w:pPr>
        <w:spacing w:after="0" w:line="177"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7" w:lineRule="exact"/>
        <w:rPr>
          <w:sz w:val="20"/>
          <w:szCs w:val="20"/>
          <w:color w:val="auto"/>
        </w:rPr>
      </w:pPr>
    </w:p>
    <w:p>
      <w:pPr>
        <w:jc w:val="both"/>
        <w:ind w:left="1300" w:hanging="649"/>
        <w:spacing w:after="0" w:line="260" w:lineRule="auto"/>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41"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color w:val="auto"/>
        </w:rPr>
        <w:t>Note:</w:t>
      </w:r>
      <w:r>
        <w:rPr>
          <w:sz w:val="20"/>
          <w:szCs w:val="20"/>
          <w:color w:val="auto"/>
        </w:rPr>
        <w:tab/>
      </w:r>
      <w:r>
        <w:rPr>
          <w:rFonts w:ascii="Arial" w:cs="Arial" w:eastAsia="Arial" w:hAnsi="Arial"/>
          <w:sz w:val="16"/>
          <w:szCs w:val="16"/>
          <w:color w:val="auto"/>
        </w:rPr>
        <w:t>If “no” to Section 3(d), the Commission’s staff has indicated that you should be identified as an underwriter in the Registration Statement.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Beneficial Ownership of Securities of the Company Owned by the Selling Stockholder.</w:t>
      </w:r>
    </w:p>
    <w:p>
      <w:pPr>
        <w:spacing w:after="0" w:line="226" w:lineRule="exact"/>
        <w:rPr>
          <w:sz w:val="20"/>
          <w:szCs w:val="20"/>
          <w:color w:val="auto"/>
        </w:rPr>
      </w:pPr>
    </w:p>
    <w:p>
      <w:pPr>
        <w:ind w:left="660"/>
        <w:spacing w:after="0" w:line="272" w:lineRule="auto"/>
        <w:rPr>
          <w:sz w:val="20"/>
          <w:szCs w:val="20"/>
          <w:color w:val="auto"/>
        </w:rPr>
      </w:pPr>
      <w:r>
        <w:rPr>
          <w:rFonts w:ascii="Arial" w:cs="Arial" w:eastAsia="Arial" w:hAnsi="Arial"/>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74" w:lineRule="exact"/>
        <w:rPr>
          <w:sz w:val="20"/>
          <w:szCs w:val="20"/>
          <w:color w:val="auto"/>
        </w:rPr>
      </w:pPr>
    </w:p>
    <w:p>
      <w:pPr>
        <w:ind w:left="1300" w:hanging="649"/>
        <w:spacing w:after="0"/>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Type and Amount of other securities beneficially owned by the Selling Stockholder: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-410845</wp:posOffset>
            </wp:positionV>
            <wp:extent cx="631634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6316345" cy="1714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-564515</wp:posOffset>
            </wp:positionV>
            <wp:extent cx="631634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631634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5. Relationships with the Company:</w:t>
      </w:r>
    </w:p>
    <w:p>
      <w:pPr>
        <w:spacing w:after="0" w:line="226"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439420</wp:posOffset>
            </wp:positionV>
            <wp:extent cx="672465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672465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286385</wp:posOffset>
            </wp:positionV>
            <wp:extent cx="672465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67246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8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7" w:name="page218"/>
    <w:bookmarkEnd w:id="217"/>
    <w:p>
      <w:pPr>
        <w:ind w:firstLine="643"/>
        <w:spacing w:after="0" w:line="272" w:lineRule="auto"/>
        <w:rPr>
          <w:sz w:val="20"/>
          <w:szCs w:val="20"/>
          <w:color w:val="auto"/>
        </w:rPr>
      </w:pPr>
      <w:r>
        <w:rPr>
          <w:rFonts w:ascii="Arial" w:cs="Arial" w:eastAsia="Arial" w:hAnsi="Arial"/>
          <w:sz w:val="18"/>
          <w:szCs w:val="18"/>
          <w:color w:val="auto"/>
        </w:rPr>
        <w:t>IN WITNESS WHEREOF the undersigned, by authority duly given, has caused this Notice and Questionnaire to be executed and delivered either in person or by its duly authorized agent.</w:t>
      </w:r>
    </w:p>
    <w:p>
      <w:pPr>
        <w:spacing w:after="0" w:line="174"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5358765</wp:posOffset>
            </wp:positionH>
            <wp:positionV relativeFrom="paragraph">
              <wp:posOffset>13970</wp:posOffset>
            </wp:positionV>
            <wp:extent cx="177927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1779270" cy="1714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13970</wp:posOffset>
            </wp:positionV>
            <wp:extent cx="250253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2502535" cy="17145"/>
                    </a:xfrm>
                    <a:prstGeom prst="rect">
                      <a:avLst/>
                    </a:prstGeom>
                    <a:noFill/>
                  </pic:spPr>
                </pic:pic>
              </a:graphicData>
            </a:graphic>
          </wp:anchor>
        </w:drawing>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13970</wp:posOffset>
            </wp:positionV>
            <wp:extent cx="256222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2562225" cy="17145"/>
                    </a:xfrm>
                    <a:prstGeom prst="rect">
                      <a:avLst/>
                    </a:prstGeom>
                    <a:noFill/>
                  </pic:spPr>
                </pic:pic>
              </a:graphicData>
            </a:graphic>
          </wp:anchor>
        </w:drawing>
      </w:r>
    </w:p>
    <w:p>
      <w:pPr>
        <w:spacing w:after="0" w:line="1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EMAIL A .PDF COPY OF THE COMPLETED AND EXECUTED NOTICE AND QUESTIONNAIRE TO: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152400</wp:posOffset>
            </wp:positionV>
            <wp:extent cx="1455420" cy="21704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1455420" cy="217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20, 2023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Presto Automation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985 Industrial Road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Carlos, CA 94070</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 Presto Automation Inc. - Registration Statement on Form S-3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2" w:lineRule="exact"/>
        <w:rPr>
          <w:sz w:val="20"/>
          <w:szCs w:val="20"/>
          <w:color w:val="auto"/>
        </w:rPr>
      </w:pPr>
    </w:p>
    <w:p>
      <w:pPr>
        <w:jc w:val="both"/>
        <w:ind w:firstLine="643"/>
        <w:spacing w:after="0" w:line="283" w:lineRule="auto"/>
        <w:rPr>
          <w:sz w:val="20"/>
          <w:szCs w:val="20"/>
          <w:color w:val="auto"/>
        </w:rPr>
      </w:pPr>
      <w:r>
        <w:rPr>
          <w:rFonts w:ascii="Arial" w:cs="Arial" w:eastAsia="Arial" w:hAnsi="Arial"/>
          <w:sz w:val="16"/>
          <w:szCs w:val="16"/>
          <w:color w:val="auto"/>
        </w:rPr>
        <w:t>We have acted as New York counsel to Presto Automation Inc.,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by the Company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a registration statement on Form S-3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related prospectus relating to the registration under the Securities Act of 1933, as amended (the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of (x) the offer and sale of up to $75,000,000 in the aggregate of the Company’s (i) shares of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to be newly issued (the “</w:t>
      </w:r>
      <w:r>
        <w:rPr>
          <w:rFonts w:ascii="Arial" w:cs="Arial" w:eastAsia="Arial" w:hAnsi="Arial"/>
          <w:sz w:val="16"/>
          <w:szCs w:val="16"/>
          <w:u w:val="single" w:color="auto"/>
          <w:color w:val="auto"/>
        </w:rPr>
        <w:t>New Common Stock</w:t>
      </w:r>
      <w:r>
        <w:rPr>
          <w:rFonts w:ascii="Arial" w:cs="Arial" w:eastAsia="Arial" w:hAnsi="Arial"/>
          <w:sz w:val="16"/>
          <w:szCs w:val="16"/>
          <w:color w:val="auto"/>
        </w:rPr>
        <w:t>”), (ii) shares of preferred stock, par value $0.0001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(iii) one or more series of debt securities (the “</w:t>
      </w:r>
      <w:r>
        <w:rPr>
          <w:rFonts w:ascii="Arial" w:cs="Arial" w:eastAsia="Arial" w:hAnsi="Arial"/>
          <w:sz w:val="16"/>
          <w:szCs w:val="16"/>
          <w:u w:val="single" w:color="auto"/>
          <w:color w:val="auto"/>
        </w:rPr>
        <w:t>Debt Securities</w:t>
      </w:r>
      <w:r>
        <w:rPr>
          <w:rFonts w:ascii="Arial" w:cs="Arial" w:eastAsia="Arial" w:hAnsi="Arial"/>
          <w:sz w:val="16"/>
          <w:szCs w:val="16"/>
          <w:color w:val="auto"/>
        </w:rPr>
        <w:t>”), (iv) warrants to purchase Common Stock, Preferred Stock, Debt Securities, Rights, Units, or any combination thereof (“</w:t>
      </w:r>
      <w:r>
        <w:rPr>
          <w:rFonts w:ascii="Arial" w:cs="Arial" w:eastAsia="Arial" w:hAnsi="Arial"/>
          <w:sz w:val="16"/>
          <w:szCs w:val="16"/>
          <w:u w:val="single" w:color="auto"/>
          <w:color w:val="auto"/>
        </w:rPr>
        <w:t>New Warrants</w:t>
      </w:r>
      <w:r>
        <w:rPr>
          <w:rFonts w:ascii="Arial" w:cs="Arial" w:eastAsia="Arial" w:hAnsi="Arial"/>
          <w:sz w:val="16"/>
          <w:szCs w:val="16"/>
          <w:color w:val="auto"/>
        </w:rPr>
        <w:t>”), (v) rights to purchase Common Stock, Preferred Stock, Debt Securities, New Warrants and/or Units (the “</w:t>
      </w:r>
      <w:r>
        <w:rPr>
          <w:rFonts w:ascii="Arial" w:cs="Arial" w:eastAsia="Arial" w:hAnsi="Arial"/>
          <w:sz w:val="16"/>
          <w:szCs w:val="16"/>
          <w:u w:val="single" w:color="auto"/>
          <w:color w:val="auto"/>
        </w:rPr>
        <w:t>Rights</w:t>
      </w:r>
      <w:r>
        <w:rPr>
          <w:rFonts w:ascii="Arial" w:cs="Arial" w:eastAsia="Arial" w:hAnsi="Arial"/>
          <w:sz w:val="16"/>
          <w:szCs w:val="16"/>
          <w:color w:val="auto"/>
        </w:rPr>
        <w:t>”), and (vi) units consisting of Common Stock, Preferred Stock, Debt Securities, New Warrants and/or Rights (“</w:t>
      </w:r>
      <w:r>
        <w:rPr>
          <w:rFonts w:ascii="Arial" w:cs="Arial" w:eastAsia="Arial" w:hAnsi="Arial"/>
          <w:sz w:val="16"/>
          <w:szCs w:val="16"/>
          <w:u w:val="single" w:color="auto"/>
          <w:color w:val="auto"/>
        </w:rPr>
        <w:t>Units</w:t>
      </w:r>
      <w:r>
        <w:rPr>
          <w:rFonts w:ascii="Arial" w:cs="Arial" w:eastAsia="Arial" w:hAnsi="Arial"/>
          <w:sz w:val="16"/>
          <w:szCs w:val="16"/>
          <w:color w:val="auto"/>
        </w:rPr>
        <w:t>”), (y) the issuance of up to 16,823,660 shares of Common Stock (the “</w:t>
      </w:r>
      <w:r>
        <w:rPr>
          <w:rFonts w:ascii="Arial" w:cs="Arial" w:eastAsia="Arial" w:hAnsi="Arial"/>
          <w:sz w:val="16"/>
          <w:szCs w:val="16"/>
          <w:u w:val="single" w:color="auto"/>
          <w:color w:val="auto"/>
        </w:rPr>
        <w:t>Warrant Shares</w:t>
      </w:r>
      <w:r>
        <w:rPr>
          <w:rFonts w:ascii="Arial" w:cs="Arial" w:eastAsia="Arial" w:hAnsi="Arial"/>
          <w:sz w:val="16"/>
          <w:szCs w:val="16"/>
          <w:color w:val="auto"/>
        </w:rPr>
        <w:t>”), which may be issued upon exercise of outstanding warrants to purchase Common Stock at an exercise price of $8.21 per share with respect to the warrants issued in the initial public offering of Ventoux CCM Acquisition Corp. (“</w:t>
      </w:r>
      <w:r>
        <w:rPr>
          <w:rFonts w:ascii="Arial" w:cs="Arial" w:eastAsia="Arial" w:hAnsi="Arial"/>
          <w:sz w:val="16"/>
          <w:szCs w:val="16"/>
          <w:u w:val="single" w:color="auto"/>
          <w:color w:val="auto"/>
        </w:rPr>
        <w:t>VTAQ</w:t>
      </w:r>
      <w:r>
        <w:rPr>
          <w:rFonts w:ascii="Arial" w:cs="Arial" w:eastAsia="Arial" w:hAnsi="Arial"/>
          <w:sz w:val="16"/>
          <w:szCs w:val="16"/>
          <w:color w:val="auto"/>
        </w:rPr>
        <w:t>”), $11.50 per share of Common Stock with respect to the warrants issued in a private placement simultaneously with the consummation of the initial public offering of VTAQ and the warrants issued to lenders party to that certain Credit Agreement (as defined below), $0.37 per share of Common Stock with respect to the first tranche of warrants issued to Trinity Capital Fund II, L.P., LLC (“Trinity”), and $5.85 per share of Common Stock with respect to the second tranche of warrants issued to Trinity (collectively, the “</w:t>
      </w:r>
      <w:r>
        <w:rPr>
          <w:rFonts w:ascii="Arial" w:cs="Arial" w:eastAsia="Arial" w:hAnsi="Arial"/>
          <w:sz w:val="16"/>
          <w:szCs w:val="16"/>
          <w:u w:val="single" w:color="auto"/>
          <w:color w:val="auto"/>
        </w:rPr>
        <w:t>Outstanding Warrants</w:t>
      </w:r>
      <w:r>
        <w:rPr>
          <w:rFonts w:ascii="Arial" w:cs="Arial" w:eastAsia="Arial" w:hAnsi="Arial"/>
          <w:sz w:val="16"/>
          <w:szCs w:val="16"/>
          <w:color w:val="auto"/>
        </w:rPr>
        <w:t>”), and (z) the offer and sale, from time to time, of the selling securityholders named in the Registration Statement (each a “</w:t>
      </w:r>
      <w:r>
        <w:rPr>
          <w:rFonts w:ascii="Arial" w:cs="Arial" w:eastAsia="Arial" w:hAnsi="Arial"/>
          <w:sz w:val="16"/>
          <w:szCs w:val="16"/>
          <w:u w:val="single" w:color="auto"/>
          <w:color w:val="auto"/>
        </w:rPr>
        <w:t>Selling Securityholder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Selling Securityholders</w:t>
      </w:r>
      <w:r>
        <w:rPr>
          <w:rFonts w:ascii="Arial" w:cs="Arial" w:eastAsia="Arial" w:hAnsi="Arial"/>
          <w:sz w:val="16"/>
          <w:szCs w:val="16"/>
          <w:color w:val="auto"/>
        </w:rPr>
        <w:t>”) of up to (i) 7,625,000 Outstanding Warrants issued in a private placement (the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and (ii) an aggregate of 52,709,824 shares of Common Stock, including up to:</w:t>
      </w:r>
    </w:p>
    <w:p>
      <w:pPr>
        <w:spacing w:after="0" w:line="175" w:lineRule="exact"/>
        <w:rPr>
          <w:sz w:val="20"/>
          <w:szCs w:val="20"/>
          <w:color w:val="auto"/>
        </w:rPr>
      </w:pPr>
    </w:p>
    <w:p>
      <w:pPr>
        <w:jc w:val="both"/>
        <w:ind w:left="1300" w:hanging="649"/>
        <w:spacing w:after="0" w:line="260" w:lineRule="auto"/>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4,312,500 shares of Common Stock held by Ventoux Acquisition Holdings LLC and Chardan International Investments, LLC, their respective permitted transferees and the independent directors of the Company’s predecessor, VTAQ, purchased prior to VTAQ’s initial public offering of Common Stock on December 30, 2020;</w:t>
      </w:r>
    </w:p>
    <w:p>
      <w:pPr>
        <w:spacing w:after="0" w:line="185" w:lineRule="exact"/>
        <w:rPr>
          <w:sz w:val="20"/>
          <w:szCs w:val="20"/>
          <w:color w:val="auto"/>
        </w:rPr>
      </w:pPr>
    </w:p>
    <w:p>
      <w:pPr>
        <w:ind w:left="1300" w:right="20" w:hanging="649"/>
        <w:spacing w:after="0" w:line="302" w:lineRule="auto"/>
        <w:tabs>
          <w:tab w:leader="none" w:pos="130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7,143,687 shares of Common Stock issued to certain institutional and accredited investors in connection with the consummation of the transactions contemplated by the Business Combination Agreement (as defined herein)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w:t>
      </w:r>
    </w:p>
    <w:p>
      <w:pPr>
        <w:spacing w:after="0" w:line="152" w:lineRule="exact"/>
        <w:rPr>
          <w:sz w:val="20"/>
          <w:szCs w:val="20"/>
          <w:color w:val="auto"/>
        </w:rPr>
      </w:pPr>
    </w:p>
    <w:p>
      <w:pPr>
        <w:jc w:val="both"/>
        <w:ind w:left="1300" w:hanging="649"/>
        <w:spacing w:after="0" w:line="260" w:lineRule="auto"/>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640,000 shares of Common Stock issued as partial consideration to various advisors of the Company and VTAQ for services rendered in connection with the Business Combination and the private placement that closed simultaneously with the consummation of the Business Combination;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80" w:type="dxa"/>
            <w:vAlign w:val="bottom"/>
          </w:tcPr>
          <w:p>
            <w:pPr>
              <w:ind w:left="660"/>
              <w:spacing w:after="0"/>
              <w:rPr>
                <w:sz w:val="20"/>
                <w:szCs w:val="20"/>
                <w:color w:val="auto"/>
              </w:rPr>
            </w:pPr>
            <w:r>
              <w:rPr>
                <w:rFonts w:ascii="Arial" w:cs="Arial" w:eastAsia="Arial" w:hAnsi="Arial"/>
                <w:sz w:val="18"/>
                <w:szCs w:val="18"/>
                <w:color w:val="auto"/>
              </w:rPr>
              <w:t>IV.</w:t>
            </w:r>
          </w:p>
        </w:tc>
        <w:tc>
          <w:tcPr>
            <w:tcW w:w="10160" w:type="dxa"/>
            <w:vAlign w:val="bottom"/>
            <w:gridSpan w:val="3"/>
          </w:tcPr>
          <w:p>
            <w:pPr>
              <w:ind w:left="220"/>
              <w:spacing w:after="0"/>
              <w:rPr>
                <w:sz w:val="20"/>
                <w:szCs w:val="20"/>
                <w:color w:val="auto"/>
              </w:rPr>
            </w:pPr>
            <w:r>
              <w:rPr>
                <w:rFonts w:ascii="Arial" w:cs="Arial" w:eastAsia="Arial" w:hAnsi="Arial"/>
                <w:sz w:val="18"/>
                <w:szCs w:val="18"/>
                <w:color w:val="auto"/>
                <w:w w:val="92"/>
              </w:rPr>
              <w:t>20,995,097 shares of Common Stock issued or issuable to affiliates of the Company, at an exchange ratio as provided in the Business</w:t>
            </w:r>
          </w:p>
        </w:tc>
      </w:tr>
      <w:tr>
        <w:trPr>
          <w:trHeight w:val="189"/>
        </w:trPr>
        <w:tc>
          <w:tcPr>
            <w:tcW w:w="1080" w:type="dxa"/>
            <w:vAlign w:val="bottom"/>
          </w:tcPr>
          <w:p>
            <w:pPr>
              <w:spacing w:after="0"/>
              <w:rPr>
                <w:sz w:val="16"/>
                <w:szCs w:val="16"/>
                <w:color w:val="auto"/>
              </w:rPr>
            </w:pPr>
          </w:p>
        </w:tc>
        <w:tc>
          <w:tcPr>
            <w:tcW w:w="10160" w:type="dxa"/>
            <w:vAlign w:val="bottom"/>
            <w:gridSpan w:val="3"/>
          </w:tcPr>
          <w:p>
            <w:pPr>
              <w:ind w:left="220"/>
              <w:spacing w:after="0" w:line="189" w:lineRule="exact"/>
              <w:rPr>
                <w:sz w:val="20"/>
                <w:szCs w:val="20"/>
                <w:color w:val="auto"/>
              </w:rPr>
            </w:pPr>
            <w:r>
              <w:rPr>
                <w:rFonts w:ascii="Arial" w:cs="Arial" w:eastAsia="Arial" w:hAnsi="Arial"/>
                <w:sz w:val="18"/>
                <w:szCs w:val="18"/>
                <w:color w:val="auto"/>
              </w:rPr>
              <w:t>Combination Agreement, for shares or restricted stock units of E La Carte, Inc. (“Legacy Presto”);</w:t>
            </w:r>
          </w:p>
        </w:tc>
      </w:tr>
      <w:tr>
        <w:trPr>
          <w:trHeight w:val="697"/>
        </w:trPr>
        <w:tc>
          <w:tcPr>
            <w:tcW w:w="108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19" w:name="page220"/>
    <w:bookmarkEnd w:id="219"/>
    <w:p>
      <w:pPr>
        <w:jc w:val="both"/>
        <w:ind w:left="1300" w:hanging="649"/>
        <w:spacing w:after="0" w:line="260" w:lineRule="auto"/>
        <w:tabs>
          <w:tab w:leader="none" w:pos="13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7,433,040 shares of Common Stock (that may be issued from time to time upon achievement of certain stock price thresholds) to affiliates of the Company in connection with the earnout provisions set forth in the Business Combination Agreement at an exchange ratio as provided in the Business Combination Agreement for shares of Legacy Presto;</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14"/>
        </w:trPr>
        <w:tc>
          <w:tcPr>
            <w:tcW w:w="480" w:type="dxa"/>
            <w:vAlign w:val="bottom"/>
          </w:tcPr>
          <w:p>
            <w:pPr>
              <w:spacing w:after="0"/>
              <w:rPr>
                <w:sz w:val="20"/>
                <w:szCs w:val="20"/>
                <w:color w:val="auto"/>
              </w:rPr>
            </w:pPr>
            <w:r>
              <w:rPr>
                <w:rFonts w:ascii="Arial" w:cs="Arial" w:eastAsia="Arial" w:hAnsi="Arial"/>
                <w:sz w:val="18"/>
                <w:szCs w:val="18"/>
                <w:color w:val="auto"/>
              </w:rPr>
              <w:t>VI.</w:t>
            </w: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88"/>
              </w:rPr>
              <w:t>4,760,500 shares of Common Stock that were issued in a private placement pursuant to that certain securities purchase agreement, dated as</w:t>
            </w:r>
          </w:p>
        </w:tc>
      </w:tr>
      <w:tr>
        <w:trPr>
          <w:trHeight w:val="227"/>
        </w:trPr>
        <w:tc>
          <w:tcPr>
            <w:tcW w:w="48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of May 22, 2023, by and among the Company and certain accredited investors named therein;</w:t>
            </w:r>
          </w:p>
        </w:tc>
      </w:tr>
      <w:tr>
        <w:trPr>
          <w:trHeight w:val="416"/>
        </w:trPr>
        <w:tc>
          <w:tcPr>
            <w:tcW w:w="480" w:type="dxa"/>
            <w:vAlign w:val="bottom"/>
          </w:tcPr>
          <w:p>
            <w:pPr>
              <w:spacing w:after="0"/>
              <w:rPr>
                <w:sz w:val="20"/>
                <w:szCs w:val="20"/>
                <w:color w:val="auto"/>
              </w:rPr>
            </w:pPr>
            <w:r>
              <w:rPr>
                <w:rFonts w:ascii="Arial" w:cs="Arial" w:eastAsia="Arial" w:hAnsi="Arial"/>
                <w:sz w:val="18"/>
                <w:szCs w:val="18"/>
                <w:color w:val="auto"/>
              </w:rPr>
              <w:t>VII.</w:t>
            </w: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0"/>
              </w:rPr>
              <w:t>1,500,000 shares of Common Stock that were issued in a private placement pursuant to that certain securities purchase agreement, dated</w:t>
            </w:r>
          </w:p>
        </w:tc>
      </w:tr>
      <w:tr>
        <w:trPr>
          <w:trHeight w:val="227"/>
        </w:trPr>
        <w:tc>
          <w:tcPr>
            <w:tcW w:w="480" w:type="dxa"/>
            <w:vAlign w:val="bottom"/>
          </w:tcPr>
          <w:p>
            <w:pPr>
              <w:spacing w:after="0"/>
              <w:rPr>
                <w:sz w:val="19"/>
                <w:szCs w:val="19"/>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October 10, 2023 by and between the Company and Presto CA LLC, an accredited investor; and</w:t>
            </w:r>
          </w:p>
        </w:tc>
      </w:tr>
      <w:tr>
        <w:trPr>
          <w:trHeight w:val="416"/>
        </w:trPr>
        <w:tc>
          <w:tcPr>
            <w:tcW w:w="480" w:type="dxa"/>
            <w:vAlign w:val="bottom"/>
          </w:tcPr>
          <w:p>
            <w:pPr>
              <w:spacing w:after="0"/>
              <w:rPr>
                <w:sz w:val="20"/>
                <w:szCs w:val="20"/>
                <w:color w:val="auto"/>
              </w:rPr>
            </w:pPr>
            <w:r>
              <w:rPr>
                <w:rFonts w:ascii="Arial" w:cs="Arial" w:eastAsia="Arial" w:hAnsi="Arial"/>
                <w:sz w:val="18"/>
                <w:szCs w:val="18"/>
                <w:color w:val="auto"/>
              </w:rPr>
              <w:t>VIII.</w:t>
            </w: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89"/>
              </w:rPr>
              <w:t>5,925,000 shares of Common Stock issuable upon the exercise of warrants to purchase shares of our Common Stock, at an exercise price</w:t>
            </w:r>
          </w:p>
        </w:tc>
      </w:tr>
      <w:tr>
        <w:trPr>
          <w:trHeight w:val="214"/>
        </w:trPr>
        <w:tc>
          <w:tcPr>
            <w:tcW w:w="480" w:type="dxa"/>
            <w:vAlign w:val="bottom"/>
          </w:tcPr>
          <w:p>
            <w:pPr>
              <w:spacing w:after="0"/>
              <w:rPr>
                <w:sz w:val="18"/>
                <w:szCs w:val="18"/>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4"/>
              </w:rPr>
              <w:t>of $0.01 per share, subject to adjustment held by Metropolitan Partners Group Administration, LLC, the administrative, payment and</w:t>
            </w:r>
          </w:p>
        </w:tc>
      </w:tr>
      <w:tr>
        <w:trPr>
          <w:trHeight w:val="214"/>
        </w:trPr>
        <w:tc>
          <w:tcPr>
            <w:tcW w:w="480" w:type="dxa"/>
            <w:vAlign w:val="bottom"/>
          </w:tcPr>
          <w:p>
            <w:pPr>
              <w:spacing w:after="0"/>
              <w:rPr>
                <w:sz w:val="18"/>
                <w:szCs w:val="18"/>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1"/>
              </w:rPr>
              <w:t>collateral agent for Metropolitan Levered Partners Fund VII, LP, Metropolitan Partners Fund VII, LP, Metropolitan Offshore Partners Fund</w:t>
            </w:r>
          </w:p>
        </w:tc>
      </w:tr>
      <w:tr>
        <w:trPr>
          <w:trHeight w:val="214"/>
        </w:trPr>
        <w:tc>
          <w:tcPr>
            <w:tcW w:w="480" w:type="dxa"/>
            <w:vAlign w:val="bottom"/>
          </w:tcPr>
          <w:p>
            <w:pPr>
              <w:spacing w:after="0"/>
              <w:rPr>
                <w:sz w:val="18"/>
                <w:szCs w:val="18"/>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1"/>
              </w:rPr>
              <w:t>VII, LP, and CEOF Holdings LP, pursuant to that certain Credit Agreement entered into initially on September 21, 2022, as subsequently</w:t>
            </w:r>
          </w:p>
        </w:tc>
      </w:tr>
      <w:tr>
        <w:trPr>
          <w:trHeight w:val="189"/>
        </w:trPr>
        <w:tc>
          <w:tcPr>
            <w:tcW w:w="480" w:type="dxa"/>
            <w:vAlign w:val="bottom"/>
          </w:tcPr>
          <w:p>
            <w:pPr>
              <w:spacing w:after="0"/>
              <w:rPr>
                <w:sz w:val="16"/>
                <w:szCs w:val="16"/>
                <w:color w:val="auto"/>
              </w:rPr>
            </w:pPr>
          </w:p>
        </w:tc>
        <w:tc>
          <w:tcPr>
            <w:tcW w:w="1010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5"/>
              </w:rPr>
              <w:t>amended (the “Credit Agreement”), such warrants being issued in consideration for the conversation of interest into principal and in</w:t>
            </w:r>
          </w:p>
        </w:tc>
      </w:tr>
      <w:tr>
        <w:trPr>
          <w:trHeight w:val="20"/>
        </w:trPr>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33"/>
        </w:trPr>
        <w:tc>
          <w:tcPr>
            <w:tcW w:w="480" w:type="dxa"/>
            <w:vAlign w:val="bottom"/>
          </w:tcPr>
          <w:p>
            <w:pPr>
              <w:spacing w:after="0"/>
              <w:rPr>
                <w:sz w:val="20"/>
                <w:szCs w:val="20"/>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respect of amendments to the Credit Agreement.</w:t>
            </w:r>
          </w:p>
        </w:tc>
      </w:tr>
    </w:tbl>
    <w:p>
      <w:pPr>
        <w:spacing w:after="0" w:line="20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All shares of Common Stock listed in I-VIII above are collectively referred to as the “</w:t>
      </w:r>
      <w:r>
        <w:rPr>
          <w:rFonts w:ascii="Arial" w:cs="Arial" w:eastAsia="Arial" w:hAnsi="Arial"/>
          <w:sz w:val="18"/>
          <w:szCs w:val="18"/>
          <w:u w:val="single" w:color="auto"/>
          <w:color w:val="auto"/>
        </w:rPr>
        <w:t>Resale Shares</w:t>
      </w:r>
      <w:r>
        <w:rPr>
          <w:rFonts w:ascii="Arial" w:cs="Arial" w:eastAsia="Arial" w:hAnsi="Arial"/>
          <w:sz w:val="18"/>
          <w:szCs w:val="18"/>
          <w:color w:val="auto"/>
        </w:rPr>
        <w:t>.” The New Common Stock, the Preferred Stock, the Debt Securities, the New Warrants, the Rights, the Units, the Warrant Shares, the Resale Shares and the Private Placement Warrants are referred to herein collectively as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8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Registration Statement includes a base prospectus relating to the offer and sale of the Securities (the “</w:t>
      </w:r>
      <w:r>
        <w:rPr>
          <w:rFonts w:ascii="Arial" w:cs="Arial" w:eastAsia="Arial" w:hAnsi="Arial"/>
          <w:sz w:val="18"/>
          <w:szCs w:val="18"/>
          <w:u w:val="single" w:color="auto"/>
          <w:color w:val="auto"/>
        </w:rPr>
        <w:t>Base Prospectus</w:t>
      </w:r>
      <w:r>
        <w:rPr>
          <w:rFonts w:ascii="Arial" w:cs="Arial" w:eastAsia="Arial" w:hAnsi="Arial"/>
          <w:sz w:val="18"/>
          <w:szCs w:val="18"/>
          <w:color w:val="auto"/>
        </w:rPr>
        <w:t>”), which will be supplemented by one or more prospectus supplements in connection with the sale of the Securities. Each such prospectus supplement, together with the Base Prospectus, is referred to herein as a “</w:t>
      </w:r>
      <w:r>
        <w:rPr>
          <w:rFonts w:ascii="Arial" w:cs="Arial" w:eastAsia="Arial" w:hAnsi="Arial"/>
          <w:sz w:val="18"/>
          <w:szCs w:val="18"/>
          <w:u w:val="single" w:color="auto"/>
          <w:color w:val="auto"/>
        </w:rPr>
        <w:t>Prospectus</w:t>
      </w:r>
      <w:r>
        <w:rPr>
          <w:rFonts w:ascii="Arial" w:cs="Arial" w:eastAsia="Arial" w:hAnsi="Arial"/>
          <w:sz w:val="18"/>
          <w:szCs w:val="18"/>
          <w:color w:val="auto"/>
        </w:rPr>
        <w:t>.”</w:t>
      </w:r>
    </w:p>
    <w:p>
      <w:pPr>
        <w:spacing w:after="0" w:line="18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the Base Prospectus or any prospectus filed pursuant to Rule 424(b) with respect thereto, other than as expressly stated herein.</w:t>
      </w:r>
    </w:p>
    <w:p>
      <w:pPr>
        <w:spacing w:after="0" w:line="18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spacing w:after="0" w:line="185" w:lineRule="exact"/>
        <w:rPr>
          <w:sz w:val="20"/>
          <w:szCs w:val="20"/>
          <w:color w:val="auto"/>
        </w:rPr>
      </w:pPr>
    </w:p>
    <w:p>
      <w:pPr>
        <w:ind w:left="980" w:hanging="329"/>
        <w:spacing w:after="0"/>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1" w:lineRule="exact"/>
        <w:rPr>
          <w:rFonts w:ascii="Arial" w:cs="Arial" w:eastAsia="Arial" w:hAnsi="Arial"/>
          <w:sz w:val="18"/>
          <w:szCs w:val="18"/>
          <w:color w:val="auto"/>
        </w:rPr>
      </w:pPr>
    </w:p>
    <w:p>
      <w:pPr>
        <w:ind w:left="980" w:hanging="329"/>
        <w:spacing w:after="0"/>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Base Prospectus;</w:t>
      </w:r>
    </w:p>
    <w:p>
      <w:pPr>
        <w:spacing w:after="0" w:line="221" w:lineRule="exact"/>
        <w:rPr>
          <w:rFonts w:ascii="Arial" w:cs="Arial" w:eastAsia="Arial" w:hAnsi="Arial"/>
          <w:sz w:val="18"/>
          <w:szCs w:val="18"/>
          <w:color w:val="auto"/>
        </w:rPr>
      </w:pPr>
    </w:p>
    <w:p>
      <w:pPr>
        <w:ind w:left="980" w:hanging="329"/>
        <w:spacing w:after="0" w:line="272" w:lineRule="auto"/>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copy of the Second Amended &amp; Restated Certificate of Incorporation of the Company, certified by the Secretary of State of the State of Delaware on September 21, 2022 (the “</w:t>
      </w:r>
      <w:r>
        <w:rPr>
          <w:rFonts w:ascii="Arial" w:cs="Arial" w:eastAsia="Arial" w:hAnsi="Arial"/>
          <w:sz w:val="18"/>
          <w:szCs w:val="18"/>
          <w:u w:val="single" w:color="auto"/>
          <w:color w:val="auto"/>
        </w:rPr>
        <w:t>Charter</w:t>
      </w:r>
      <w:r>
        <w:rPr>
          <w:rFonts w:ascii="Arial" w:cs="Arial" w:eastAsia="Arial" w:hAnsi="Arial"/>
          <w:sz w:val="18"/>
          <w:szCs w:val="18"/>
          <w:color w:val="auto"/>
        </w:rPr>
        <w:t>”), and as certified by the Secretary of the Company;</w:t>
      </w:r>
    </w:p>
    <w:p>
      <w:pPr>
        <w:spacing w:after="0" w:line="174" w:lineRule="exact"/>
        <w:rPr>
          <w:rFonts w:ascii="Arial" w:cs="Arial" w:eastAsia="Arial" w:hAnsi="Arial"/>
          <w:sz w:val="18"/>
          <w:szCs w:val="18"/>
          <w:color w:val="auto"/>
        </w:rPr>
      </w:pPr>
    </w:p>
    <w:p>
      <w:pPr>
        <w:ind w:left="980" w:hanging="329"/>
        <w:spacing w:after="0"/>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copy of the Bylaws of the Company dated as of September 21, 2022, and as certified by the Secretary of the Company;</w:t>
      </w:r>
    </w:p>
    <w:p>
      <w:pPr>
        <w:spacing w:after="0" w:line="221" w:lineRule="exact"/>
        <w:rPr>
          <w:rFonts w:ascii="Arial" w:cs="Arial" w:eastAsia="Arial" w:hAnsi="Arial"/>
          <w:sz w:val="18"/>
          <w:szCs w:val="18"/>
          <w:color w:val="auto"/>
        </w:rPr>
      </w:pPr>
    </w:p>
    <w:p>
      <w:pPr>
        <w:ind w:left="980" w:hanging="329"/>
        <w:spacing w:after="0" w:line="272" w:lineRule="auto"/>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copy of the Unanimous Written Consent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adopted on October 19, 2023, and as certified by the Secretary of the Company;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20" w:name="page221"/>
    <w:bookmarkEnd w:id="220"/>
    <w:p>
      <w:pPr>
        <w:jc w:val="both"/>
        <w:ind w:left="329" w:hanging="329"/>
        <w:spacing w:after="0" w:line="260" w:lineRule="auto"/>
        <w:tabs>
          <w:tab w:leader="none" w:pos="3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Agreement and Plan of Merger, dated as of November 10, 2021, as amended by that Second Amendment to Agreement and Plan of Merger, dated as of July 25, 2022, by and among Ventoux CCM Acquisition Corp., Ventoux Merger Sub I Inc., Ventoux Merger Sub II LLC, and E La Carte, Inc.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329" w:hanging="329"/>
        <w:spacing w:after="0" w:line="272" w:lineRule="auto"/>
        <w:tabs>
          <w:tab w:leader="none" w:pos="3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Amended and Restated Warrant Agreement, dated as of September 21, 2022, by and between the Company and Continental Stock Transfer &amp; Trust Company, as warrant agent (the “</w:t>
      </w:r>
      <w:r>
        <w:rPr>
          <w:rFonts w:ascii="Arial" w:cs="Arial" w:eastAsia="Arial" w:hAnsi="Arial"/>
          <w:sz w:val="18"/>
          <w:szCs w:val="18"/>
          <w:u w:val="single" w:color="auto"/>
          <w:color w:val="auto"/>
        </w:rPr>
        <w:t>A&amp;R Warrant Agreement</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329" w:right="20" w:hanging="329"/>
        <w:spacing w:after="0" w:line="272" w:lineRule="auto"/>
        <w:tabs>
          <w:tab w:leader="none" w:pos="3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Amended &amp; Restated Registration Rights Agreement dated as of September 21, 2022, by and among New Presto, the Sponsors, Cleveland Avenue, VTAQ’s officers and directors, Metropolitan and certain Legacy Presto stockholders;</w:t>
      </w:r>
    </w:p>
    <w:p>
      <w:pPr>
        <w:spacing w:after="0" w:line="174" w:lineRule="exact"/>
        <w:rPr>
          <w:rFonts w:ascii="Arial" w:cs="Arial" w:eastAsia="Arial" w:hAnsi="Arial"/>
          <w:sz w:val="18"/>
          <w:szCs w:val="18"/>
          <w:color w:val="auto"/>
        </w:rPr>
      </w:pPr>
    </w:p>
    <w:p>
      <w:pPr>
        <w:ind w:left="329" w:hanging="329"/>
        <w:spacing w:after="0"/>
        <w:tabs>
          <w:tab w:leader="none" w:pos="32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Amended &amp; Restated Cleveland Avenue Subscription Agreement, dated as of July 25, 2022, by and between VTAQ and Presto CA, LLC;</w:t>
      </w:r>
    </w:p>
    <w:p>
      <w:pPr>
        <w:spacing w:after="0" w:line="244" w:lineRule="exact"/>
        <w:rPr>
          <w:rFonts w:ascii="Arial" w:cs="Arial" w:eastAsia="Arial" w:hAnsi="Arial"/>
          <w:sz w:val="16"/>
          <w:szCs w:val="16"/>
          <w:color w:val="auto"/>
        </w:rPr>
      </w:pPr>
    </w:p>
    <w:p>
      <w:pPr>
        <w:ind w:left="329" w:hanging="329"/>
        <w:spacing w:after="0"/>
        <w:tabs>
          <w:tab w:leader="none" w:pos="3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form of Amended &amp; Restated Equity Subscription Agreement, included as Exhibit 4.15 to the Registration Statement;</w:t>
      </w:r>
    </w:p>
    <w:p>
      <w:pPr>
        <w:spacing w:after="0" w:line="221" w:lineRule="exact"/>
        <w:rPr>
          <w:rFonts w:ascii="Arial" w:cs="Arial" w:eastAsia="Arial" w:hAnsi="Arial"/>
          <w:sz w:val="18"/>
          <w:szCs w:val="18"/>
          <w:color w:val="auto"/>
        </w:rPr>
      </w:pPr>
    </w:p>
    <w:p>
      <w:pPr>
        <w:ind w:left="329" w:hanging="329"/>
        <w:spacing w:after="0" w:line="272" w:lineRule="auto"/>
        <w:tabs>
          <w:tab w:leader="none" w:pos="3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Warrant to Purchase Common Stock, dated March 31, 2023, by and between Presto Automation Inc. and Metropolitan Levered Partners Fund VII, LP;</w:t>
      </w:r>
    </w:p>
    <w:p>
      <w:pPr>
        <w:spacing w:after="0" w:line="174" w:lineRule="exact"/>
        <w:rPr>
          <w:rFonts w:ascii="Arial" w:cs="Arial" w:eastAsia="Arial" w:hAnsi="Arial"/>
          <w:sz w:val="18"/>
          <w:szCs w:val="18"/>
          <w:color w:val="auto"/>
        </w:rPr>
      </w:pPr>
    </w:p>
    <w:p>
      <w:pPr>
        <w:ind w:left="329" w:hanging="329"/>
        <w:spacing w:after="0"/>
        <w:tabs>
          <w:tab w:leader="none" w:pos="32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Warrant to Purchase Common Stock, dated March 31, 2023, by and between Presto Automation Inc. and Metropolitan Partners Fund VII, LP;</w:t>
      </w:r>
    </w:p>
    <w:p>
      <w:pPr>
        <w:spacing w:after="0" w:line="244" w:lineRule="exact"/>
        <w:rPr>
          <w:rFonts w:ascii="Arial" w:cs="Arial" w:eastAsia="Arial" w:hAnsi="Arial"/>
          <w:sz w:val="16"/>
          <w:szCs w:val="16"/>
          <w:color w:val="auto"/>
        </w:rPr>
      </w:pPr>
    </w:p>
    <w:p>
      <w:pPr>
        <w:ind w:left="329" w:hanging="329"/>
        <w:spacing w:after="0" w:line="272" w:lineRule="auto"/>
        <w:tabs>
          <w:tab w:leader="none" w:pos="3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Warrant to Purchase Common Stock, dated March 31, 2023, by and between Presto Automation Inc. and Metropolitan Offshore Partners Fund VII, LP;</w:t>
      </w:r>
    </w:p>
    <w:p>
      <w:pPr>
        <w:spacing w:after="0" w:line="174" w:lineRule="exact"/>
        <w:rPr>
          <w:rFonts w:ascii="Arial" w:cs="Arial" w:eastAsia="Arial" w:hAnsi="Arial"/>
          <w:sz w:val="18"/>
          <w:szCs w:val="18"/>
          <w:color w:val="auto"/>
        </w:rPr>
      </w:pPr>
    </w:p>
    <w:p>
      <w:pPr>
        <w:ind w:left="329" w:hanging="329"/>
        <w:spacing w:after="0"/>
        <w:tabs>
          <w:tab w:leader="none" w:pos="3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Warrant to Purchase Common Stock, dated March 31, 2023, by and between Presto Automation Inc. and CEOF Holdings, LP;</w:t>
      </w:r>
    </w:p>
    <w:p>
      <w:pPr>
        <w:spacing w:after="0" w:line="221" w:lineRule="exact"/>
        <w:rPr>
          <w:rFonts w:ascii="Arial" w:cs="Arial" w:eastAsia="Arial" w:hAnsi="Arial"/>
          <w:sz w:val="18"/>
          <w:szCs w:val="18"/>
          <w:color w:val="auto"/>
        </w:rPr>
      </w:pPr>
    </w:p>
    <w:p>
      <w:pPr>
        <w:ind w:left="329" w:hanging="329"/>
        <w:spacing w:after="0"/>
        <w:tabs>
          <w:tab w:leader="none" w:pos="32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Registration Rights Agreement, dated as of March 31, 2023, by and among Presto Automation Inc. and certain persons listed therein;</w:t>
      </w:r>
    </w:p>
    <w:p>
      <w:pPr>
        <w:spacing w:after="0" w:line="233" w:lineRule="exact"/>
        <w:rPr>
          <w:rFonts w:ascii="Arial" w:cs="Arial" w:eastAsia="Arial" w:hAnsi="Arial"/>
          <w:sz w:val="17"/>
          <w:szCs w:val="17"/>
          <w:color w:val="auto"/>
        </w:rPr>
      </w:pPr>
    </w:p>
    <w:p>
      <w:pPr>
        <w:ind w:left="329" w:hanging="329"/>
        <w:spacing w:after="0" w:line="272" w:lineRule="auto"/>
        <w:tabs>
          <w:tab w:leader="none" w:pos="3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form of Securities Purchase Agreement, dated May 22, 2023, by an among Presto Automation Inc. and each purchaser listed in the signature page thereto, included as Exhibit 4.21 to the Registration Statement;</w:t>
      </w:r>
    </w:p>
    <w:p>
      <w:pPr>
        <w:spacing w:after="0" w:line="174" w:lineRule="exact"/>
        <w:rPr>
          <w:rFonts w:ascii="Arial" w:cs="Arial" w:eastAsia="Arial" w:hAnsi="Arial"/>
          <w:sz w:val="18"/>
          <w:szCs w:val="18"/>
          <w:color w:val="auto"/>
        </w:rPr>
      </w:pPr>
    </w:p>
    <w:p>
      <w:pPr>
        <w:ind w:left="329" w:hanging="329"/>
        <w:spacing w:after="0" w:line="272" w:lineRule="auto"/>
        <w:tabs>
          <w:tab w:leader="none" w:pos="3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form of Registration Rights Agreement, dated as of May 22, 2023, by and among Presto Automation Inc. and certain persons listed therein, included as Exhibit 4.22 to the Registration Statement;</w:t>
      </w:r>
    </w:p>
    <w:p>
      <w:pPr>
        <w:spacing w:after="0" w:line="174" w:lineRule="exact"/>
        <w:rPr>
          <w:rFonts w:ascii="Arial" w:cs="Arial" w:eastAsia="Arial" w:hAnsi="Arial"/>
          <w:sz w:val="18"/>
          <w:szCs w:val="18"/>
          <w:color w:val="auto"/>
        </w:rPr>
      </w:pPr>
    </w:p>
    <w:p>
      <w:pPr>
        <w:ind w:left="329" w:hanging="329"/>
        <w:spacing w:after="0" w:line="272" w:lineRule="auto"/>
        <w:tabs>
          <w:tab w:leader="none" w:pos="3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Warrant to Purchase Common Stock, dated May 22, 2023, by and between Presto Automation Inc. and Metropolitan Levered Partners Fund VII, LP;</w:t>
      </w:r>
    </w:p>
    <w:p>
      <w:pPr>
        <w:spacing w:after="0" w:line="174" w:lineRule="exact"/>
        <w:rPr>
          <w:rFonts w:ascii="Arial" w:cs="Arial" w:eastAsia="Arial" w:hAnsi="Arial"/>
          <w:sz w:val="18"/>
          <w:szCs w:val="18"/>
          <w:color w:val="auto"/>
        </w:rPr>
      </w:pPr>
    </w:p>
    <w:p>
      <w:pPr>
        <w:ind w:left="329" w:hanging="329"/>
        <w:spacing w:after="0"/>
        <w:tabs>
          <w:tab w:leader="none" w:pos="32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Warrant to Purchase Common Stock, dated May 22, 2023, by and between Presto Automation Inc. and Metropolitan Partners Fund VII, LP;</w:t>
      </w:r>
    </w:p>
    <w:p>
      <w:pPr>
        <w:spacing w:after="0" w:line="200" w:lineRule="exact"/>
        <w:rPr>
          <w:sz w:val="20"/>
          <w:szCs w:val="20"/>
          <w:color w:val="auto"/>
        </w:rPr>
      </w:pPr>
    </w:p>
    <w:p>
      <w:pPr>
        <w:spacing w:after="0" w:line="259" w:lineRule="exact"/>
        <w:rPr>
          <w:sz w:val="20"/>
          <w:szCs w:val="20"/>
          <w:color w:val="auto"/>
        </w:rPr>
      </w:pPr>
    </w:p>
    <w:p>
      <w:pPr>
        <w:ind w:left="492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13970</wp:posOffset>
            </wp:positionV>
            <wp:extent cx="713359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89"/>
          </w:cols>
          <w:pgMar w:left="971" w:top="903" w:right="339" w:bottom="1440" w:gutter="0" w:footer="0" w:header="0"/>
        </w:sectPr>
      </w:pPr>
    </w:p>
    <w:bookmarkStart w:id="221" w:name="page222"/>
    <w:bookmarkEnd w:id="221"/>
    <w:p>
      <w:pPr>
        <w:ind w:left="980" w:hanging="329"/>
        <w:spacing w:after="0" w:line="272" w:lineRule="auto"/>
        <w:tabs>
          <w:tab w:leader="none" w:pos="9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Warrant to Purchase Common Stock, dated May 22, 2023, by and between Presto Automation Inc. and Metropolitan Offshore Partners Fund VII, LP;</w:t>
      </w:r>
    </w:p>
    <w:p>
      <w:pPr>
        <w:spacing w:after="0" w:line="174" w:lineRule="exact"/>
        <w:rPr>
          <w:rFonts w:ascii="Arial" w:cs="Arial" w:eastAsia="Arial" w:hAnsi="Arial"/>
          <w:sz w:val="18"/>
          <w:szCs w:val="18"/>
          <w:color w:val="auto"/>
        </w:rPr>
      </w:pPr>
    </w:p>
    <w:p>
      <w:pPr>
        <w:ind w:left="980" w:hanging="329"/>
        <w:spacing w:after="0"/>
        <w:tabs>
          <w:tab w:leader="none" w:pos="9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Warrant to Purchase Common Stock, dated May 22, 2023, by and between Presto Automation Inc. and CEOF Holdings, LP;</w:t>
      </w:r>
    </w:p>
    <w:p>
      <w:pPr>
        <w:spacing w:after="0" w:line="221" w:lineRule="exact"/>
        <w:rPr>
          <w:rFonts w:ascii="Arial" w:cs="Arial" w:eastAsia="Arial" w:hAnsi="Arial"/>
          <w:sz w:val="18"/>
          <w:szCs w:val="18"/>
          <w:color w:val="auto"/>
        </w:rPr>
      </w:pPr>
    </w:p>
    <w:p>
      <w:pPr>
        <w:ind w:left="980" w:hanging="329"/>
        <w:spacing w:after="0"/>
        <w:tabs>
          <w:tab w:leader="none" w:pos="9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Securities Purchase Agreement, dated as of October 10, 2023, between Presto Automation Inc. and Presto CA LLC;</w:t>
      </w:r>
    </w:p>
    <w:p>
      <w:pPr>
        <w:spacing w:after="0" w:line="221" w:lineRule="exact"/>
        <w:rPr>
          <w:rFonts w:ascii="Arial" w:cs="Arial" w:eastAsia="Arial" w:hAnsi="Arial"/>
          <w:sz w:val="18"/>
          <w:szCs w:val="18"/>
          <w:color w:val="auto"/>
        </w:rPr>
      </w:pPr>
    </w:p>
    <w:p>
      <w:pPr>
        <w:ind w:left="980" w:hanging="329"/>
        <w:spacing w:after="0" w:line="272" w:lineRule="auto"/>
        <w:tabs>
          <w:tab w:leader="none" w:pos="9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Warrant to Purchase Common Stock, dated October 10, 2023, by and between Presto Automation Inc. and Metropolitan Levered Partners Fund VII, LP;</w:t>
      </w:r>
    </w:p>
    <w:p>
      <w:pPr>
        <w:spacing w:after="0" w:line="174" w:lineRule="exact"/>
        <w:rPr>
          <w:rFonts w:ascii="Arial" w:cs="Arial" w:eastAsia="Arial" w:hAnsi="Arial"/>
          <w:sz w:val="18"/>
          <w:szCs w:val="18"/>
          <w:color w:val="auto"/>
        </w:rPr>
      </w:pPr>
    </w:p>
    <w:p>
      <w:pPr>
        <w:ind w:left="980" w:hanging="329"/>
        <w:spacing w:after="0"/>
        <w:tabs>
          <w:tab w:leader="none" w:pos="98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Warrant to Purchase Common Stock, dated October 10, 2023, by and between Presto Automation Inc. and Metropolitan Partners Fund VII, LP;</w:t>
      </w:r>
    </w:p>
    <w:p>
      <w:pPr>
        <w:spacing w:after="0" w:line="244" w:lineRule="exact"/>
        <w:rPr>
          <w:rFonts w:ascii="Arial" w:cs="Arial" w:eastAsia="Arial" w:hAnsi="Arial"/>
          <w:sz w:val="16"/>
          <w:szCs w:val="16"/>
          <w:color w:val="auto"/>
        </w:rPr>
      </w:pPr>
    </w:p>
    <w:p>
      <w:pPr>
        <w:ind w:left="980" w:hanging="329"/>
        <w:spacing w:after="0" w:line="272" w:lineRule="auto"/>
        <w:tabs>
          <w:tab w:leader="none" w:pos="9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Warrant to Purchase Common Stock, dated October 10, 2023, by and between Presto Automation Inc. and Metropolitan Offshore Partners Fund VII, LP;</w:t>
      </w:r>
    </w:p>
    <w:p>
      <w:pPr>
        <w:spacing w:after="0" w:line="174" w:lineRule="exact"/>
        <w:rPr>
          <w:rFonts w:ascii="Arial" w:cs="Arial" w:eastAsia="Arial" w:hAnsi="Arial"/>
          <w:sz w:val="18"/>
          <w:szCs w:val="18"/>
          <w:color w:val="auto"/>
        </w:rPr>
      </w:pPr>
    </w:p>
    <w:p>
      <w:pPr>
        <w:ind w:left="980" w:hanging="329"/>
        <w:spacing w:after="0"/>
        <w:tabs>
          <w:tab w:leader="none" w:pos="9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Warrant to Purchase Common Stock, dated October 10, 2023, by and between Presto Automation Inc. and CEOF Holdings, LP;</w:t>
      </w:r>
    </w:p>
    <w:p>
      <w:pPr>
        <w:spacing w:after="0" w:line="222" w:lineRule="exact"/>
        <w:rPr>
          <w:sz w:val="20"/>
          <w:szCs w:val="20"/>
          <w:color w:val="auto"/>
        </w:rPr>
      </w:pPr>
    </w:p>
    <w:p>
      <w:pPr>
        <w:ind w:left="980" w:hanging="329"/>
        <w:spacing w:after="0" w:line="272"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Warrant to Purchase Common Stock (Conversion Warrant), dated October 17, 2023, by and between Presto Automation Inc. and Metropolitan Levered Partners Fund VII, LP;</w:t>
      </w:r>
    </w:p>
    <w:p>
      <w:pPr>
        <w:spacing w:after="0" w:line="174" w:lineRule="exact"/>
        <w:rPr>
          <w:rFonts w:ascii="Arial" w:cs="Arial" w:eastAsia="Arial" w:hAnsi="Arial"/>
          <w:sz w:val="18"/>
          <w:szCs w:val="18"/>
          <w:color w:val="auto"/>
        </w:rPr>
      </w:pPr>
    </w:p>
    <w:p>
      <w:pPr>
        <w:ind w:left="980" w:hanging="329"/>
        <w:spacing w:after="0" w:line="272"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Warrant to Purchase Common Stock (Conversion Warrant), dated October 17, 2023, by and between Presto Automation Inc. and Metropolitan Partners Fund VII, LP;</w:t>
      </w:r>
    </w:p>
    <w:p>
      <w:pPr>
        <w:spacing w:after="0" w:line="174" w:lineRule="exact"/>
        <w:rPr>
          <w:rFonts w:ascii="Arial" w:cs="Arial" w:eastAsia="Arial" w:hAnsi="Arial"/>
          <w:sz w:val="18"/>
          <w:szCs w:val="18"/>
          <w:color w:val="auto"/>
        </w:rPr>
      </w:pPr>
    </w:p>
    <w:p>
      <w:pPr>
        <w:ind w:left="980" w:hanging="329"/>
        <w:spacing w:after="0" w:line="272"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Warrant to Purchase Common Stock (Conversion Warrant), dated October 17, 2023, by and between Presto Automation Inc. and Metropolitan Offshore Partners Fund VII, LP;</w:t>
      </w:r>
    </w:p>
    <w:p>
      <w:pPr>
        <w:spacing w:after="0" w:line="174" w:lineRule="exact"/>
        <w:rPr>
          <w:rFonts w:ascii="Arial" w:cs="Arial" w:eastAsia="Arial" w:hAnsi="Arial"/>
          <w:sz w:val="18"/>
          <w:szCs w:val="18"/>
          <w:color w:val="auto"/>
        </w:rPr>
      </w:pPr>
    </w:p>
    <w:p>
      <w:pPr>
        <w:ind w:left="980" w:hanging="329"/>
        <w:spacing w:after="0" w:line="272"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Warrant to Purchase Common Stock (Conversion Warrant), dated October 17, 2023 by and between Presto Automation Inc. and CEOF Holdings, LP;</w:t>
      </w:r>
    </w:p>
    <w:p>
      <w:pPr>
        <w:spacing w:after="0" w:line="174" w:lineRule="exact"/>
        <w:rPr>
          <w:rFonts w:ascii="Arial" w:cs="Arial" w:eastAsia="Arial" w:hAnsi="Arial"/>
          <w:sz w:val="18"/>
          <w:szCs w:val="18"/>
          <w:color w:val="auto"/>
        </w:rPr>
      </w:pPr>
    </w:p>
    <w:p>
      <w:pPr>
        <w:ind w:left="980" w:hanging="329"/>
        <w:spacing w:after="0"/>
        <w:tabs>
          <w:tab w:leader="none" w:pos="9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Registration Rights Agreement, dated as of October 17, 2023, by and among Presto Automation Inc. and certain persons listed therein;</w:t>
      </w:r>
    </w:p>
    <w:p>
      <w:pPr>
        <w:spacing w:after="0" w:line="233" w:lineRule="exact"/>
        <w:rPr>
          <w:rFonts w:ascii="Arial" w:cs="Arial" w:eastAsia="Arial" w:hAnsi="Arial"/>
          <w:sz w:val="17"/>
          <w:szCs w:val="17"/>
          <w:color w:val="auto"/>
        </w:rPr>
      </w:pPr>
    </w:p>
    <w:p>
      <w:pPr>
        <w:ind w:left="980" w:hanging="329"/>
        <w:spacing w:after="0" w:line="272"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form indenture pursuant to which the Company’s Debt Securities are to be issued (the “</w:t>
      </w:r>
      <w:r>
        <w:rPr>
          <w:rFonts w:ascii="Arial" w:cs="Arial" w:eastAsia="Arial" w:hAnsi="Arial"/>
          <w:sz w:val="18"/>
          <w:szCs w:val="18"/>
          <w:u w:val="single" w:color="auto"/>
          <w:color w:val="auto"/>
        </w:rPr>
        <w:t>Indenture</w:t>
      </w:r>
      <w:r>
        <w:rPr>
          <w:rFonts w:ascii="Arial" w:cs="Arial" w:eastAsia="Arial" w:hAnsi="Arial"/>
          <w:sz w:val="18"/>
          <w:szCs w:val="18"/>
          <w:color w:val="auto"/>
        </w:rPr>
        <w:t>”), filed as Exhibit 4.2 to the Registration Statement;</w:t>
      </w:r>
    </w:p>
    <w:p>
      <w:pPr>
        <w:spacing w:after="0" w:line="174" w:lineRule="exact"/>
        <w:rPr>
          <w:rFonts w:ascii="Arial" w:cs="Arial" w:eastAsia="Arial" w:hAnsi="Arial"/>
          <w:sz w:val="18"/>
          <w:szCs w:val="18"/>
          <w:color w:val="auto"/>
        </w:rPr>
      </w:pPr>
    </w:p>
    <w:p>
      <w:pPr>
        <w:ind w:left="980" w:hanging="329"/>
        <w:spacing w:after="0"/>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Warrant to Purchase Preferred Stock of Legacy Presto, dated March 11, 2016, by and between Legacy Presto and Trinity; and</w:t>
      </w:r>
    </w:p>
    <w:p>
      <w:pPr>
        <w:spacing w:after="0" w:line="221" w:lineRule="exact"/>
        <w:rPr>
          <w:rFonts w:ascii="Arial" w:cs="Arial" w:eastAsia="Arial" w:hAnsi="Arial"/>
          <w:sz w:val="18"/>
          <w:szCs w:val="18"/>
          <w:color w:val="auto"/>
        </w:rPr>
      </w:pPr>
    </w:p>
    <w:p>
      <w:pPr>
        <w:ind w:left="980" w:hanging="329"/>
        <w:spacing w:after="0"/>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Warrant to Purchase Preferred Stock of Legacy Presto, dated July 28, 2017, by and between Legacy Presto and Trinity.</w:t>
      </w:r>
    </w:p>
    <w:p>
      <w:pPr>
        <w:spacing w:after="0" w:line="249"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222" w:name="page223"/>
    <w:bookmarkEnd w:id="222"/>
    <w:p>
      <w:pPr>
        <w:jc w:val="both"/>
        <w:ind w:firstLine="643"/>
        <w:spacing w:after="0" w:line="283" w:lineRule="auto"/>
        <w:rPr>
          <w:sz w:val="20"/>
          <w:szCs w:val="20"/>
          <w:color w:val="auto"/>
        </w:rPr>
      </w:pPr>
      <w:r>
        <w:rPr>
          <w:rFonts w:ascii="Arial" w:cs="Arial" w:eastAsia="Arial" w:hAnsi="Arial"/>
          <w:sz w:val="16"/>
          <w:szCs w:val="16"/>
          <w:color w:val="auto"/>
        </w:rPr>
        <w:t>In rendering the opinions contained herein, we have assumed that: (i) the Registration Statement and any supplements and amendments thereto, will comply with all applicable laws (and will remain effective and in compliance at the time of issuance, offer or sale of any Securities thereunder); (ii) a prospectus supplement describing each class or series of Securities offered pursuant to the Registration Statement, to the extent required by applicable law and relevant rules and regulations of the Commission, will be timely filed with the Commission and will comply with all applicable laws; (iii) the definitive terms of each class or series of Securities (to the extent not already outstanding) will have been established in accordance with the authorizing resolutions adopted by the Board (or an authorized committee thereof), the Charter and applicable law; (iv) the Company and/or the Selling Securityholders, as applicable, will issue and deliver the Securities in the manner contemplated by the Registration Statement including the Prospectus, and any Securities not currently outstanding that consist of shares of capital stock will have been authorized and reserved for issuance, in each case within the limits of the then remaining authorized but unissued and unreserved amounts of such capital stock; (v) the resolutions authorizing the Company to issue, offer and sell the Securities (to the extent not currently outstanding) will have been adopted by the Board (or an authorized committee thereof) and will be in full force and effect at all times when the Securities are offered; (vi) all Securities will be issued and sold in compliance with applicable federal and state securities laws or applicable laws or regulations or any agreement or other instrument binding upon the Company and/or the Selling Securityholders, as applicable; and (vii) any Indenture, form of note under such Indenture, form of New Warrant, New Warrant Agreement (as defined below), Rights Agreement (as defined below) or Unit Agreement (as defined below) will be governed by and construed in accordance with the laws of the State of New York and will constitute a valid and binding obligation of each party thereto other than the Company.</w:t>
      </w:r>
    </w:p>
    <w:p>
      <w:pPr>
        <w:spacing w:after="0" w:line="177"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With respect to any Securities consisting of Common Stock, we have further assumed that the Common Stock will be authorized, executed, countersigned by the transfer agent or registrar therefor and delivered by the Company and/or the Selling Securityholders, as applicable, in accordance with applicable laws and sold as contemplated in the Registration Statement.</w:t>
      </w:r>
    </w:p>
    <w:p>
      <w:pPr>
        <w:spacing w:after="0" w:line="185" w:lineRule="exact"/>
        <w:rPr>
          <w:sz w:val="20"/>
          <w:szCs w:val="20"/>
          <w:color w:val="auto"/>
        </w:rPr>
      </w:pPr>
    </w:p>
    <w:p>
      <w:pPr>
        <w:jc w:val="both"/>
        <w:ind w:firstLine="643"/>
        <w:spacing w:after="0" w:line="273" w:lineRule="auto"/>
        <w:rPr>
          <w:sz w:val="20"/>
          <w:szCs w:val="20"/>
          <w:color w:val="auto"/>
        </w:rPr>
      </w:pPr>
      <w:r>
        <w:rPr>
          <w:rFonts w:ascii="Arial" w:cs="Arial" w:eastAsia="Arial" w:hAnsi="Arial"/>
          <w:sz w:val="17"/>
          <w:szCs w:val="17"/>
          <w:color w:val="auto"/>
        </w:rPr>
        <w:t>With respect to any Securities consisting of any series of Preferred Stock, we have further assumed that (i) the certificate of designation, approved by appropriate corporate action, relating to the Preferred Stock establishing the designations, preferences and rights of the class or series of Preferred Stock (the “</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will have been authorized, executed and filed with the Secretary of State of the State of Delaware and (ii) the Preferred Stock will be authorized, executed, countersigned by the registrar and transfer agent therefor and delivered by the Company in accordance with the provisions of the Certificate of Designation and applicable laws and sold as contemplated in the Registration Statement.</w:t>
      </w:r>
    </w:p>
    <w:p>
      <w:pPr>
        <w:spacing w:after="0" w:line="175"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With respect to any Securities consisting of any series of Debt Securities, we have further assumed that (i) the Indenture will have been authorized, executed and delivered by the Company and an entity selected by the Company to act as the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(ii) the Debt Securities will be issued pursuant to the Indenture, (iii) all terms of the Debt Securities not provided for in the Indenture will have been established in accordance with the provisions thereof and reflected in appropriate documentation approved by appropriate corporate action and, if applicable, executed and delivered by the Company and authenticated by the Trustee, (iv) the Debt Securities will be authorized, executed, authenticated, issued and delivered by the Company and authenticated by the Trustee in accordance with the provisions of the Indenture and applicable laws and sold as contemplated in the Registration Statement and (v) if the Debt Securities are convertible into Common Stock or Preferred Stock of the Company, (x) such Common Stock or Preferred Stock of the Company will be authorized by appropriate corporate action, (y) the Debt Securities will be presented for conversion in accordance with the terms thereof and (z) such Common Stock or Preferred Stock of the Company will be executed, countersigned by the transfer agent therefor and delivered by the Company upon such conversion, in accordance with the terms of such Debt Securities.</w:t>
      </w:r>
    </w:p>
    <w:p>
      <w:pPr>
        <w:spacing w:after="0" w:line="185"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With respect to any Securities consisting of any series of New Warrants, we have further assumed that (i) the warrant agreement (if applicable), approved by appropriate corporate action, relating to the New Warrants (the “</w:t>
      </w:r>
      <w:r>
        <w:rPr>
          <w:rFonts w:ascii="Arial" w:cs="Arial" w:eastAsia="Arial" w:hAnsi="Arial"/>
          <w:sz w:val="18"/>
          <w:szCs w:val="18"/>
          <w:u w:val="single" w:color="auto"/>
          <w:color w:val="auto"/>
        </w:rPr>
        <w:t>New Warrant Agreement</w:t>
      </w:r>
      <w:r>
        <w:rPr>
          <w:rFonts w:ascii="Arial" w:cs="Arial" w:eastAsia="Arial" w:hAnsi="Arial"/>
          <w:sz w:val="18"/>
          <w:szCs w:val="18"/>
          <w:color w:val="auto"/>
        </w:rPr>
        <w:t>”) to be entered into between the Company and an entity selected by the Company to act as the warrant agent (the “</w:t>
      </w:r>
      <w:r>
        <w:rPr>
          <w:rFonts w:ascii="Arial" w:cs="Arial" w:eastAsia="Arial" w:hAnsi="Arial"/>
          <w:sz w:val="18"/>
          <w:szCs w:val="18"/>
          <w:u w:val="single" w:color="auto"/>
          <w:color w:val="auto"/>
        </w:rPr>
        <w:t>New Warrant Agent</w:t>
      </w:r>
      <w:r>
        <w:rPr>
          <w:rFonts w:ascii="Arial" w:cs="Arial" w:eastAsia="Arial" w:hAnsi="Arial"/>
          <w:sz w:val="18"/>
          <w:szCs w:val="18"/>
          <w:color w:val="auto"/>
        </w:rPr>
        <w:t>”) will have been authorized, executed and delivered by the Company and the New Warrant Agent and (ii) the New Warrants will be authorized, executed, authenticated, issued and delivered by the Company and the New Warrant Agent in accordance with the provisions of the form of New Warrant, the New Warrant Agreement (if applicable) and applicable laws and sold as contemplated in the Registration Statement.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23" w:name="page224"/>
    <w:bookmarkEnd w:id="223"/>
    <w:p>
      <w:pPr>
        <w:jc w:val="both"/>
        <w:ind w:firstLine="643"/>
        <w:spacing w:after="0" w:line="276" w:lineRule="auto"/>
        <w:rPr>
          <w:sz w:val="20"/>
          <w:szCs w:val="20"/>
          <w:color w:val="auto"/>
        </w:rPr>
      </w:pPr>
      <w:r>
        <w:rPr>
          <w:rFonts w:ascii="Arial" w:cs="Arial" w:eastAsia="Arial" w:hAnsi="Arial"/>
          <w:sz w:val="17"/>
          <w:szCs w:val="17"/>
          <w:color w:val="auto"/>
        </w:rPr>
        <w:t>With respect to any Securities consisting of Rights, we have further assumed that (i) the subscription rights agreement, approved by us, relating to the Rights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to be entered into between the Company and an entity selected by the Company to act as the subscription rights agent (the “</w:t>
      </w:r>
      <w:r>
        <w:rPr>
          <w:rFonts w:ascii="Arial" w:cs="Arial" w:eastAsia="Arial" w:hAnsi="Arial"/>
          <w:sz w:val="17"/>
          <w:szCs w:val="17"/>
          <w:u w:val="single" w:color="auto"/>
          <w:color w:val="auto"/>
        </w:rPr>
        <w:t>Rights Agent</w:t>
      </w:r>
      <w:r>
        <w:rPr>
          <w:rFonts w:ascii="Arial" w:cs="Arial" w:eastAsia="Arial" w:hAnsi="Arial"/>
          <w:sz w:val="17"/>
          <w:szCs w:val="17"/>
          <w:color w:val="auto"/>
        </w:rPr>
        <w:t>”) will have been authorized, executed and delivered by the Company and the Rights Agent and (ii) the Rights will be authorized, executed and delivered by the Company and the Rights Agent in accordance with the provisions of the Rights Agreement.</w:t>
      </w:r>
    </w:p>
    <w:p>
      <w:pPr>
        <w:spacing w:after="0" w:line="173"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With respect to any Securities consisting of Units, we have further assumed that (i) the unit agreement, approved by appropriate corporate action, relating to the Units (the “</w:t>
      </w:r>
      <w:r>
        <w:rPr>
          <w:rFonts w:ascii="Arial" w:cs="Arial" w:eastAsia="Arial" w:hAnsi="Arial"/>
          <w:sz w:val="17"/>
          <w:szCs w:val="17"/>
          <w:u w:val="single" w:color="auto"/>
          <w:color w:val="auto"/>
        </w:rPr>
        <w:t>Unit Agreement</w:t>
      </w:r>
      <w:r>
        <w:rPr>
          <w:rFonts w:ascii="Arial" w:cs="Arial" w:eastAsia="Arial" w:hAnsi="Arial"/>
          <w:sz w:val="17"/>
          <w:szCs w:val="17"/>
          <w:color w:val="auto"/>
        </w:rPr>
        <w:t>”) to be entered into between the Company and an entity selected by the Company to act as the unit agent (the “</w:t>
      </w:r>
      <w:r>
        <w:rPr>
          <w:rFonts w:ascii="Arial" w:cs="Arial" w:eastAsia="Arial" w:hAnsi="Arial"/>
          <w:sz w:val="17"/>
          <w:szCs w:val="17"/>
          <w:u w:val="single" w:color="auto"/>
          <w:color w:val="auto"/>
        </w:rPr>
        <w:t>Unit Agent</w:t>
      </w:r>
      <w:r>
        <w:rPr>
          <w:rFonts w:ascii="Arial" w:cs="Arial" w:eastAsia="Arial" w:hAnsi="Arial"/>
          <w:sz w:val="17"/>
          <w:szCs w:val="17"/>
          <w:color w:val="auto"/>
        </w:rPr>
        <w:t>”) will have been authorized, executed and delivered by the Company and the Unit Agent and (ii) the Units and each component of Units will be authorized, executed, authenticated, issued, fully paid and non-assessable (to the extent applicable) and delivered by the Company and the Unit Agent in accordance with the provisions of the Unit Agreement and applicable laws and sold as contemplated in the Registration Statement and each component of the Units will constitute a valid and binding obligation of the Company or any third party (to the extent applicable) as contemplated by the Registration Statement including the Prospectus and the Unit Agreement.</w:t>
      </w:r>
    </w:p>
    <w:p>
      <w:pPr>
        <w:spacing w:after="0" w:line="18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With respect to any Securities issuable upon exercise, exchange or conversion of other Securities, in addition to the above assumptions as applicable, we have further assumed that such Securities issuable upon such exercise, exchange or conversion will be presented for exercise, exchange or conversion in accordance with the terms thereof and delivered by the Company upon such exercise, exchange or conversion in accordance with the terms thereof.</w:t>
      </w:r>
    </w:p>
    <w:p>
      <w:pPr>
        <w:spacing w:after="0" w:line="189" w:lineRule="exact"/>
        <w:rPr>
          <w:sz w:val="20"/>
          <w:szCs w:val="20"/>
          <w:color w:val="auto"/>
        </w:rPr>
      </w:pPr>
    </w:p>
    <w:p>
      <w:pPr>
        <w:jc w:val="both"/>
        <w:ind w:firstLine="643"/>
        <w:spacing w:after="0" w:line="302" w:lineRule="auto"/>
        <w:rPr>
          <w:sz w:val="20"/>
          <w:szCs w:val="20"/>
          <w:color w:val="auto"/>
        </w:rPr>
      </w:pPr>
      <w:r>
        <w:rPr>
          <w:rFonts w:ascii="Arial" w:cs="Arial" w:eastAsia="Arial" w:hAnsi="Arial"/>
          <w:sz w:val="17"/>
          <w:szCs w:val="17"/>
          <w:color w:val="auto"/>
        </w:rPr>
        <w:t>Based upon the foregoing assumptions and the assumptions set forth below, and subject to the qualifications and limitations stated herein, having considered such questions of law as we have deemed necessary as a basis for the opinions expressed below, we are of the opinion that:</w:t>
      </w:r>
    </w:p>
    <w:p>
      <w:pPr>
        <w:spacing w:after="0" w:line="152" w:lineRule="exact"/>
        <w:rPr>
          <w:sz w:val="20"/>
          <w:szCs w:val="20"/>
          <w:color w:val="auto"/>
        </w:rPr>
      </w:pPr>
    </w:p>
    <w:p>
      <w:pPr>
        <w:jc w:val="both"/>
        <w:ind w:left="980" w:hanging="329"/>
        <w:spacing w:after="0" w:line="260" w:lineRule="auto"/>
        <w:tabs>
          <w:tab w:leader="none" w:pos="9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New Common Stock and Common Stock issuable upon exercise, exchange or conversion of other Securities, upon receipt by the Company and/or Selling Securityholders of such lawful consideration therefor as the Board (or an authorized committee thereof) may determine, will be validly issued, fully paid and non-assessable shares of Common Stock of the Company.</w:t>
      </w:r>
    </w:p>
    <w:p>
      <w:pPr>
        <w:spacing w:after="0" w:line="185" w:lineRule="exact"/>
        <w:rPr>
          <w:rFonts w:ascii="Arial" w:cs="Arial" w:eastAsia="Arial" w:hAnsi="Arial"/>
          <w:sz w:val="18"/>
          <w:szCs w:val="18"/>
          <w:color w:val="auto"/>
        </w:rPr>
      </w:pPr>
    </w:p>
    <w:p>
      <w:pPr>
        <w:jc w:val="both"/>
        <w:ind w:left="980" w:hanging="329"/>
        <w:spacing w:after="0" w:line="260" w:lineRule="auto"/>
        <w:tabs>
          <w:tab w:leader="none" w:pos="9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Preferred Stock (including Preferred Stock issuable upon exercise, exchange or conversion of other Securities), upon receipt by the Company of such lawful consideration therefor as the Board (or an authorized committee thereof) may determine, will be validly issued, fully paid and non-assessable shares of Preferred Stock of the Company.</w:t>
      </w:r>
    </w:p>
    <w:p>
      <w:pPr>
        <w:spacing w:after="0" w:line="185" w:lineRule="exact"/>
        <w:rPr>
          <w:rFonts w:ascii="Arial" w:cs="Arial" w:eastAsia="Arial" w:hAnsi="Arial"/>
          <w:sz w:val="18"/>
          <w:szCs w:val="18"/>
          <w:color w:val="auto"/>
        </w:rPr>
      </w:pPr>
    </w:p>
    <w:p>
      <w:pPr>
        <w:jc w:val="both"/>
        <w:ind w:left="980" w:hanging="329"/>
        <w:spacing w:after="0" w:line="253" w:lineRule="auto"/>
        <w:tabs>
          <w:tab w:leader="none" w:pos="9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Debt Securities (including Debt Securities issuable upon exercise, exchange or conversion of other Securities), upon receipt by the Company of such lawful consideration therefor as the Board (or an authorized committee thereof) may determine, will constitute valid and binding obligations of the Company under the laws of the State of New York,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192" w:lineRule="exact"/>
        <w:rPr>
          <w:rFonts w:ascii="Arial" w:cs="Arial" w:eastAsia="Arial" w:hAnsi="Arial"/>
          <w:sz w:val="18"/>
          <w:szCs w:val="18"/>
          <w:color w:val="auto"/>
        </w:rPr>
      </w:pPr>
    </w:p>
    <w:p>
      <w:pPr>
        <w:jc w:val="both"/>
        <w:ind w:left="980" w:hanging="329"/>
        <w:spacing w:after="0" w:line="273" w:lineRule="auto"/>
        <w:tabs>
          <w:tab w:leader="none" w:pos="9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New Warrants, upon receipt by the Company of such lawful consideration therefor as the Board (or an authorized committee thereof) may determine, will constitute valid and binding obligations of the Company under the laws of the State of New York,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175" w:lineRule="exact"/>
        <w:rPr>
          <w:rFonts w:ascii="Arial" w:cs="Arial" w:eastAsia="Arial" w:hAnsi="Arial"/>
          <w:sz w:val="17"/>
          <w:szCs w:val="17"/>
          <w:color w:val="auto"/>
        </w:rPr>
      </w:pPr>
    </w:p>
    <w:p>
      <w:pPr>
        <w:jc w:val="both"/>
        <w:ind w:left="980" w:hanging="329"/>
        <w:spacing w:after="0" w:line="273" w:lineRule="auto"/>
        <w:tabs>
          <w:tab w:leader="none" w:pos="9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Rights, upon receipt by the Company of such lawful consideration thereof as the Board (or an authorized committee thereof) may determine, will constitute valid and binding obligations of the Company under the laws of the State of New York,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24" w:name="page225"/>
    <w:bookmarkEnd w:id="224"/>
    <w:p>
      <w:pPr>
        <w:jc w:val="both"/>
        <w:ind w:left="980" w:hanging="329"/>
        <w:spacing w:after="0" w:line="273" w:lineRule="auto"/>
        <w:tabs>
          <w:tab w:leader="none" w:pos="9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Units, upon receipt by the Company of such lawful consideration thereof as the Board (or an authorized committee thereof) may determine, will constitute valid and binding obligations of the Company under the laws of the State of New York,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175" w:lineRule="exact"/>
        <w:rPr>
          <w:rFonts w:ascii="Arial" w:cs="Arial" w:eastAsia="Arial" w:hAnsi="Arial"/>
          <w:sz w:val="17"/>
          <w:szCs w:val="17"/>
          <w:color w:val="auto"/>
        </w:rPr>
      </w:pPr>
    </w:p>
    <w:p>
      <w:pPr>
        <w:ind w:left="980" w:hanging="329"/>
        <w:spacing w:after="0" w:line="272" w:lineRule="auto"/>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Warrant Shares, when issued and paid for upon exercise of the Outstanding Warrants in accordance with the terms of the A&amp;R Warrant Agreement, will be validly issued, fully paid and non-assessable.</w:t>
      </w:r>
    </w:p>
    <w:p>
      <w:pPr>
        <w:spacing w:after="0" w:line="174" w:lineRule="exact"/>
        <w:rPr>
          <w:rFonts w:ascii="Arial" w:cs="Arial" w:eastAsia="Arial" w:hAnsi="Arial"/>
          <w:sz w:val="18"/>
          <w:szCs w:val="18"/>
          <w:color w:val="auto"/>
        </w:rPr>
      </w:pPr>
    </w:p>
    <w:p>
      <w:pPr>
        <w:ind w:left="980" w:hanging="329"/>
        <w:spacing w:after="0"/>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Resale Shares are validly issued, fully paid and non-assessable.</w:t>
      </w:r>
    </w:p>
    <w:p>
      <w:pPr>
        <w:spacing w:after="0" w:line="221" w:lineRule="exact"/>
        <w:rPr>
          <w:rFonts w:ascii="Arial" w:cs="Arial" w:eastAsia="Arial" w:hAnsi="Arial"/>
          <w:sz w:val="18"/>
          <w:szCs w:val="18"/>
          <w:color w:val="auto"/>
        </w:rPr>
      </w:pPr>
    </w:p>
    <w:p>
      <w:pPr>
        <w:jc w:val="both"/>
        <w:ind w:left="980" w:hanging="329"/>
        <w:spacing w:after="0" w:line="276" w:lineRule="auto"/>
        <w:tabs>
          <w:tab w:leader="none" w:pos="9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Private Placement Warrants constitute valid and binding obligations of the Company under the laws of the State of New York,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opinions expressed above are limited to questions arising under the law of the State of New York and the Delaware General Corporation Law.</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We do not express any opinion as to the laws of any other jurisdiction.</w:t>
      </w:r>
    </w:p>
    <w:p>
      <w:pPr>
        <w:spacing w:after="0" w:line="209"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Securities or Private Placement Warrants pursuant to the Registration Statement and is not to be relied upon for any other purpose.</w:t>
      </w:r>
    </w:p>
    <w:p>
      <w:pPr>
        <w:spacing w:after="0" w:line="169"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The opinions expressed above are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59" w:lineRule="exact"/>
        <w:rPr>
          <w:sz w:val="20"/>
          <w:szCs w:val="20"/>
          <w:color w:val="auto"/>
        </w:rPr>
      </w:pPr>
    </w:p>
    <w:p>
      <w:pPr>
        <w:jc w:val="both"/>
        <w:ind w:firstLine="643"/>
        <w:spacing w:after="0" w:line="276" w:lineRule="auto"/>
        <w:rPr>
          <w:sz w:val="20"/>
          <w:szCs w:val="20"/>
          <w:color w:val="auto"/>
        </w:rPr>
      </w:pPr>
      <w:r>
        <w:rPr>
          <w:rFonts w:ascii="Arial" w:cs="Arial" w:eastAsia="Arial" w:hAnsi="Arial"/>
          <w:sz w:val="17"/>
          <w:szCs w:val="17"/>
          <w:color w:val="auto"/>
        </w:rPr>
        <w:t>We hereby consent to the filing of this opinion letter as Exhibit 5.1 to the Registration Statement and to the reference to our firm as counsel for the Company that has passed on the validity of the Securities appearing under the caption “Legal Matters” in the Base Prospectus forming part of the Registration Statement or any Prospectus. In giving this consent, we do not thereby admit that we are within the category of persons whose consent is required under Section 7 of the Securities Act or the rules and regulations of the Commission thereunder.</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Very truly yours,</w:t>
      </w:r>
    </w:p>
    <w:p>
      <w:pPr>
        <w:spacing w:after="0" w:line="222" w:lineRule="exact"/>
        <w:rPr>
          <w:sz w:val="20"/>
          <w:szCs w:val="20"/>
          <w:color w:val="auto"/>
        </w:rPr>
      </w:pPr>
    </w:p>
    <w:p>
      <w:pPr>
        <w:ind w:left="9660"/>
        <w:spacing w:after="0"/>
        <w:rPr>
          <w:sz w:val="20"/>
          <w:szCs w:val="20"/>
          <w:color w:val="auto"/>
        </w:rPr>
      </w:pPr>
      <w:r>
        <w:rPr>
          <w:rFonts w:ascii="Arial" w:cs="Arial" w:eastAsia="Arial" w:hAnsi="Arial"/>
          <w:sz w:val="16"/>
          <w:szCs w:val="16"/>
          <w:color w:val="auto"/>
        </w:rPr>
        <w:t>/s/ White &amp; Case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CJD:LKM:BM:CC:SA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23.1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consent to the incorporation by reference in this Registration Statement on Form S-3 of Presto Automation Inc. (the “Company”) of our report dated October 10, 2023, relating to the consolidated financial statements of the Company (which report expresses an unqualified opinion and includes explanatory paragraphs relating to a going concern uncertainty and the adoption of a new accounting standard), appearing in the Annual Report on Form 10-K of the Company for the year ended June 30, 2023, filed with the Securities and Exchange Commission. We also consent to the reference to us under the heading “Experts” in such Registration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October 20, 2023</w:t>
      </w:r>
    </w:p>
    <w:p>
      <w:pPr>
        <w:sectPr>
          <w:pgSz w:w="11900" w:h="16838" w:orient="portrait"/>
          <w:cols w:equalWidth="0" w:num="1">
            <w:col w:w="11240"/>
          </w:cols>
          <w:pgMar w:left="320" w:top="121" w:right="339" w:bottom="1440" w:gutter="0" w:footer="0" w:header="0"/>
        </w:sectPr>
      </w:pPr>
    </w:p>
    <w:bookmarkStart w:id="226" w:name="page227"/>
    <w:bookmarkEnd w:id="226"/>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5"/>
              </w:rPr>
              <w:t>Filing Fee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jc w:val="center"/>
              <w:ind w:right="60"/>
              <w:spacing w:after="0" w:line="134" w:lineRule="exact"/>
              <w:rPr>
                <w:sz w:val="20"/>
                <w:szCs w:val="20"/>
                <w:color w:val="auto"/>
              </w:rPr>
            </w:pPr>
            <w:r>
              <w:rPr>
                <w:rFonts w:ascii="Arial" w:cs="Arial" w:eastAsia="Arial" w:hAnsi="Arial"/>
                <w:sz w:val="13"/>
                <w:szCs w:val="13"/>
                <w:b w:val="1"/>
                <w:bCs w:val="1"/>
                <w:color w:val="auto"/>
                <w:w w:val="85"/>
              </w:rPr>
              <w:t>Previously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3"/>
              </w:rPr>
              <w:t>Paid In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w w:val="92"/>
              </w:rPr>
              <w:t>Connection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2"/>
              </w:rPr>
              <w:t>with</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89"/>
              </w:rPr>
              <w:t>Fee</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3"/>
              </w:rPr>
              <w:t>Proposed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Carry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81"/>
              </w:rPr>
              <w:t>Unsold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0"/>
              <w:spacing w:after="0" w:line="134" w:lineRule="exact"/>
              <w:rPr>
                <w:sz w:val="20"/>
                <w:szCs w:val="20"/>
                <w:color w:val="auto"/>
              </w:rPr>
            </w:pPr>
            <w:r>
              <w:rPr>
                <w:rFonts w:ascii="Arial" w:cs="Arial" w:eastAsia="Arial" w:hAnsi="Arial"/>
                <w:sz w:val="13"/>
                <w:szCs w:val="13"/>
                <w:b w:val="1"/>
                <w:bCs w:val="1"/>
                <w:color w:val="auto"/>
                <w:w w:val="88"/>
              </w:rPr>
              <w:t>Calculation</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Maximum</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Maximum</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94"/>
              </w:rPr>
              <w:t>Carry</w:t>
            </w:r>
          </w:p>
        </w:tc>
        <w:tc>
          <w:tcPr>
            <w:tcW w:w="66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99"/>
              </w:rPr>
              <w:t>Carry</w:t>
            </w: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Forward</w:t>
            </w:r>
          </w:p>
        </w:tc>
        <w:tc>
          <w:tcPr>
            <w:tcW w:w="40" w:type="dxa"/>
            <w:vAlign w:val="bottom"/>
          </w:tcPr>
          <w:p>
            <w:pPr>
              <w:spacing w:after="0"/>
              <w:rPr>
                <w:sz w:val="11"/>
                <w:szCs w:val="11"/>
                <w:color w:val="auto"/>
              </w:rPr>
            </w:pPr>
          </w:p>
        </w:tc>
        <w:tc>
          <w:tcPr>
            <w:tcW w:w="700" w:type="dxa"/>
            <w:vAlign w:val="bottom"/>
            <w:gridSpan w:val="3"/>
          </w:tcPr>
          <w:p>
            <w:pPr>
              <w:jc w:val="center"/>
              <w:ind w:right="60"/>
              <w:spacing w:after="0" w:line="134"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89"/>
              </w:rPr>
              <w:t>Security</w:t>
            </w:r>
          </w:p>
        </w:tc>
        <w:tc>
          <w:tcPr>
            <w:tcW w:w="68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94"/>
              </w:rPr>
              <w:t>or Carry</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Offering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7"/>
              </w:rPr>
              <w:t>Aggregate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Amount of</w:t>
            </w:r>
          </w:p>
        </w:tc>
        <w:tc>
          <w:tcPr>
            <w:tcW w:w="52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93"/>
              </w:rPr>
              <w:t>Forward</w:t>
            </w:r>
          </w:p>
        </w:tc>
        <w:tc>
          <w:tcPr>
            <w:tcW w:w="66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89"/>
              </w:rPr>
              <w:t>Forward</w:t>
            </w: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Initial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83"/>
              </w:rPr>
              <w:t>to be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85"/>
              </w:rPr>
              <w:t>Security</w:t>
            </w:r>
          </w:p>
        </w:tc>
        <w:tc>
          <w:tcPr>
            <w:tcW w:w="122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86"/>
              </w:rPr>
              <w:t>Class</w:t>
            </w:r>
          </w:p>
        </w:tc>
        <w:tc>
          <w:tcPr>
            <w:tcW w:w="68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93"/>
              </w:rPr>
              <w:t>Forward</w:t>
            </w:r>
          </w:p>
        </w:tc>
        <w:tc>
          <w:tcPr>
            <w:tcW w:w="720" w:type="dxa"/>
            <w:vAlign w:val="bottom"/>
          </w:tcPr>
          <w:p>
            <w:pPr>
              <w:jc w:val="right"/>
              <w:ind w:right="77"/>
              <w:spacing w:after="0" w:line="134" w:lineRule="exact"/>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Price Per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Offering</w:t>
            </w:r>
          </w:p>
        </w:tc>
        <w:tc>
          <w:tcPr>
            <w:tcW w:w="240" w:type="dxa"/>
            <w:vAlign w:val="bottom"/>
          </w:tcPr>
          <w:p>
            <w:pPr>
              <w:spacing w:after="0"/>
              <w:rPr>
                <w:sz w:val="11"/>
                <w:szCs w:val="11"/>
                <w:color w:val="auto"/>
              </w:rPr>
            </w:pPr>
          </w:p>
        </w:tc>
        <w:tc>
          <w:tcPr>
            <w:tcW w:w="72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89"/>
              </w:rPr>
              <w:t>Fee</w:t>
            </w:r>
          </w:p>
        </w:tc>
        <w:tc>
          <w:tcPr>
            <w:tcW w:w="40" w:type="dxa"/>
            <w:vAlign w:val="bottom"/>
          </w:tcPr>
          <w:p>
            <w:pPr>
              <w:spacing w:after="0"/>
              <w:rPr>
                <w:sz w:val="11"/>
                <w:szCs w:val="11"/>
                <w:color w:val="auto"/>
              </w:rPr>
            </w:pPr>
          </w:p>
        </w:tc>
        <w:tc>
          <w:tcPr>
            <w:tcW w:w="760" w:type="dxa"/>
            <w:vAlign w:val="bottom"/>
            <w:gridSpan w:val="3"/>
          </w:tcPr>
          <w:p>
            <w:pPr>
              <w:spacing w:after="0" w:line="134" w:lineRule="exact"/>
              <w:rPr>
                <w:sz w:val="20"/>
                <w:szCs w:val="20"/>
                <w:color w:val="auto"/>
              </w:rPr>
            </w:pPr>
            <w:r>
              <w:rPr>
                <w:rFonts w:ascii="Arial" w:cs="Arial" w:eastAsia="Arial" w:hAnsi="Arial"/>
                <w:sz w:val="13"/>
                <w:szCs w:val="13"/>
                <w:b w:val="1"/>
                <w:bCs w:val="1"/>
                <w:color w:val="auto"/>
                <w:w w:val="97"/>
              </w:rPr>
              <w:t>Registration</w:t>
            </w:r>
          </w:p>
        </w:tc>
        <w:tc>
          <w:tcPr>
            <w:tcW w:w="520" w:type="dxa"/>
            <w:vAlign w:val="bottom"/>
            <w:gridSpan w:val="2"/>
          </w:tcPr>
          <w:p>
            <w:pPr>
              <w:jc w:val="center"/>
              <w:ind w:right="20"/>
              <w:spacing w:after="0" w:line="134" w:lineRule="exact"/>
              <w:rPr>
                <w:sz w:val="20"/>
                <w:szCs w:val="20"/>
                <w:color w:val="auto"/>
              </w:rPr>
            </w:pPr>
            <w:r>
              <w:rPr>
                <w:rFonts w:ascii="Arial" w:cs="Arial" w:eastAsia="Arial" w:hAnsi="Arial"/>
                <w:sz w:val="13"/>
                <w:szCs w:val="13"/>
                <w:b w:val="1"/>
                <w:bCs w:val="1"/>
                <w:color w:val="auto"/>
                <w:w w:val="92"/>
              </w:rPr>
              <w:t>Form</w:t>
            </w:r>
          </w:p>
        </w:tc>
        <w:tc>
          <w:tcPr>
            <w:tcW w:w="66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97"/>
              </w:rPr>
              <w:t>File</w:t>
            </w: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Effective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6"/>
              </w:rPr>
              <w:t>Carried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Type</w:t>
            </w:r>
          </w:p>
        </w:tc>
        <w:tc>
          <w:tcPr>
            <w:tcW w:w="12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Title</w:t>
            </w:r>
          </w:p>
        </w:tc>
        <w:tc>
          <w:tcPr>
            <w:tcW w:w="6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5"/>
              </w:rPr>
              <w:t>Rule</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84"/>
              </w:rPr>
              <w:t>Registered(4)</w:t>
            </w:r>
          </w:p>
        </w:tc>
        <w:tc>
          <w:tcPr>
            <w:tcW w:w="26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4"/>
              </w:rPr>
              <w:t>Unit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Price</w:t>
            </w:r>
          </w:p>
        </w:tc>
        <w:tc>
          <w:tcPr>
            <w:tcW w:w="24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5"/>
              </w:rPr>
              <w:t>Rate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Fee</w:t>
            </w:r>
          </w:p>
        </w:tc>
        <w:tc>
          <w:tcPr>
            <w:tcW w:w="5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Type</w:t>
            </w:r>
          </w:p>
        </w:tc>
        <w:tc>
          <w:tcPr>
            <w:tcW w:w="6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Number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40" w:type="dxa"/>
            <w:vAlign w:val="bottom"/>
          </w:tcPr>
          <w:p>
            <w:pPr>
              <w:spacing w:after="0"/>
              <w:rPr>
                <w:sz w:val="13"/>
                <w:szCs w:val="13"/>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89"/>
              </w:rPr>
              <w:t>Forward(5)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1"/>
                <w:szCs w:val="11"/>
                <w:b w:val="1"/>
                <w:bCs w:val="1"/>
                <w:color w:val="auto"/>
                <w:w w:val="75"/>
              </w:rPr>
              <w:t>Newly</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0"/>
              </w:rPr>
              <w:t>Registered</w:t>
            </w:r>
          </w:p>
        </w:tc>
        <w:tc>
          <w:tcPr>
            <w:tcW w:w="260" w:type="dxa"/>
            <w:vAlign w:val="bottom"/>
            <w:gridSpan w:val="2"/>
          </w:tcPr>
          <w:p>
            <w:pPr>
              <w:spacing w:after="0"/>
              <w:rPr>
                <w:sz w:val="14"/>
                <w:szCs w:val="14"/>
                <w:color w:val="auto"/>
              </w:rPr>
            </w:pPr>
          </w:p>
        </w:tc>
        <w:tc>
          <w:tcPr>
            <w:tcW w:w="820" w:type="dxa"/>
            <w:vAlign w:val="bottom"/>
            <w:tcBorders>
              <w:top w:val="single" w:sz="8" w:color="auto"/>
            </w:tcBorders>
          </w:tcPr>
          <w:p>
            <w:pPr>
              <w:jc w:val="right"/>
              <w:ind w:right="358"/>
              <w:spacing w:after="0"/>
              <w:rPr>
                <w:sz w:val="20"/>
                <w:szCs w:val="20"/>
                <w:color w:val="auto"/>
              </w:rPr>
            </w:pPr>
            <w:r>
              <w:rPr>
                <w:rFonts w:ascii="Arial" w:cs="Arial" w:eastAsia="Arial" w:hAnsi="Arial"/>
                <w:sz w:val="11"/>
                <w:szCs w:val="11"/>
                <w:b w:val="1"/>
                <w:bCs w:val="1"/>
                <w:color w:val="auto"/>
                <w:w w:val="72"/>
              </w:rPr>
              <w:t>Securities</w:t>
            </w:r>
          </w:p>
        </w:tc>
        <w:tc>
          <w:tcPr>
            <w:tcW w:w="24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12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Fees to Be Paid</w:t>
            </w:r>
          </w:p>
        </w:tc>
        <w:tc>
          <w:tcPr>
            <w:tcW w:w="960" w:type="dxa"/>
            <w:vAlign w:val="bottom"/>
            <w:gridSpan w:val="2"/>
            <w:shd w:val="clear" w:color="auto" w:fill="CCEEFF"/>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3"/>
                <w:szCs w:val="13"/>
                <w:color w:val="auto"/>
              </w:rPr>
              <w:t>Common Stock,</w:t>
            </w:r>
          </w:p>
        </w:tc>
        <w:tc>
          <w:tcPr>
            <w:tcW w:w="680" w:type="dxa"/>
            <w:vAlign w:val="bottom"/>
            <w:gridSpan w:val="2"/>
            <w:shd w:val="clear" w:color="auto" w:fill="CCEEFF"/>
          </w:tcPr>
          <w:p>
            <w:pPr>
              <w:jc w:val="center"/>
              <w:ind w:right="40"/>
              <w:spacing w:after="0" w:line="120" w:lineRule="exact"/>
              <w:rPr>
                <w:sz w:val="20"/>
                <w:szCs w:val="20"/>
                <w:color w:val="auto"/>
              </w:rPr>
            </w:pPr>
            <w:r>
              <w:rPr>
                <w:rFonts w:ascii="Arial" w:cs="Arial" w:eastAsia="Arial" w:hAnsi="Arial"/>
                <w:sz w:val="13"/>
                <w:szCs w:val="13"/>
                <w:color w:val="auto"/>
                <w:w w:val="85"/>
              </w:rPr>
              <w:t>457(o)</w:t>
            </w: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6"/>
              </w:rPr>
              <w:t>par value $0.0001 per</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40"/>
              <w:spacing w:after="0" w:line="148" w:lineRule="exact"/>
              <w:rPr>
                <w:sz w:val="20"/>
                <w:szCs w:val="20"/>
                <w:color w:val="auto"/>
              </w:rPr>
            </w:pPr>
            <w:r>
              <w:rPr>
                <w:rFonts w:ascii="Arial" w:cs="Arial" w:eastAsia="Arial" w:hAnsi="Arial"/>
                <w:sz w:val="13"/>
                <w:szCs w:val="13"/>
                <w:color w:val="auto"/>
                <w:w w:val="79"/>
              </w:rPr>
              <w:t>share</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(1)</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75"/>
              </w:rPr>
              <w:t>(2)</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w w:val="75"/>
              </w:rPr>
              <w:t>(2)</w:t>
            </w: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line="134" w:lineRule="exact"/>
              <w:rPr>
                <w:sz w:val="20"/>
                <w:szCs w:val="20"/>
                <w:color w:val="auto"/>
              </w:rPr>
            </w:pPr>
            <w:r>
              <w:rPr>
                <w:rFonts w:ascii="Arial" w:cs="Arial" w:eastAsia="Arial" w:hAnsi="Arial"/>
                <w:sz w:val="13"/>
                <w:szCs w:val="13"/>
                <w:color w:val="auto"/>
              </w:rPr>
              <w:t>Fees to Be Paid</w:t>
            </w:r>
          </w:p>
        </w:tc>
        <w:tc>
          <w:tcPr>
            <w:tcW w:w="960" w:type="dxa"/>
            <w:vAlign w:val="bottom"/>
            <w:gridSpan w:val="2"/>
          </w:tcPr>
          <w:p>
            <w:pPr>
              <w:jc w:val="center"/>
              <w:ind w:right="60"/>
              <w:spacing w:after="0" w:line="134" w:lineRule="exact"/>
              <w:rPr>
                <w:sz w:val="20"/>
                <w:szCs w:val="20"/>
                <w:color w:val="auto"/>
              </w:rPr>
            </w:pPr>
            <w:r>
              <w:rPr>
                <w:rFonts w:ascii="Arial" w:cs="Arial" w:eastAsia="Arial" w:hAnsi="Arial"/>
                <w:sz w:val="13"/>
                <w:szCs w:val="13"/>
                <w:color w:val="auto"/>
                <w:w w:val="93"/>
              </w:rPr>
              <w:t>Equity</w:t>
            </w:r>
          </w:p>
        </w:tc>
        <w:tc>
          <w:tcPr>
            <w:tcW w:w="122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6"/>
              </w:rPr>
              <w:t>Preferred Stock</w:t>
            </w:r>
          </w:p>
        </w:tc>
        <w:tc>
          <w:tcPr>
            <w:tcW w:w="68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5"/>
              </w:rPr>
              <w:t>457(o)</w:t>
            </w:r>
          </w:p>
        </w:tc>
        <w:tc>
          <w:tcPr>
            <w:tcW w:w="720" w:type="dxa"/>
            <w:vAlign w:val="bottom"/>
          </w:tcPr>
          <w:p>
            <w:pPr>
              <w:spacing w:after="0"/>
              <w:rPr>
                <w:sz w:val="11"/>
                <w:szCs w:val="11"/>
                <w:color w:val="auto"/>
              </w:rPr>
            </w:pPr>
          </w:p>
        </w:tc>
        <w:tc>
          <w:tcPr>
            <w:tcW w:w="260" w:type="dxa"/>
            <w:vAlign w:val="bottom"/>
          </w:tcPr>
          <w:p>
            <w:pPr>
              <w:spacing w:after="0" w:line="134" w:lineRule="exact"/>
              <w:rPr>
                <w:sz w:val="20"/>
                <w:szCs w:val="20"/>
                <w:color w:val="auto"/>
              </w:rPr>
            </w:pPr>
            <w:r>
              <w:rPr>
                <w:rFonts w:ascii="Arial" w:cs="Arial" w:eastAsia="Arial" w:hAnsi="Arial"/>
                <w:sz w:val="13"/>
                <w:szCs w:val="13"/>
                <w:color w:val="auto"/>
              </w:rPr>
              <w:t>(1)</w:t>
            </w:r>
          </w:p>
        </w:tc>
        <w:tc>
          <w:tcPr>
            <w:tcW w:w="560" w:type="dxa"/>
            <w:vAlign w:val="bottom"/>
          </w:tcPr>
          <w:p>
            <w:pPr>
              <w:spacing w:after="0"/>
              <w:rPr>
                <w:sz w:val="11"/>
                <w:szCs w:val="11"/>
                <w:color w:val="auto"/>
              </w:rPr>
            </w:pPr>
          </w:p>
        </w:tc>
        <w:tc>
          <w:tcPr>
            <w:tcW w:w="180" w:type="dxa"/>
            <w:vAlign w:val="bottom"/>
          </w:tcPr>
          <w:p>
            <w:pPr>
              <w:jc w:val="right"/>
              <w:spacing w:after="0" w:line="134" w:lineRule="exact"/>
              <w:rPr>
                <w:sz w:val="20"/>
                <w:szCs w:val="20"/>
                <w:color w:val="auto"/>
              </w:rPr>
            </w:pPr>
            <w:r>
              <w:rPr>
                <w:rFonts w:ascii="Arial" w:cs="Arial" w:eastAsia="Arial" w:hAnsi="Arial"/>
                <w:sz w:val="13"/>
                <w:szCs w:val="13"/>
                <w:color w:val="auto"/>
                <w:w w:val="75"/>
              </w:rPr>
              <w:t>(2)</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jc w:val="right"/>
              <w:ind w:right="37"/>
              <w:spacing w:after="0" w:line="134" w:lineRule="exact"/>
              <w:rPr>
                <w:sz w:val="20"/>
                <w:szCs w:val="20"/>
                <w:color w:val="auto"/>
              </w:rPr>
            </w:pPr>
            <w:r>
              <w:rPr>
                <w:rFonts w:ascii="Arial" w:cs="Arial" w:eastAsia="Arial" w:hAnsi="Arial"/>
                <w:sz w:val="13"/>
                <w:szCs w:val="13"/>
                <w:color w:val="auto"/>
                <w:w w:val="75"/>
              </w:rPr>
              <w:t>(2)</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Fees to Be Paid</w:t>
            </w:r>
          </w:p>
        </w:tc>
        <w:tc>
          <w:tcPr>
            <w:tcW w:w="960" w:type="dxa"/>
            <w:vAlign w:val="bottom"/>
            <w:gridSpan w:val="2"/>
            <w:shd w:val="clear" w:color="auto" w:fill="CCEEFF"/>
          </w:tcPr>
          <w:p>
            <w:pPr>
              <w:jc w:val="center"/>
              <w:ind w:right="60"/>
              <w:spacing w:after="0" w:line="134" w:lineRule="exact"/>
              <w:rPr>
                <w:sz w:val="20"/>
                <w:szCs w:val="20"/>
                <w:color w:val="auto"/>
              </w:rPr>
            </w:pPr>
            <w:r>
              <w:rPr>
                <w:rFonts w:ascii="Arial" w:cs="Arial" w:eastAsia="Arial" w:hAnsi="Arial"/>
                <w:sz w:val="13"/>
                <w:szCs w:val="13"/>
                <w:color w:val="auto"/>
                <w:w w:val="93"/>
              </w:rPr>
              <w:t>Equity</w:t>
            </w:r>
          </w:p>
        </w:tc>
        <w:tc>
          <w:tcPr>
            <w:tcW w:w="122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8"/>
              </w:rPr>
              <w:t>Debt Securities</w:t>
            </w:r>
          </w:p>
        </w:tc>
        <w:tc>
          <w:tcPr>
            <w:tcW w:w="68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5"/>
              </w:rPr>
              <w:t>457(o)</w:t>
            </w: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(1)</w:t>
            </w: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75"/>
              </w:rPr>
              <w:t>(2)</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w w:val="75"/>
              </w:rPr>
              <w:t>(2)</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line="134" w:lineRule="exact"/>
              <w:rPr>
                <w:sz w:val="20"/>
                <w:szCs w:val="20"/>
                <w:color w:val="auto"/>
              </w:rPr>
            </w:pPr>
            <w:r>
              <w:rPr>
                <w:rFonts w:ascii="Arial" w:cs="Arial" w:eastAsia="Arial" w:hAnsi="Arial"/>
                <w:sz w:val="13"/>
                <w:szCs w:val="13"/>
                <w:color w:val="auto"/>
              </w:rPr>
              <w:t>Fees to Be Paid</w:t>
            </w:r>
          </w:p>
        </w:tc>
        <w:tc>
          <w:tcPr>
            <w:tcW w:w="960" w:type="dxa"/>
            <w:vAlign w:val="bottom"/>
            <w:gridSpan w:val="2"/>
          </w:tcPr>
          <w:p>
            <w:pPr>
              <w:jc w:val="center"/>
              <w:ind w:right="60"/>
              <w:spacing w:after="0" w:line="134" w:lineRule="exact"/>
              <w:rPr>
                <w:sz w:val="20"/>
                <w:szCs w:val="20"/>
                <w:color w:val="auto"/>
              </w:rPr>
            </w:pPr>
            <w:r>
              <w:rPr>
                <w:rFonts w:ascii="Arial" w:cs="Arial" w:eastAsia="Arial" w:hAnsi="Arial"/>
                <w:sz w:val="13"/>
                <w:szCs w:val="13"/>
                <w:color w:val="auto"/>
                <w:w w:val="93"/>
              </w:rPr>
              <w:t>Equity</w:t>
            </w:r>
          </w:p>
        </w:tc>
        <w:tc>
          <w:tcPr>
            <w:tcW w:w="122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7"/>
              </w:rPr>
              <w:t>Warrants</w:t>
            </w:r>
          </w:p>
        </w:tc>
        <w:tc>
          <w:tcPr>
            <w:tcW w:w="68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5"/>
              </w:rPr>
              <w:t>457(o)</w:t>
            </w:r>
          </w:p>
        </w:tc>
        <w:tc>
          <w:tcPr>
            <w:tcW w:w="720" w:type="dxa"/>
            <w:vAlign w:val="bottom"/>
          </w:tcPr>
          <w:p>
            <w:pPr>
              <w:spacing w:after="0"/>
              <w:rPr>
                <w:sz w:val="11"/>
                <w:szCs w:val="11"/>
                <w:color w:val="auto"/>
              </w:rPr>
            </w:pPr>
          </w:p>
        </w:tc>
        <w:tc>
          <w:tcPr>
            <w:tcW w:w="260" w:type="dxa"/>
            <w:vAlign w:val="bottom"/>
          </w:tcPr>
          <w:p>
            <w:pPr>
              <w:spacing w:after="0" w:line="134" w:lineRule="exact"/>
              <w:rPr>
                <w:sz w:val="20"/>
                <w:szCs w:val="20"/>
                <w:color w:val="auto"/>
              </w:rPr>
            </w:pPr>
            <w:r>
              <w:rPr>
                <w:rFonts w:ascii="Arial" w:cs="Arial" w:eastAsia="Arial" w:hAnsi="Arial"/>
                <w:sz w:val="13"/>
                <w:szCs w:val="13"/>
                <w:color w:val="auto"/>
              </w:rPr>
              <w:t>(1)</w:t>
            </w:r>
          </w:p>
        </w:tc>
        <w:tc>
          <w:tcPr>
            <w:tcW w:w="560" w:type="dxa"/>
            <w:vAlign w:val="bottom"/>
          </w:tcPr>
          <w:p>
            <w:pPr>
              <w:spacing w:after="0"/>
              <w:rPr>
                <w:sz w:val="11"/>
                <w:szCs w:val="11"/>
                <w:color w:val="auto"/>
              </w:rPr>
            </w:pPr>
          </w:p>
        </w:tc>
        <w:tc>
          <w:tcPr>
            <w:tcW w:w="180" w:type="dxa"/>
            <w:vAlign w:val="bottom"/>
          </w:tcPr>
          <w:p>
            <w:pPr>
              <w:jc w:val="right"/>
              <w:spacing w:after="0" w:line="134" w:lineRule="exact"/>
              <w:rPr>
                <w:sz w:val="20"/>
                <w:szCs w:val="20"/>
                <w:color w:val="auto"/>
              </w:rPr>
            </w:pPr>
            <w:r>
              <w:rPr>
                <w:rFonts w:ascii="Arial" w:cs="Arial" w:eastAsia="Arial" w:hAnsi="Arial"/>
                <w:sz w:val="13"/>
                <w:szCs w:val="13"/>
                <w:color w:val="auto"/>
                <w:w w:val="75"/>
              </w:rPr>
              <w:t>(2)</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jc w:val="right"/>
              <w:ind w:right="37"/>
              <w:spacing w:after="0" w:line="134" w:lineRule="exact"/>
              <w:rPr>
                <w:sz w:val="20"/>
                <w:szCs w:val="20"/>
                <w:color w:val="auto"/>
              </w:rPr>
            </w:pPr>
            <w:r>
              <w:rPr>
                <w:rFonts w:ascii="Arial" w:cs="Arial" w:eastAsia="Arial" w:hAnsi="Arial"/>
                <w:sz w:val="13"/>
                <w:szCs w:val="13"/>
                <w:color w:val="auto"/>
                <w:w w:val="75"/>
              </w:rPr>
              <w:t>(2)</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Fees to Be Paid</w:t>
            </w:r>
          </w:p>
        </w:tc>
        <w:tc>
          <w:tcPr>
            <w:tcW w:w="96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7"/>
              </w:rPr>
              <w:t>Debt</w:t>
            </w:r>
          </w:p>
        </w:tc>
        <w:tc>
          <w:tcPr>
            <w:tcW w:w="122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92"/>
              </w:rPr>
              <w:t>Rights</w:t>
            </w:r>
          </w:p>
        </w:tc>
        <w:tc>
          <w:tcPr>
            <w:tcW w:w="68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5"/>
              </w:rPr>
              <w:t>457(o)</w:t>
            </w: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(1)</w:t>
            </w: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75"/>
              </w:rPr>
              <w:t>(2)</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w w:val="75"/>
              </w:rPr>
              <w:t>(2)</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line="134" w:lineRule="exact"/>
              <w:rPr>
                <w:sz w:val="20"/>
                <w:szCs w:val="20"/>
                <w:color w:val="auto"/>
              </w:rPr>
            </w:pPr>
            <w:r>
              <w:rPr>
                <w:rFonts w:ascii="Arial" w:cs="Arial" w:eastAsia="Arial" w:hAnsi="Arial"/>
                <w:sz w:val="13"/>
                <w:szCs w:val="13"/>
                <w:color w:val="auto"/>
              </w:rPr>
              <w:t>Fees to Be Paid</w:t>
            </w:r>
          </w:p>
        </w:tc>
        <w:tc>
          <w:tcPr>
            <w:tcW w:w="96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5"/>
              </w:rPr>
              <w:t>Other</w:t>
            </w:r>
          </w:p>
        </w:tc>
        <w:tc>
          <w:tcPr>
            <w:tcW w:w="122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7"/>
              </w:rPr>
              <w:t>Units</w:t>
            </w:r>
          </w:p>
        </w:tc>
        <w:tc>
          <w:tcPr>
            <w:tcW w:w="68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5"/>
              </w:rPr>
              <w:t>457(o)</w:t>
            </w:r>
          </w:p>
        </w:tc>
        <w:tc>
          <w:tcPr>
            <w:tcW w:w="720" w:type="dxa"/>
            <w:vAlign w:val="bottom"/>
          </w:tcPr>
          <w:p>
            <w:pPr>
              <w:spacing w:after="0"/>
              <w:rPr>
                <w:sz w:val="11"/>
                <w:szCs w:val="11"/>
                <w:color w:val="auto"/>
              </w:rPr>
            </w:pPr>
          </w:p>
        </w:tc>
        <w:tc>
          <w:tcPr>
            <w:tcW w:w="260" w:type="dxa"/>
            <w:vAlign w:val="bottom"/>
          </w:tcPr>
          <w:p>
            <w:pPr>
              <w:spacing w:after="0" w:line="134" w:lineRule="exact"/>
              <w:rPr>
                <w:sz w:val="20"/>
                <w:szCs w:val="20"/>
                <w:color w:val="auto"/>
              </w:rPr>
            </w:pPr>
            <w:r>
              <w:rPr>
                <w:rFonts w:ascii="Arial" w:cs="Arial" w:eastAsia="Arial" w:hAnsi="Arial"/>
                <w:sz w:val="13"/>
                <w:szCs w:val="13"/>
                <w:color w:val="auto"/>
              </w:rPr>
              <w:t>(1)</w:t>
            </w:r>
          </w:p>
        </w:tc>
        <w:tc>
          <w:tcPr>
            <w:tcW w:w="560" w:type="dxa"/>
            <w:vAlign w:val="bottom"/>
          </w:tcPr>
          <w:p>
            <w:pPr>
              <w:spacing w:after="0"/>
              <w:rPr>
                <w:sz w:val="11"/>
                <w:szCs w:val="11"/>
                <w:color w:val="auto"/>
              </w:rPr>
            </w:pPr>
          </w:p>
        </w:tc>
        <w:tc>
          <w:tcPr>
            <w:tcW w:w="180" w:type="dxa"/>
            <w:vAlign w:val="bottom"/>
          </w:tcPr>
          <w:p>
            <w:pPr>
              <w:jc w:val="right"/>
              <w:spacing w:after="0" w:line="134" w:lineRule="exact"/>
              <w:rPr>
                <w:sz w:val="20"/>
                <w:szCs w:val="20"/>
                <w:color w:val="auto"/>
              </w:rPr>
            </w:pPr>
            <w:r>
              <w:rPr>
                <w:rFonts w:ascii="Arial" w:cs="Arial" w:eastAsia="Arial" w:hAnsi="Arial"/>
                <w:sz w:val="13"/>
                <w:szCs w:val="13"/>
                <w:color w:val="auto"/>
                <w:w w:val="75"/>
              </w:rPr>
              <w:t>(2)</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jc w:val="right"/>
              <w:ind w:right="37"/>
              <w:spacing w:after="0" w:line="134" w:lineRule="exact"/>
              <w:rPr>
                <w:sz w:val="20"/>
                <w:szCs w:val="20"/>
                <w:color w:val="auto"/>
              </w:rPr>
            </w:pPr>
            <w:r>
              <w:rPr>
                <w:rFonts w:ascii="Arial" w:cs="Arial" w:eastAsia="Arial" w:hAnsi="Arial"/>
                <w:sz w:val="13"/>
                <w:szCs w:val="13"/>
                <w:color w:val="auto"/>
                <w:w w:val="75"/>
              </w:rPr>
              <w:t>(2)</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Fees to Be Paid</w:t>
            </w:r>
          </w:p>
        </w:tc>
        <w:tc>
          <w:tcPr>
            <w:tcW w:w="96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7"/>
              </w:rPr>
              <w:t>Unallocated</w:t>
            </w:r>
          </w:p>
        </w:tc>
        <w:tc>
          <w:tcPr>
            <w:tcW w:w="122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93"/>
              </w:rPr>
              <w:t>N/A (Total of Above)</w:t>
            </w:r>
          </w:p>
        </w:tc>
        <w:tc>
          <w:tcPr>
            <w:tcW w:w="68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5"/>
              </w:rPr>
              <w:t>457(o)</w:t>
            </w:r>
          </w:p>
        </w:tc>
        <w:tc>
          <w:tcPr>
            <w:tcW w:w="7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N/A</w:t>
            </w: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N/A</w:t>
            </w:r>
          </w:p>
        </w:tc>
        <w:tc>
          <w:tcPr>
            <w:tcW w:w="26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75,000,000</w:t>
            </w:r>
          </w:p>
        </w:tc>
        <w:tc>
          <w:tcPr>
            <w:tcW w:w="960" w:type="dxa"/>
            <w:vAlign w:val="bottom"/>
            <w:gridSpan w:val="3"/>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0.00014760</w:t>
            </w:r>
          </w:p>
        </w:tc>
        <w:tc>
          <w:tcPr>
            <w:tcW w:w="16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11,070</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tcPr>
          <w:p>
            <w:pPr>
              <w:spacing w:after="0" w:line="120" w:lineRule="exact"/>
              <w:rPr>
                <w:sz w:val="20"/>
                <w:szCs w:val="20"/>
                <w:color w:val="auto"/>
              </w:rPr>
            </w:pPr>
            <w:r>
              <w:rPr>
                <w:rFonts w:ascii="Arial" w:cs="Arial" w:eastAsia="Arial" w:hAnsi="Arial"/>
                <w:sz w:val="13"/>
                <w:szCs w:val="13"/>
                <w:color w:val="auto"/>
              </w:rPr>
              <w:t>Fees to Be Paid</w:t>
            </w:r>
          </w:p>
        </w:tc>
        <w:tc>
          <w:tcPr>
            <w:tcW w:w="960" w:type="dxa"/>
            <w:vAlign w:val="bottom"/>
            <w:gridSpan w:val="2"/>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tcPr>
          <w:p>
            <w:pPr>
              <w:ind w:left="160"/>
              <w:spacing w:after="0" w:line="120" w:lineRule="exact"/>
              <w:rPr>
                <w:sz w:val="20"/>
                <w:szCs w:val="20"/>
                <w:color w:val="auto"/>
              </w:rPr>
            </w:pPr>
            <w:r>
              <w:rPr>
                <w:rFonts w:ascii="Arial" w:cs="Arial" w:eastAsia="Arial" w:hAnsi="Arial"/>
                <w:sz w:val="13"/>
                <w:szCs w:val="13"/>
                <w:color w:val="auto"/>
              </w:rPr>
              <w:t>Common Stock,</w:t>
            </w:r>
          </w:p>
        </w:tc>
        <w:tc>
          <w:tcPr>
            <w:tcW w:w="680" w:type="dxa"/>
            <w:vAlign w:val="bottom"/>
            <w:gridSpan w:val="2"/>
          </w:tcPr>
          <w:p>
            <w:pPr>
              <w:jc w:val="center"/>
              <w:ind w:right="40"/>
              <w:spacing w:after="0" w:line="120" w:lineRule="exact"/>
              <w:rPr>
                <w:sz w:val="20"/>
                <w:szCs w:val="20"/>
                <w:color w:val="auto"/>
              </w:rPr>
            </w:pPr>
            <w:r>
              <w:rPr>
                <w:rFonts w:ascii="Arial" w:cs="Arial" w:eastAsia="Arial" w:hAnsi="Arial"/>
                <w:sz w:val="13"/>
                <w:szCs w:val="13"/>
                <w:color w:val="auto"/>
                <w:w w:val="86"/>
              </w:rPr>
              <w:t>457(c)</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6"/>
              </w:rPr>
              <w:t>par value $0.0001 per</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jc w:val="center"/>
              <w:ind w:right="40"/>
              <w:spacing w:after="0" w:line="148" w:lineRule="exact"/>
              <w:rPr>
                <w:sz w:val="20"/>
                <w:szCs w:val="20"/>
                <w:color w:val="auto"/>
              </w:rPr>
            </w:pPr>
            <w:r>
              <w:rPr>
                <w:rFonts w:ascii="Arial" w:cs="Arial" w:eastAsia="Arial" w:hAnsi="Arial"/>
                <w:sz w:val="13"/>
                <w:szCs w:val="13"/>
                <w:color w:val="auto"/>
                <w:w w:val="79"/>
              </w:rPr>
              <w:t>share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25,000</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8" w:lineRule="exact"/>
              <w:rPr>
                <w:sz w:val="20"/>
                <w:szCs w:val="20"/>
                <w:color w:val="auto"/>
              </w:rPr>
            </w:pPr>
            <w:r>
              <w:rPr>
                <w:rFonts w:ascii="Arial" w:cs="Arial" w:eastAsia="Arial" w:hAnsi="Arial"/>
                <w:sz w:val="13"/>
                <w:szCs w:val="13"/>
                <w:color w:val="auto"/>
              </w:rPr>
              <w:t>1.41(3) $</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32,250</w:t>
            </w:r>
          </w:p>
        </w:tc>
        <w:tc>
          <w:tcPr>
            <w:tcW w:w="96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0.00014760</w:t>
            </w:r>
          </w:p>
        </w:tc>
        <w:tc>
          <w:tcPr>
            <w:tcW w:w="1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4.76</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Fees to Be Paid</w:t>
            </w:r>
          </w:p>
        </w:tc>
        <w:tc>
          <w:tcPr>
            <w:tcW w:w="960" w:type="dxa"/>
            <w:vAlign w:val="bottom"/>
            <w:gridSpan w:val="2"/>
            <w:shd w:val="clear" w:color="auto" w:fill="CCEEFF"/>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3"/>
                <w:szCs w:val="13"/>
                <w:color w:val="auto"/>
              </w:rPr>
              <w:t>Common Stock,</w:t>
            </w:r>
          </w:p>
        </w:tc>
        <w:tc>
          <w:tcPr>
            <w:tcW w:w="680" w:type="dxa"/>
            <w:vAlign w:val="bottom"/>
            <w:gridSpan w:val="2"/>
            <w:shd w:val="clear" w:color="auto" w:fill="CCEEFF"/>
          </w:tcPr>
          <w:p>
            <w:pPr>
              <w:jc w:val="center"/>
              <w:ind w:right="40"/>
              <w:spacing w:after="0" w:line="120" w:lineRule="exact"/>
              <w:rPr>
                <w:sz w:val="20"/>
                <w:szCs w:val="20"/>
                <w:color w:val="auto"/>
              </w:rPr>
            </w:pPr>
            <w:r>
              <w:rPr>
                <w:rFonts w:ascii="Arial" w:cs="Arial" w:eastAsia="Arial" w:hAnsi="Arial"/>
                <w:sz w:val="13"/>
                <w:szCs w:val="13"/>
                <w:color w:val="auto"/>
                <w:w w:val="86"/>
              </w:rPr>
              <w:t>457(c)</w:t>
            </w: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6"/>
              </w:rPr>
              <w:t>par value $0.0001 per</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40"/>
              <w:spacing w:after="0" w:line="148" w:lineRule="exact"/>
              <w:rPr>
                <w:sz w:val="20"/>
                <w:szCs w:val="20"/>
                <w:color w:val="auto"/>
              </w:rPr>
            </w:pPr>
            <w:r>
              <w:rPr>
                <w:rFonts w:ascii="Arial" w:cs="Arial" w:eastAsia="Arial" w:hAnsi="Arial"/>
                <w:sz w:val="13"/>
                <w:szCs w:val="13"/>
                <w:color w:val="auto"/>
                <w:w w:val="79"/>
              </w:rPr>
              <w:t>share</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3,000,000</w:t>
            </w: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1.41(3) $</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4,230,000</w:t>
            </w:r>
          </w:p>
        </w:tc>
        <w:tc>
          <w:tcPr>
            <w:tcW w:w="96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0.00014760</w:t>
            </w:r>
          </w:p>
        </w:tc>
        <w:tc>
          <w:tcPr>
            <w:tcW w:w="1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624.35</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tcPr>
          <w:p>
            <w:pPr>
              <w:spacing w:after="0" w:line="120" w:lineRule="exact"/>
              <w:rPr>
                <w:sz w:val="20"/>
                <w:szCs w:val="20"/>
                <w:color w:val="auto"/>
              </w:rPr>
            </w:pPr>
            <w:r>
              <w:rPr>
                <w:rFonts w:ascii="Arial" w:cs="Arial" w:eastAsia="Arial" w:hAnsi="Arial"/>
                <w:sz w:val="13"/>
                <w:szCs w:val="13"/>
                <w:color w:val="auto"/>
              </w:rPr>
              <w:t>Fees to Be Paid</w:t>
            </w:r>
          </w:p>
        </w:tc>
        <w:tc>
          <w:tcPr>
            <w:tcW w:w="960" w:type="dxa"/>
            <w:vAlign w:val="bottom"/>
            <w:gridSpan w:val="2"/>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tcPr>
          <w:p>
            <w:pPr>
              <w:ind w:left="160"/>
              <w:spacing w:after="0" w:line="120" w:lineRule="exact"/>
              <w:rPr>
                <w:sz w:val="20"/>
                <w:szCs w:val="20"/>
                <w:color w:val="auto"/>
              </w:rPr>
            </w:pPr>
            <w:r>
              <w:rPr>
                <w:rFonts w:ascii="Arial" w:cs="Arial" w:eastAsia="Arial" w:hAnsi="Arial"/>
                <w:sz w:val="13"/>
                <w:szCs w:val="13"/>
                <w:color w:val="auto"/>
              </w:rPr>
              <w:t>Common Stock,</w:t>
            </w:r>
          </w:p>
        </w:tc>
        <w:tc>
          <w:tcPr>
            <w:tcW w:w="680" w:type="dxa"/>
            <w:vAlign w:val="bottom"/>
            <w:gridSpan w:val="2"/>
          </w:tcPr>
          <w:p>
            <w:pPr>
              <w:jc w:val="center"/>
              <w:ind w:right="40"/>
              <w:spacing w:after="0" w:line="120" w:lineRule="exact"/>
              <w:rPr>
                <w:sz w:val="20"/>
                <w:szCs w:val="20"/>
                <w:color w:val="auto"/>
              </w:rPr>
            </w:pPr>
            <w:r>
              <w:rPr>
                <w:rFonts w:ascii="Arial" w:cs="Arial" w:eastAsia="Arial" w:hAnsi="Arial"/>
                <w:sz w:val="13"/>
                <w:szCs w:val="13"/>
                <w:color w:val="auto"/>
                <w:w w:val="86"/>
              </w:rPr>
              <w:t>457(c)</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6"/>
              </w:rPr>
              <w:t>par value $0.0001 per</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jc w:val="center"/>
              <w:ind w:right="40"/>
              <w:spacing w:after="0" w:line="148" w:lineRule="exact"/>
              <w:rPr>
                <w:sz w:val="20"/>
                <w:szCs w:val="20"/>
                <w:color w:val="auto"/>
              </w:rPr>
            </w:pPr>
            <w:r>
              <w:rPr>
                <w:rFonts w:ascii="Arial" w:cs="Arial" w:eastAsia="Arial" w:hAnsi="Arial"/>
                <w:sz w:val="13"/>
                <w:szCs w:val="13"/>
                <w:color w:val="auto"/>
                <w:w w:val="79"/>
              </w:rPr>
              <w:t>share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573,660</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8" w:lineRule="exact"/>
              <w:rPr>
                <w:sz w:val="20"/>
                <w:szCs w:val="20"/>
                <w:color w:val="auto"/>
              </w:rPr>
            </w:pPr>
            <w:r>
              <w:rPr>
                <w:rFonts w:ascii="Arial" w:cs="Arial" w:eastAsia="Arial" w:hAnsi="Arial"/>
                <w:sz w:val="13"/>
                <w:szCs w:val="13"/>
                <w:color w:val="auto"/>
              </w:rPr>
              <w:t>1.41(3) $</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4,230,000</w:t>
            </w:r>
          </w:p>
        </w:tc>
        <w:tc>
          <w:tcPr>
            <w:tcW w:w="96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0.00014760</w:t>
            </w:r>
          </w:p>
        </w:tc>
        <w:tc>
          <w:tcPr>
            <w:tcW w:w="1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119.39</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900" w:type="dxa"/>
            <w:vAlign w:val="bottom"/>
            <w:gridSpan w:val="5"/>
            <w:shd w:val="clear" w:color="auto" w:fill="CCEEFF"/>
          </w:tcPr>
          <w:p>
            <w:pPr>
              <w:jc w:val="right"/>
              <w:ind w:right="418"/>
              <w:spacing w:after="0" w:line="134" w:lineRule="exact"/>
              <w:rPr>
                <w:sz w:val="20"/>
                <w:szCs w:val="20"/>
                <w:color w:val="auto"/>
              </w:rPr>
            </w:pPr>
            <w:r>
              <w:rPr>
                <w:rFonts w:ascii="Arial" w:cs="Arial" w:eastAsia="Arial" w:hAnsi="Arial"/>
                <w:sz w:val="13"/>
                <w:szCs w:val="13"/>
                <w:b w:val="1"/>
                <w:bCs w:val="1"/>
                <w:color w:val="auto"/>
                <w:w w:val="90"/>
              </w:rPr>
              <w:t>Carry Forward Securities</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12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Carry Forward</w:t>
            </w:r>
          </w:p>
        </w:tc>
        <w:tc>
          <w:tcPr>
            <w:tcW w:w="960" w:type="dxa"/>
            <w:vAlign w:val="bottom"/>
            <w:gridSpan w:val="2"/>
            <w:shd w:val="clear" w:color="auto" w:fill="CCEEFF"/>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shd w:val="clear" w:color="auto" w:fill="CCEEFF"/>
          </w:tcPr>
          <w:p>
            <w:pPr>
              <w:jc w:val="center"/>
              <w:ind w:right="40"/>
              <w:spacing w:after="0" w:line="120" w:lineRule="exact"/>
              <w:rPr>
                <w:sz w:val="20"/>
                <w:szCs w:val="20"/>
                <w:color w:val="auto"/>
              </w:rPr>
            </w:pPr>
            <w:r>
              <w:rPr>
                <w:rFonts w:ascii="Arial" w:cs="Arial" w:eastAsia="Arial" w:hAnsi="Arial"/>
                <w:sz w:val="13"/>
                <w:szCs w:val="13"/>
                <w:color w:val="auto"/>
                <w:w w:val="88"/>
              </w:rPr>
              <w:t>Common Stock,</w:t>
            </w:r>
          </w:p>
        </w:tc>
        <w:tc>
          <w:tcPr>
            <w:tcW w:w="680" w:type="dxa"/>
            <w:vAlign w:val="bottom"/>
            <w:gridSpan w:val="2"/>
            <w:shd w:val="clear" w:color="auto" w:fill="CCEEFF"/>
          </w:tcPr>
          <w:p>
            <w:pPr>
              <w:jc w:val="center"/>
              <w:ind w:right="40"/>
              <w:spacing w:after="0" w:line="120" w:lineRule="exact"/>
              <w:rPr>
                <w:sz w:val="20"/>
                <w:szCs w:val="20"/>
                <w:color w:val="auto"/>
              </w:rPr>
            </w:pPr>
            <w:r>
              <w:rPr>
                <w:rFonts w:ascii="Arial" w:cs="Arial" w:eastAsia="Arial" w:hAnsi="Arial"/>
                <w:sz w:val="13"/>
                <w:szCs w:val="13"/>
                <w:color w:val="auto"/>
                <w:w w:val="85"/>
              </w:rPr>
              <w:t>Other</w:t>
            </w: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Securities</w:t>
            </w: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6"/>
              </w:rPr>
              <w:t>par value $0.0001 per</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40"/>
              <w:spacing w:after="0" w:line="148" w:lineRule="exact"/>
              <w:rPr>
                <w:sz w:val="20"/>
                <w:szCs w:val="20"/>
                <w:color w:val="auto"/>
              </w:rPr>
            </w:pPr>
            <w:r>
              <w:rPr>
                <w:rFonts w:ascii="Arial" w:cs="Arial" w:eastAsia="Arial" w:hAnsi="Arial"/>
                <w:sz w:val="13"/>
                <w:szCs w:val="13"/>
                <w:color w:val="auto"/>
                <w:w w:val="79"/>
              </w:rPr>
              <w:t>share</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8,625,000</w:t>
            </w: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8.21</w:t>
            </w:r>
          </w:p>
        </w:tc>
        <w:tc>
          <w:tcPr>
            <w:tcW w:w="2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70,811,250</w:t>
            </w:r>
          </w:p>
        </w:tc>
        <w:tc>
          <w:tcPr>
            <w:tcW w:w="96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0.00011020</w:t>
            </w:r>
          </w:p>
        </w:tc>
        <w:tc>
          <w:tcPr>
            <w:tcW w:w="1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7,804</w:t>
            </w:r>
          </w:p>
        </w:tc>
        <w:tc>
          <w:tcPr>
            <w:tcW w:w="520" w:type="dxa"/>
            <w:vAlign w:val="bottom"/>
            <w:gridSpan w:val="2"/>
            <w:shd w:val="clear" w:color="auto" w:fill="CCEEFF"/>
          </w:tcPr>
          <w:p>
            <w:pPr>
              <w:jc w:val="center"/>
              <w:ind w:right="40"/>
              <w:spacing w:after="0" w:line="148" w:lineRule="exact"/>
              <w:rPr>
                <w:sz w:val="20"/>
                <w:szCs w:val="20"/>
                <w:color w:val="auto"/>
              </w:rPr>
            </w:pPr>
            <w:r>
              <w:rPr>
                <w:rFonts w:ascii="Arial" w:cs="Arial" w:eastAsia="Arial" w:hAnsi="Arial"/>
                <w:sz w:val="13"/>
                <w:szCs w:val="13"/>
                <w:color w:val="auto"/>
                <w:w w:val="78"/>
              </w:rPr>
              <w:t>S-1</w:t>
            </w:r>
          </w:p>
        </w:tc>
        <w:tc>
          <w:tcPr>
            <w:tcW w:w="146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w w:val="86"/>
              </w:rPr>
              <w:t>333-267979 January 9, 2023</w:t>
            </w:r>
          </w:p>
        </w:tc>
        <w:tc>
          <w:tcPr>
            <w:tcW w:w="1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7,804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tcPr>
          <w:p>
            <w:pPr>
              <w:spacing w:after="0" w:line="120" w:lineRule="exact"/>
              <w:rPr>
                <w:sz w:val="20"/>
                <w:szCs w:val="20"/>
                <w:color w:val="auto"/>
              </w:rPr>
            </w:pPr>
            <w:r>
              <w:rPr>
                <w:rFonts w:ascii="Arial" w:cs="Arial" w:eastAsia="Arial" w:hAnsi="Arial"/>
                <w:sz w:val="13"/>
                <w:szCs w:val="13"/>
                <w:color w:val="auto"/>
              </w:rPr>
              <w:t>Carry Forward</w:t>
            </w:r>
          </w:p>
        </w:tc>
        <w:tc>
          <w:tcPr>
            <w:tcW w:w="960" w:type="dxa"/>
            <w:vAlign w:val="bottom"/>
            <w:gridSpan w:val="2"/>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tcPr>
          <w:p>
            <w:pPr>
              <w:jc w:val="center"/>
              <w:ind w:right="40"/>
              <w:spacing w:after="0" w:line="120" w:lineRule="exact"/>
              <w:rPr>
                <w:sz w:val="20"/>
                <w:szCs w:val="20"/>
                <w:color w:val="auto"/>
              </w:rPr>
            </w:pPr>
            <w:r>
              <w:rPr>
                <w:rFonts w:ascii="Arial" w:cs="Arial" w:eastAsia="Arial" w:hAnsi="Arial"/>
                <w:sz w:val="13"/>
                <w:szCs w:val="13"/>
                <w:color w:val="auto"/>
                <w:w w:val="88"/>
              </w:rPr>
              <w:t>Common Stock,</w:t>
            </w:r>
          </w:p>
        </w:tc>
        <w:tc>
          <w:tcPr>
            <w:tcW w:w="680" w:type="dxa"/>
            <w:vAlign w:val="bottom"/>
            <w:gridSpan w:val="2"/>
          </w:tcPr>
          <w:p>
            <w:pPr>
              <w:jc w:val="center"/>
              <w:ind w:right="40"/>
              <w:spacing w:after="0" w:line="120" w:lineRule="exact"/>
              <w:rPr>
                <w:sz w:val="20"/>
                <w:szCs w:val="20"/>
                <w:color w:val="auto"/>
              </w:rPr>
            </w:pPr>
            <w:r>
              <w:rPr>
                <w:rFonts w:ascii="Arial" w:cs="Arial" w:eastAsia="Arial" w:hAnsi="Arial"/>
                <w:sz w:val="13"/>
                <w:szCs w:val="13"/>
                <w:color w:val="auto"/>
                <w:w w:val="85"/>
              </w:rPr>
              <w:t>Other</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ind w:left="140"/>
              <w:spacing w:after="0" w:line="134" w:lineRule="exact"/>
              <w:rPr>
                <w:sz w:val="20"/>
                <w:szCs w:val="20"/>
                <w:color w:val="auto"/>
              </w:rPr>
            </w:pPr>
            <w:r>
              <w:rPr>
                <w:rFonts w:ascii="Arial" w:cs="Arial" w:eastAsia="Arial" w:hAnsi="Arial"/>
                <w:sz w:val="13"/>
                <w:szCs w:val="13"/>
                <w:color w:val="auto"/>
              </w:rPr>
              <w:t>Securities</w:t>
            </w: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6"/>
              </w:rPr>
              <w:t>par value $0.0001 per</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jc w:val="center"/>
              <w:ind w:right="40"/>
              <w:spacing w:after="0" w:line="148" w:lineRule="exact"/>
              <w:rPr>
                <w:sz w:val="20"/>
                <w:szCs w:val="20"/>
                <w:color w:val="auto"/>
              </w:rPr>
            </w:pPr>
            <w:r>
              <w:rPr>
                <w:rFonts w:ascii="Arial" w:cs="Arial" w:eastAsia="Arial" w:hAnsi="Arial"/>
                <w:sz w:val="13"/>
                <w:szCs w:val="13"/>
                <w:color w:val="auto"/>
                <w:w w:val="79"/>
              </w:rPr>
              <w:t>share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7,625,000</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11.50</w:t>
            </w:r>
          </w:p>
        </w:tc>
        <w:tc>
          <w:tcPr>
            <w:tcW w:w="2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87,687,500</w:t>
            </w:r>
          </w:p>
        </w:tc>
        <w:tc>
          <w:tcPr>
            <w:tcW w:w="96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0.00011020</w:t>
            </w:r>
          </w:p>
        </w:tc>
        <w:tc>
          <w:tcPr>
            <w:tcW w:w="1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9,664</w:t>
            </w:r>
          </w:p>
        </w:tc>
        <w:tc>
          <w:tcPr>
            <w:tcW w:w="520" w:type="dxa"/>
            <w:vAlign w:val="bottom"/>
            <w:gridSpan w:val="2"/>
          </w:tcPr>
          <w:p>
            <w:pPr>
              <w:jc w:val="center"/>
              <w:ind w:right="40"/>
              <w:spacing w:after="0" w:line="148" w:lineRule="exact"/>
              <w:rPr>
                <w:sz w:val="20"/>
                <w:szCs w:val="20"/>
                <w:color w:val="auto"/>
              </w:rPr>
            </w:pPr>
            <w:r>
              <w:rPr>
                <w:rFonts w:ascii="Arial" w:cs="Arial" w:eastAsia="Arial" w:hAnsi="Arial"/>
                <w:sz w:val="13"/>
                <w:szCs w:val="13"/>
                <w:color w:val="auto"/>
                <w:w w:val="78"/>
              </w:rPr>
              <w:t>S-1</w:t>
            </w:r>
          </w:p>
        </w:tc>
        <w:tc>
          <w:tcPr>
            <w:tcW w:w="1460" w:type="dxa"/>
            <w:vAlign w:val="bottom"/>
            <w:gridSpan w:val="3"/>
          </w:tcPr>
          <w:p>
            <w:pPr>
              <w:spacing w:after="0" w:line="148" w:lineRule="exact"/>
              <w:rPr>
                <w:sz w:val="20"/>
                <w:szCs w:val="20"/>
                <w:color w:val="auto"/>
              </w:rPr>
            </w:pPr>
            <w:r>
              <w:rPr>
                <w:rFonts w:ascii="Arial" w:cs="Arial" w:eastAsia="Arial" w:hAnsi="Arial"/>
                <w:sz w:val="13"/>
                <w:szCs w:val="13"/>
                <w:color w:val="auto"/>
                <w:w w:val="86"/>
              </w:rPr>
              <w:t>333-267979 January 9, 2023</w:t>
            </w:r>
          </w:p>
        </w:tc>
        <w:tc>
          <w:tcPr>
            <w:tcW w:w="1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9,664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Carry Forward</w:t>
            </w:r>
          </w:p>
        </w:tc>
        <w:tc>
          <w:tcPr>
            <w:tcW w:w="960" w:type="dxa"/>
            <w:vAlign w:val="bottom"/>
            <w:gridSpan w:val="2"/>
            <w:shd w:val="clear" w:color="auto" w:fill="CCEEFF"/>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3"/>
                <w:szCs w:val="13"/>
                <w:color w:val="auto"/>
              </w:rPr>
              <w:t>Common Stock,</w:t>
            </w:r>
          </w:p>
        </w:tc>
        <w:tc>
          <w:tcPr>
            <w:tcW w:w="680" w:type="dxa"/>
            <w:vAlign w:val="bottom"/>
            <w:gridSpan w:val="2"/>
            <w:shd w:val="clear" w:color="auto" w:fill="CCEEFF"/>
          </w:tcPr>
          <w:p>
            <w:pPr>
              <w:jc w:val="center"/>
              <w:ind w:right="40"/>
              <w:spacing w:after="0" w:line="120" w:lineRule="exact"/>
              <w:rPr>
                <w:sz w:val="20"/>
                <w:szCs w:val="20"/>
                <w:color w:val="auto"/>
              </w:rPr>
            </w:pPr>
            <w:r>
              <w:rPr>
                <w:rFonts w:ascii="Arial" w:cs="Arial" w:eastAsia="Arial" w:hAnsi="Arial"/>
                <w:sz w:val="13"/>
                <w:szCs w:val="13"/>
                <w:color w:val="auto"/>
                <w:w w:val="85"/>
              </w:rPr>
              <w:t>Other</w:t>
            </w: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Securities</w:t>
            </w: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6"/>
              </w:rPr>
              <w:t>par value $0.0001 per</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40"/>
              <w:spacing w:after="0" w:line="148" w:lineRule="exact"/>
              <w:rPr>
                <w:sz w:val="20"/>
                <w:szCs w:val="20"/>
                <w:color w:val="auto"/>
              </w:rPr>
            </w:pPr>
            <w:r>
              <w:rPr>
                <w:rFonts w:ascii="Arial" w:cs="Arial" w:eastAsia="Arial" w:hAnsi="Arial"/>
                <w:sz w:val="13"/>
                <w:szCs w:val="13"/>
                <w:color w:val="auto"/>
                <w:w w:val="79"/>
              </w:rPr>
              <w:t>share</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46,949,333</w:t>
            </w: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2.14</w:t>
            </w:r>
          </w:p>
        </w:tc>
        <w:tc>
          <w:tcPr>
            <w:tcW w:w="2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8"/>
              </w:rPr>
              <w:t>100,471,572.62</w:t>
            </w:r>
          </w:p>
        </w:tc>
        <w:tc>
          <w:tcPr>
            <w:tcW w:w="96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0.00011020</w:t>
            </w:r>
          </w:p>
        </w:tc>
        <w:tc>
          <w:tcPr>
            <w:tcW w:w="1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11,072</w:t>
            </w:r>
          </w:p>
        </w:tc>
        <w:tc>
          <w:tcPr>
            <w:tcW w:w="520" w:type="dxa"/>
            <w:vAlign w:val="bottom"/>
            <w:gridSpan w:val="2"/>
            <w:shd w:val="clear" w:color="auto" w:fill="CCEEFF"/>
          </w:tcPr>
          <w:p>
            <w:pPr>
              <w:jc w:val="center"/>
              <w:ind w:right="40"/>
              <w:spacing w:after="0" w:line="148" w:lineRule="exact"/>
              <w:rPr>
                <w:sz w:val="20"/>
                <w:szCs w:val="20"/>
                <w:color w:val="auto"/>
              </w:rPr>
            </w:pPr>
            <w:r>
              <w:rPr>
                <w:rFonts w:ascii="Arial" w:cs="Arial" w:eastAsia="Arial" w:hAnsi="Arial"/>
                <w:sz w:val="13"/>
                <w:szCs w:val="13"/>
                <w:color w:val="auto"/>
                <w:w w:val="78"/>
              </w:rPr>
              <w:t>S-1</w:t>
            </w:r>
          </w:p>
        </w:tc>
        <w:tc>
          <w:tcPr>
            <w:tcW w:w="146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w w:val="86"/>
              </w:rPr>
              <w:t>333-267979 January 9, 2023</w:t>
            </w:r>
          </w:p>
        </w:tc>
        <w:tc>
          <w:tcPr>
            <w:tcW w:w="1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11,072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tcPr>
          <w:p>
            <w:pPr>
              <w:spacing w:after="0" w:line="120" w:lineRule="exact"/>
              <w:rPr>
                <w:sz w:val="20"/>
                <w:szCs w:val="20"/>
                <w:color w:val="auto"/>
              </w:rPr>
            </w:pPr>
            <w:r>
              <w:rPr>
                <w:rFonts w:ascii="Arial" w:cs="Arial" w:eastAsia="Arial" w:hAnsi="Arial"/>
                <w:sz w:val="13"/>
                <w:szCs w:val="13"/>
                <w:color w:val="auto"/>
              </w:rPr>
              <w:t>Carry Forward</w:t>
            </w:r>
          </w:p>
        </w:tc>
        <w:tc>
          <w:tcPr>
            <w:tcW w:w="960" w:type="dxa"/>
            <w:vAlign w:val="bottom"/>
            <w:gridSpan w:val="2"/>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tcPr>
          <w:p>
            <w:pPr>
              <w:ind w:left="160"/>
              <w:spacing w:after="0" w:line="120" w:lineRule="exact"/>
              <w:rPr>
                <w:sz w:val="20"/>
                <w:szCs w:val="20"/>
                <w:color w:val="auto"/>
              </w:rPr>
            </w:pPr>
            <w:r>
              <w:rPr>
                <w:rFonts w:ascii="Arial" w:cs="Arial" w:eastAsia="Arial" w:hAnsi="Arial"/>
                <w:sz w:val="13"/>
                <w:szCs w:val="13"/>
                <w:color w:val="auto"/>
              </w:rPr>
              <w:t>Common Stock,</w:t>
            </w:r>
          </w:p>
        </w:tc>
        <w:tc>
          <w:tcPr>
            <w:tcW w:w="680" w:type="dxa"/>
            <w:vAlign w:val="bottom"/>
            <w:gridSpan w:val="2"/>
          </w:tcPr>
          <w:p>
            <w:pPr>
              <w:jc w:val="center"/>
              <w:ind w:right="40"/>
              <w:spacing w:after="0" w:line="120" w:lineRule="exact"/>
              <w:rPr>
                <w:sz w:val="20"/>
                <w:szCs w:val="20"/>
                <w:color w:val="auto"/>
              </w:rPr>
            </w:pPr>
            <w:r>
              <w:rPr>
                <w:rFonts w:ascii="Arial" w:cs="Arial" w:eastAsia="Arial" w:hAnsi="Arial"/>
                <w:sz w:val="13"/>
                <w:szCs w:val="13"/>
                <w:color w:val="auto"/>
                <w:w w:val="85"/>
              </w:rPr>
              <w:t>Other</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ind w:left="140"/>
              <w:spacing w:after="0" w:line="134" w:lineRule="exact"/>
              <w:rPr>
                <w:sz w:val="20"/>
                <w:szCs w:val="20"/>
                <w:color w:val="auto"/>
              </w:rPr>
            </w:pPr>
            <w:r>
              <w:rPr>
                <w:rFonts w:ascii="Arial" w:cs="Arial" w:eastAsia="Arial" w:hAnsi="Arial"/>
                <w:sz w:val="13"/>
                <w:szCs w:val="13"/>
                <w:color w:val="auto"/>
              </w:rPr>
              <w:t>Securities</w:t>
            </w: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6"/>
              </w:rPr>
              <w:t>par value $0.0001 per</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jc w:val="center"/>
              <w:ind w:right="40"/>
              <w:spacing w:after="0" w:line="148" w:lineRule="exact"/>
              <w:rPr>
                <w:sz w:val="20"/>
                <w:szCs w:val="20"/>
                <w:color w:val="auto"/>
              </w:rPr>
            </w:pPr>
            <w:r>
              <w:rPr>
                <w:rFonts w:ascii="Arial" w:cs="Arial" w:eastAsia="Arial" w:hAnsi="Arial"/>
                <w:sz w:val="13"/>
                <w:szCs w:val="13"/>
                <w:color w:val="auto"/>
                <w:w w:val="79"/>
              </w:rPr>
              <w:t>share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1,199,991</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3.71</w:t>
            </w:r>
          </w:p>
        </w:tc>
        <w:tc>
          <w:tcPr>
            <w:tcW w:w="2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4,451,966.61</w:t>
            </w:r>
          </w:p>
        </w:tc>
        <w:tc>
          <w:tcPr>
            <w:tcW w:w="96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0.00011020</w:t>
            </w:r>
          </w:p>
        </w:tc>
        <w:tc>
          <w:tcPr>
            <w:tcW w:w="1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490.60</w:t>
            </w:r>
          </w:p>
        </w:tc>
        <w:tc>
          <w:tcPr>
            <w:tcW w:w="520" w:type="dxa"/>
            <w:vAlign w:val="bottom"/>
            <w:gridSpan w:val="2"/>
          </w:tcPr>
          <w:p>
            <w:pPr>
              <w:jc w:val="center"/>
              <w:ind w:right="40"/>
              <w:spacing w:after="0" w:line="148" w:lineRule="exact"/>
              <w:rPr>
                <w:sz w:val="20"/>
                <w:szCs w:val="20"/>
                <w:color w:val="auto"/>
              </w:rPr>
            </w:pPr>
            <w:r>
              <w:rPr>
                <w:rFonts w:ascii="Arial" w:cs="Arial" w:eastAsia="Arial" w:hAnsi="Arial"/>
                <w:sz w:val="13"/>
                <w:szCs w:val="13"/>
                <w:color w:val="auto"/>
                <w:w w:val="78"/>
              </w:rPr>
              <w:t>S-1</w:t>
            </w:r>
          </w:p>
        </w:tc>
        <w:tc>
          <w:tcPr>
            <w:tcW w:w="1460" w:type="dxa"/>
            <w:vAlign w:val="bottom"/>
            <w:gridSpan w:val="3"/>
          </w:tcPr>
          <w:p>
            <w:pPr>
              <w:spacing w:after="0" w:line="148" w:lineRule="exact"/>
              <w:rPr>
                <w:sz w:val="20"/>
                <w:szCs w:val="20"/>
                <w:color w:val="auto"/>
              </w:rPr>
            </w:pPr>
            <w:r>
              <w:rPr>
                <w:rFonts w:ascii="Arial" w:cs="Arial" w:eastAsia="Arial" w:hAnsi="Arial"/>
                <w:sz w:val="13"/>
                <w:szCs w:val="13"/>
                <w:color w:val="auto"/>
                <w:w w:val="86"/>
              </w:rPr>
              <w:t>333-267979 January 9, 2023</w:t>
            </w:r>
          </w:p>
        </w:tc>
        <w:tc>
          <w:tcPr>
            <w:tcW w:w="1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490.60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Carry Forward</w:t>
            </w:r>
          </w:p>
        </w:tc>
        <w:tc>
          <w:tcPr>
            <w:tcW w:w="960" w:type="dxa"/>
            <w:vAlign w:val="bottom"/>
            <w:gridSpan w:val="2"/>
            <w:shd w:val="clear" w:color="auto" w:fill="CCEEFF"/>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shd w:val="clear" w:color="auto" w:fill="CCEEFF"/>
          </w:tcPr>
          <w:p>
            <w:pPr>
              <w:jc w:val="center"/>
              <w:ind w:right="40"/>
              <w:spacing w:after="0" w:line="120" w:lineRule="exact"/>
              <w:rPr>
                <w:sz w:val="20"/>
                <w:szCs w:val="20"/>
                <w:color w:val="auto"/>
              </w:rPr>
            </w:pPr>
            <w:r>
              <w:rPr>
                <w:rFonts w:ascii="Arial" w:cs="Arial" w:eastAsia="Arial" w:hAnsi="Arial"/>
                <w:sz w:val="13"/>
                <w:szCs w:val="13"/>
                <w:color w:val="auto"/>
                <w:w w:val="85"/>
              </w:rPr>
              <w:t>Warrants to purchase</w:t>
            </w:r>
          </w:p>
        </w:tc>
        <w:tc>
          <w:tcPr>
            <w:tcW w:w="680" w:type="dxa"/>
            <w:vAlign w:val="bottom"/>
            <w:gridSpan w:val="2"/>
            <w:shd w:val="clear" w:color="auto" w:fill="CCEEFF"/>
          </w:tcPr>
          <w:p>
            <w:pPr>
              <w:jc w:val="center"/>
              <w:ind w:right="40"/>
              <w:spacing w:after="0" w:line="120" w:lineRule="exact"/>
              <w:rPr>
                <w:sz w:val="20"/>
                <w:szCs w:val="20"/>
                <w:color w:val="auto"/>
              </w:rPr>
            </w:pPr>
            <w:r>
              <w:rPr>
                <w:rFonts w:ascii="Arial" w:cs="Arial" w:eastAsia="Arial" w:hAnsi="Arial"/>
                <w:sz w:val="13"/>
                <w:szCs w:val="13"/>
                <w:color w:val="auto"/>
                <w:w w:val="85"/>
              </w:rPr>
              <w:t>Other</w:t>
            </w: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Securities</w:t>
            </w: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5"/>
              </w:rPr>
              <w:t>shares of</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40"/>
              <w:spacing w:after="0" w:line="148" w:lineRule="exact"/>
              <w:rPr>
                <w:sz w:val="20"/>
                <w:szCs w:val="20"/>
                <w:color w:val="auto"/>
              </w:rPr>
            </w:pPr>
            <w:r>
              <w:rPr>
                <w:rFonts w:ascii="Arial" w:cs="Arial" w:eastAsia="Arial" w:hAnsi="Arial"/>
                <w:sz w:val="13"/>
                <w:szCs w:val="13"/>
                <w:color w:val="auto"/>
                <w:w w:val="87"/>
              </w:rPr>
              <w:t>Common Stock</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7,625,000</w:t>
            </w: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11.50</w:t>
            </w:r>
          </w:p>
        </w:tc>
        <w:tc>
          <w:tcPr>
            <w:tcW w:w="2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6"/>
              </w:rPr>
              <w:t>87,687,500.00</w:t>
            </w:r>
          </w:p>
        </w:tc>
        <w:tc>
          <w:tcPr>
            <w:tcW w:w="96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0.00011020</w:t>
            </w:r>
          </w:p>
        </w:tc>
        <w:tc>
          <w:tcPr>
            <w:tcW w:w="1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9,664</w:t>
            </w:r>
          </w:p>
        </w:tc>
        <w:tc>
          <w:tcPr>
            <w:tcW w:w="520" w:type="dxa"/>
            <w:vAlign w:val="bottom"/>
            <w:gridSpan w:val="2"/>
            <w:shd w:val="clear" w:color="auto" w:fill="CCEEFF"/>
          </w:tcPr>
          <w:p>
            <w:pPr>
              <w:jc w:val="center"/>
              <w:ind w:right="40"/>
              <w:spacing w:after="0" w:line="148" w:lineRule="exact"/>
              <w:rPr>
                <w:sz w:val="20"/>
                <w:szCs w:val="20"/>
                <w:color w:val="auto"/>
              </w:rPr>
            </w:pPr>
            <w:r>
              <w:rPr>
                <w:rFonts w:ascii="Arial" w:cs="Arial" w:eastAsia="Arial" w:hAnsi="Arial"/>
                <w:sz w:val="13"/>
                <w:szCs w:val="13"/>
                <w:color w:val="auto"/>
                <w:w w:val="78"/>
              </w:rPr>
              <w:t>S-1</w:t>
            </w:r>
          </w:p>
        </w:tc>
        <w:tc>
          <w:tcPr>
            <w:tcW w:w="146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w w:val="86"/>
              </w:rPr>
              <w:t>333-267979 January 9, 2023</w:t>
            </w:r>
          </w:p>
        </w:tc>
        <w:tc>
          <w:tcPr>
            <w:tcW w:w="1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9,664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tcPr>
          <w:p>
            <w:pPr>
              <w:spacing w:after="0" w:line="120" w:lineRule="exact"/>
              <w:rPr>
                <w:sz w:val="20"/>
                <w:szCs w:val="20"/>
                <w:color w:val="auto"/>
              </w:rPr>
            </w:pPr>
            <w:r>
              <w:rPr>
                <w:rFonts w:ascii="Arial" w:cs="Arial" w:eastAsia="Arial" w:hAnsi="Arial"/>
                <w:sz w:val="13"/>
                <w:szCs w:val="13"/>
                <w:color w:val="auto"/>
              </w:rPr>
              <w:t>Carry Forward</w:t>
            </w:r>
          </w:p>
        </w:tc>
        <w:tc>
          <w:tcPr>
            <w:tcW w:w="960" w:type="dxa"/>
            <w:vAlign w:val="bottom"/>
            <w:gridSpan w:val="2"/>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tcPr>
          <w:p>
            <w:pPr>
              <w:ind w:left="160"/>
              <w:spacing w:after="0" w:line="120" w:lineRule="exact"/>
              <w:rPr>
                <w:sz w:val="20"/>
                <w:szCs w:val="20"/>
                <w:color w:val="auto"/>
              </w:rPr>
            </w:pPr>
            <w:r>
              <w:rPr>
                <w:rFonts w:ascii="Arial" w:cs="Arial" w:eastAsia="Arial" w:hAnsi="Arial"/>
                <w:sz w:val="13"/>
                <w:szCs w:val="13"/>
                <w:color w:val="auto"/>
              </w:rPr>
              <w:t>Common Stock,</w:t>
            </w:r>
          </w:p>
        </w:tc>
        <w:tc>
          <w:tcPr>
            <w:tcW w:w="680" w:type="dxa"/>
            <w:vAlign w:val="bottom"/>
            <w:gridSpan w:val="2"/>
          </w:tcPr>
          <w:p>
            <w:pPr>
              <w:jc w:val="center"/>
              <w:ind w:right="40"/>
              <w:spacing w:after="0" w:line="120" w:lineRule="exact"/>
              <w:rPr>
                <w:sz w:val="20"/>
                <w:szCs w:val="20"/>
                <w:color w:val="auto"/>
              </w:rPr>
            </w:pPr>
            <w:r>
              <w:rPr>
                <w:rFonts w:ascii="Arial" w:cs="Arial" w:eastAsia="Arial" w:hAnsi="Arial"/>
                <w:sz w:val="13"/>
                <w:szCs w:val="13"/>
                <w:color w:val="auto"/>
                <w:w w:val="86"/>
              </w:rPr>
              <w:t>457(c)</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ind w:left="140"/>
              <w:spacing w:after="0" w:line="134" w:lineRule="exact"/>
              <w:rPr>
                <w:sz w:val="20"/>
                <w:szCs w:val="20"/>
                <w:color w:val="auto"/>
              </w:rPr>
            </w:pPr>
            <w:r>
              <w:rPr>
                <w:rFonts w:ascii="Arial" w:cs="Arial" w:eastAsia="Arial" w:hAnsi="Arial"/>
                <w:sz w:val="13"/>
                <w:szCs w:val="13"/>
                <w:color w:val="auto"/>
              </w:rPr>
              <w:t>Securities</w:t>
            </w: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6"/>
              </w:rPr>
              <w:t>par value $0.0001 per</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jc w:val="center"/>
              <w:ind w:right="40"/>
              <w:spacing w:after="0" w:line="148" w:lineRule="exact"/>
              <w:rPr>
                <w:sz w:val="20"/>
                <w:szCs w:val="20"/>
                <w:color w:val="auto"/>
              </w:rPr>
            </w:pPr>
            <w:r>
              <w:rPr>
                <w:rFonts w:ascii="Arial" w:cs="Arial" w:eastAsia="Arial" w:hAnsi="Arial"/>
                <w:sz w:val="13"/>
                <w:szCs w:val="13"/>
                <w:color w:val="auto"/>
                <w:w w:val="79"/>
              </w:rPr>
              <w:t>share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400,000</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3.03</w:t>
            </w:r>
          </w:p>
        </w:tc>
        <w:tc>
          <w:tcPr>
            <w:tcW w:w="2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1,212,000</w:t>
            </w:r>
          </w:p>
        </w:tc>
        <w:tc>
          <w:tcPr>
            <w:tcW w:w="96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0.00011020</w:t>
            </w:r>
          </w:p>
        </w:tc>
        <w:tc>
          <w:tcPr>
            <w:tcW w:w="1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133.56</w:t>
            </w:r>
          </w:p>
        </w:tc>
        <w:tc>
          <w:tcPr>
            <w:tcW w:w="520" w:type="dxa"/>
            <w:vAlign w:val="bottom"/>
            <w:gridSpan w:val="2"/>
          </w:tcPr>
          <w:p>
            <w:pPr>
              <w:jc w:val="center"/>
              <w:ind w:right="40"/>
              <w:spacing w:after="0" w:line="148" w:lineRule="exact"/>
              <w:rPr>
                <w:sz w:val="20"/>
                <w:szCs w:val="20"/>
                <w:color w:val="auto"/>
              </w:rPr>
            </w:pPr>
            <w:r>
              <w:rPr>
                <w:rFonts w:ascii="Arial" w:cs="Arial" w:eastAsia="Arial" w:hAnsi="Arial"/>
                <w:sz w:val="13"/>
                <w:szCs w:val="13"/>
                <w:color w:val="auto"/>
                <w:w w:val="78"/>
              </w:rPr>
              <w:t>S-1</w:t>
            </w:r>
          </w:p>
        </w:tc>
        <w:tc>
          <w:tcPr>
            <w:tcW w:w="620" w:type="dxa"/>
            <w:vAlign w:val="bottom"/>
          </w:tcPr>
          <w:p>
            <w:pPr>
              <w:spacing w:after="0" w:line="148" w:lineRule="exact"/>
              <w:rPr>
                <w:sz w:val="20"/>
                <w:szCs w:val="20"/>
                <w:color w:val="auto"/>
              </w:rPr>
            </w:pPr>
            <w:r>
              <w:rPr>
                <w:rFonts w:ascii="Arial" w:cs="Arial" w:eastAsia="Arial" w:hAnsi="Arial"/>
                <w:sz w:val="13"/>
                <w:szCs w:val="13"/>
                <w:color w:val="auto"/>
                <w:w w:val="86"/>
              </w:rPr>
              <w:t>333-271551</w:t>
            </w:r>
          </w:p>
        </w:tc>
        <w:tc>
          <w:tcPr>
            <w:tcW w:w="4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color w:val="auto"/>
                <w:w w:val="88"/>
              </w:rPr>
              <w:t>May 12, 2023</w:t>
            </w:r>
          </w:p>
        </w:tc>
        <w:tc>
          <w:tcPr>
            <w:tcW w:w="1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133.56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Carry Forward</w:t>
            </w:r>
          </w:p>
        </w:tc>
        <w:tc>
          <w:tcPr>
            <w:tcW w:w="960" w:type="dxa"/>
            <w:vAlign w:val="bottom"/>
            <w:gridSpan w:val="2"/>
            <w:shd w:val="clear" w:color="auto" w:fill="CCEEFF"/>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shd w:val="clear" w:color="auto" w:fill="CCEEFF"/>
          </w:tcPr>
          <w:p>
            <w:pPr>
              <w:jc w:val="center"/>
              <w:ind w:right="40"/>
              <w:spacing w:after="0" w:line="120" w:lineRule="exact"/>
              <w:rPr>
                <w:sz w:val="20"/>
                <w:szCs w:val="20"/>
                <w:color w:val="auto"/>
              </w:rPr>
            </w:pPr>
            <w:r>
              <w:rPr>
                <w:rFonts w:ascii="Arial" w:cs="Arial" w:eastAsia="Arial" w:hAnsi="Arial"/>
                <w:sz w:val="13"/>
                <w:szCs w:val="13"/>
                <w:color w:val="auto"/>
                <w:w w:val="88"/>
              </w:rPr>
              <w:t>Common Stock,</w:t>
            </w:r>
          </w:p>
        </w:tc>
        <w:tc>
          <w:tcPr>
            <w:tcW w:w="680" w:type="dxa"/>
            <w:vAlign w:val="bottom"/>
            <w:gridSpan w:val="2"/>
            <w:shd w:val="clear" w:color="auto" w:fill="CCEEFF"/>
          </w:tcPr>
          <w:p>
            <w:pPr>
              <w:jc w:val="center"/>
              <w:ind w:right="40"/>
              <w:spacing w:after="0" w:line="120" w:lineRule="exact"/>
              <w:rPr>
                <w:sz w:val="20"/>
                <w:szCs w:val="20"/>
                <w:color w:val="auto"/>
              </w:rPr>
            </w:pPr>
            <w:r>
              <w:rPr>
                <w:rFonts w:ascii="Arial" w:cs="Arial" w:eastAsia="Arial" w:hAnsi="Arial"/>
                <w:sz w:val="13"/>
                <w:szCs w:val="13"/>
                <w:color w:val="auto"/>
                <w:w w:val="86"/>
              </w:rPr>
              <w:t>457(c)</w:t>
            </w: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Securities</w:t>
            </w: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6"/>
              </w:rPr>
              <w:t>par value $0.0001 per</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40"/>
              <w:spacing w:after="0" w:line="148" w:lineRule="exact"/>
              <w:rPr>
                <w:sz w:val="20"/>
                <w:szCs w:val="20"/>
                <w:color w:val="auto"/>
              </w:rPr>
            </w:pPr>
            <w:r>
              <w:rPr>
                <w:rFonts w:ascii="Arial" w:cs="Arial" w:eastAsia="Arial" w:hAnsi="Arial"/>
                <w:sz w:val="13"/>
                <w:szCs w:val="13"/>
                <w:color w:val="auto"/>
                <w:w w:val="79"/>
              </w:rPr>
              <w:t>share</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4,760,500</w:t>
            </w: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3.96</w:t>
            </w:r>
          </w:p>
        </w:tc>
        <w:tc>
          <w:tcPr>
            <w:tcW w:w="2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18,851,580</w:t>
            </w:r>
          </w:p>
        </w:tc>
        <w:tc>
          <w:tcPr>
            <w:tcW w:w="96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0.00011020</w:t>
            </w:r>
          </w:p>
        </w:tc>
        <w:tc>
          <w:tcPr>
            <w:tcW w:w="1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2,077.44</w:t>
            </w:r>
          </w:p>
        </w:tc>
        <w:tc>
          <w:tcPr>
            <w:tcW w:w="520" w:type="dxa"/>
            <w:vAlign w:val="bottom"/>
            <w:gridSpan w:val="2"/>
            <w:shd w:val="clear" w:color="auto" w:fill="CCEEFF"/>
          </w:tcPr>
          <w:p>
            <w:pPr>
              <w:jc w:val="center"/>
              <w:ind w:right="40"/>
              <w:spacing w:after="0" w:line="148" w:lineRule="exact"/>
              <w:rPr>
                <w:sz w:val="20"/>
                <w:szCs w:val="20"/>
                <w:color w:val="auto"/>
              </w:rPr>
            </w:pPr>
            <w:r>
              <w:rPr>
                <w:rFonts w:ascii="Arial" w:cs="Arial" w:eastAsia="Arial" w:hAnsi="Arial"/>
                <w:sz w:val="13"/>
                <w:szCs w:val="13"/>
                <w:color w:val="auto"/>
                <w:w w:val="78"/>
              </w:rPr>
              <w:t>S-1</w:t>
            </w:r>
          </w:p>
        </w:tc>
        <w:tc>
          <w:tcPr>
            <w:tcW w:w="6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6"/>
              </w:rPr>
              <w:t>333-272913</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July 6, 2023</w:t>
            </w:r>
          </w:p>
        </w:tc>
        <w:tc>
          <w:tcPr>
            <w:tcW w:w="1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2,077.44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tcPr>
          <w:p>
            <w:pPr>
              <w:spacing w:after="0" w:line="120" w:lineRule="exact"/>
              <w:rPr>
                <w:sz w:val="20"/>
                <w:szCs w:val="20"/>
                <w:color w:val="auto"/>
              </w:rPr>
            </w:pPr>
            <w:r>
              <w:rPr>
                <w:rFonts w:ascii="Arial" w:cs="Arial" w:eastAsia="Arial" w:hAnsi="Arial"/>
                <w:sz w:val="13"/>
                <w:szCs w:val="13"/>
                <w:color w:val="auto"/>
              </w:rPr>
              <w:t>Carry Forward</w:t>
            </w:r>
          </w:p>
        </w:tc>
        <w:tc>
          <w:tcPr>
            <w:tcW w:w="960" w:type="dxa"/>
            <w:vAlign w:val="bottom"/>
            <w:gridSpan w:val="2"/>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tcPr>
          <w:p>
            <w:pPr>
              <w:jc w:val="center"/>
              <w:ind w:right="40"/>
              <w:spacing w:after="0" w:line="120" w:lineRule="exact"/>
              <w:rPr>
                <w:sz w:val="20"/>
                <w:szCs w:val="20"/>
                <w:color w:val="auto"/>
              </w:rPr>
            </w:pPr>
            <w:r>
              <w:rPr>
                <w:rFonts w:ascii="Arial" w:cs="Arial" w:eastAsia="Arial" w:hAnsi="Arial"/>
                <w:sz w:val="13"/>
                <w:szCs w:val="13"/>
                <w:color w:val="auto"/>
                <w:w w:val="88"/>
              </w:rPr>
              <w:t>Common Stock,</w:t>
            </w:r>
          </w:p>
        </w:tc>
        <w:tc>
          <w:tcPr>
            <w:tcW w:w="680" w:type="dxa"/>
            <w:vAlign w:val="bottom"/>
            <w:gridSpan w:val="2"/>
          </w:tcPr>
          <w:p>
            <w:pPr>
              <w:jc w:val="center"/>
              <w:ind w:right="40"/>
              <w:spacing w:after="0" w:line="120" w:lineRule="exact"/>
              <w:rPr>
                <w:sz w:val="20"/>
                <w:szCs w:val="20"/>
                <w:color w:val="auto"/>
              </w:rPr>
            </w:pPr>
            <w:r>
              <w:rPr>
                <w:rFonts w:ascii="Arial" w:cs="Arial" w:eastAsia="Arial" w:hAnsi="Arial"/>
                <w:sz w:val="13"/>
                <w:szCs w:val="13"/>
                <w:color w:val="auto"/>
                <w:w w:val="86"/>
              </w:rPr>
              <w:t>457(c)</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Pr>
          <w:p>
            <w:pPr>
              <w:ind w:left="140"/>
              <w:spacing w:after="0" w:line="134" w:lineRule="exact"/>
              <w:rPr>
                <w:sz w:val="20"/>
                <w:szCs w:val="20"/>
                <w:color w:val="auto"/>
              </w:rPr>
            </w:pPr>
            <w:r>
              <w:rPr>
                <w:rFonts w:ascii="Arial" w:cs="Arial" w:eastAsia="Arial" w:hAnsi="Arial"/>
                <w:sz w:val="13"/>
                <w:szCs w:val="13"/>
                <w:color w:val="auto"/>
              </w:rPr>
              <w:t>Securities</w:t>
            </w: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jc w:val="center"/>
              <w:ind w:right="40"/>
              <w:spacing w:after="0" w:line="134" w:lineRule="exact"/>
              <w:rPr>
                <w:sz w:val="20"/>
                <w:szCs w:val="20"/>
                <w:color w:val="auto"/>
              </w:rPr>
            </w:pPr>
            <w:r>
              <w:rPr>
                <w:rFonts w:ascii="Arial" w:cs="Arial" w:eastAsia="Arial" w:hAnsi="Arial"/>
                <w:sz w:val="13"/>
                <w:szCs w:val="13"/>
                <w:color w:val="auto"/>
                <w:w w:val="86"/>
              </w:rPr>
              <w:t>par value $0.0001 per</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jc w:val="center"/>
              <w:ind w:right="40"/>
              <w:spacing w:after="0" w:line="148" w:lineRule="exact"/>
              <w:rPr>
                <w:sz w:val="20"/>
                <w:szCs w:val="20"/>
                <w:color w:val="auto"/>
              </w:rPr>
            </w:pPr>
            <w:r>
              <w:rPr>
                <w:rFonts w:ascii="Arial" w:cs="Arial" w:eastAsia="Arial" w:hAnsi="Arial"/>
                <w:sz w:val="13"/>
                <w:szCs w:val="13"/>
                <w:color w:val="auto"/>
                <w:w w:val="79"/>
              </w:rPr>
              <w:t>share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500,000</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3.96</w:t>
            </w:r>
          </w:p>
        </w:tc>
        <w:tc>
          <w:tcPr>
            <w:tcW w:w="2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1,980,000</w:t>
            </w:r>
          </w:p>
        </w:tc>
        <w:tc>
          <w:tcPr>
            <w:tcW w:w="96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0.00011020</w:t>
            </w:r>
          </w:p>
        </w:tc>
        <w:tc>
          <w:tcPr>
            <w:tcW w:w="1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218.20</w:t>
            </w:r>
          </w:p>
        </w:tc>
        <w:tc>
          <w:tcPr>
            <w:tcW w:w="520" w:type="dxa"/>
            <w:vAlign w:val="bottom"/>
            <w:gridSpan w:val="2"/>
          </w:tcPr>
          <w:p>
            <w:pPr>
              <w:jc w:val="center"/>
              <w:ind w:right="40"/>
              <w:spacing w:after="0" w:line="148" w:lineRule="exact"/>
              <w:rPr>
                <w:sz w:val="20"/>
                <w:szCs w:val="20"/>
                <w:color w:val="auto"/>
              </w:rPr>
            </w:pPr>
            <w:r>
              <w:rPr>
                <w:rFonts w:ascii="Arial" w:cs="Arial" w:eastAsia="Arial" w:hAnsi="Arial"/>
                <w:sz w:val="13"/>
                <w:szCs w:val="13"/>
                <w:color w:val="auto"/>
                <w:w w:val="78"/>
              </w:rPr>
              <w:t>S-1</w:t>
            </w:r>
          </w:p>
        </w:tc>
        <w:tc>
          <w:tcPr>
            <w:tcW w:w="620" w:type="dxa"/>
            <w:vAlign w:val="bottom"/>
          </w:tcPr>
          <w:p>
            <w:pPr>
              <w:spacing w:after="0" w:line="148" w:lineRule="exact"/>
              <w:rPr>
                <w:sz w:val="20"/>
                <w:szCs w:val="20"/>
                <w:color w:val="auto"/>
              </w:rPr>
            </w:pPr>
            <w:r>
              <w:rPr>
                <w:rFonts w:ascii="Arial" w:cs="Arial" w:eastAsia="Arial" w:hAnsi="Arial"/>
                <w:sz w:val="13"/>
                <w:szCs w:val="13"/>
                <w:color w:val="auto"/>
                <w:w w:val="86"/>
              </w:rPr>
              <w:t>333-272913</w:t>
            </w:r>
          </w:p>
        </w:tc>
        <w:tc>
          <w:tcPr>
            <w:tcW w:w="4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color w:val="auto"/>
                <w:w w:val="85"/>
              </w:rPr>
              <w:t>July 6, 2023</w:t>
            </w:r>
          </w:p>
        </w:tc>
        <w:tc>
          <w:tcPr>
            <w:tcW w:w="1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218.20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Carry Forward</w:t>
            </w:r>
          </w:p>
        </w:tc>
        <w:tc>
          <w:tcPr>
            <w:tcW w:w="960" w:type="dxa"/>
            <w:vAlign w:val="bottom"/>
            <w:gridSpan w:val="2"/>
            <w:shd w:val="clear" w:color="auto" w:fill="CCEEFF"/>
          </w:tcPr>
          <w:p>
            <w:pPr>
              <w:jc w:val="center"/>
              <w:ind w:right="60"/>
              <w:spacing w:after="0" w:line="120" w:lineRule="exact"/>
              <w:rPr>
                <w:sz w:val="20"/>
                <w:szCs w:val="20"/>
                <w:color w:val="auto"/>
              </w:rPr>
            </w:pPr>
            <w:r>
              <w:rPr>
                <w:rFonts w:ascii="Arial" w:cs="Arial" w:eastAsia="Arial" w:hAnsi="Arial"/>
                <w:sz w:val="13"/>
                <w:szCs w:val="13"/>
                <w:color w:val="auto"/>
                <w:w w:val="93"/>
              </w:rPr>
              <w:t>Equity</w:t>
            </w:r>
          </w:p>
        </w:tc>
        <w:tc>
          <w:tcPr>
            <w:tcW w:w="122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3"/>
                <w:szCs w:val="13"/>
                <w:color w:val="auto"/>
              </w:rPr>
              <w:t>Common Stock,</w:t>
            </w:r>
          </w:p>
        </w:tc>
        <w:tc>
          <w:tcPr>
            <w:tcW w:w="680" w:type="dxa"/>
            <w:vAlign w:val="bottom"/>
            <w:gridSpan w:val="2"/>
            <w:shd w:val="clear" w:color="auto" w:fill="CCEEFF"/>
          </w:tcPr>
          <w:p>
            <w:pPr>
              <w:jc w:val="center"/>
              <w:ind w:right="40"/>
              <w:spacing w:after="0" w:line="120" w:lineRule="exact"/>
              <w:rPr>
                <w:sz w:val="20"/>
                <w:szCs w:val="20"/>
                <w:color w:val="auto"/>
              </w:rPr>
            </w:pPr>
            <w:r>
              <w:rPr>
                <w:rFonts w:ascii="Arial" w:cs="Arial" w:eastAsia="Arial" w:hAnsi="Arial"/>
                <w:sz w:val="13"/>
                <w:szCs w:val="13"/>
                <w:color w:val="auto"/>
                <w:w w:val="86"/>
              </w:rPr>
              <w:t>457(c)</w:t>
            </w: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Securities</w:t>
            </w: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40"/>
              <w:spacing w:after="0" w:line="134" w:lineRule="exact"/>
              <w:rPr>
                <w:sz w:val="20"/>
                <w:szCs w:val="20"/>
                <w:color w:val="auto"/>
              </w:rPr>
            </w:pPr>
            <w:r>
              <w:rPr>
                <w:rFonts w:ascii="Arial" w:cs="Arial" w:eastAsia="Arial" w:hAnsi="Arial"/>
                <w:sz w:val="13"/>
                <w:szCs w:val="13"/>
                <w:color w:val="auto"/>
                <w:w w:val="86"/>
              </w:rPr>
              <w:t>par value $0.0001 per</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7,920,000</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872.78</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79"/>
              </w:rPr>
              <w:t>share</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2,000,000</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3.96</w:t>
            </w:r>
          </w:p>
        </w:tc>
        <w:tc>
          <w:tcPr>
            <w:tcW w:w="26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9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0.00011020</w:t>
            </w:r>
          </w:p>
        </w:tc>
        <w:tc>
          <w:tcPr>
            <w:tcW w:w="1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52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78"/>
              </w:rPr>
              <w:t>S-1</w:t>
            </w: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333-272913</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July 6, 2023</w:t>
            </w:r>
          </w:p>
        </w:tc>
        <w:tc>
          <w:tcPr>
            <w:tcW w:w="1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872.78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Total Offering Amounts</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389,659,369</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53,815.08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Total Fees Previously Paid</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41,996.58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4"/>
              </w:rPr>
              <w:t>Net Fee Due</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93"/>
              </w:rPr>
              <w:t>11,818.50</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gridSpan w:val="2"/>
            <w:vMerge w:val="continue"/>
            <w:shd w:val="clear" w:color="auto" w:fill="CCEEFF"/>
          </w:tcPr>
          <w:p>
            <w:pPr>
              <w:spacing w:after="0"/>
              <w:rPr>
                <w:sz w:val="2"/>
                <w:szCs w:val="2"/>
                <w:color w:val="auto"/>
              </w:rPr>
            </w:pPr>
          </w:p>
        </w:tc>
        <w:tc>
          <w:tcPr>
            <w:tcW w:w="640" w:type="dxa"/>
            <w:vAlign w:val="bottom"/>
            <w:gridSpan w:val="2"/>
            <w:vMerge w:val="continue"/>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left="320" w:hanging="313"/>
        <w:spacing w:after="0" w:line="283" w:lineRule="auto"/>
        <w:tabs>
          <w:tab w:leader="none" w:pos="32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amount to be registered consists of up to $75,000,000 of an indeterminate amount of Common Stock, preferred stock, debt securities, warrants, rights and/or units. The securities registered also include such unspecified amounts and numbers of shares of Common Stock, preferred stock, debt securities or warrants as may be issued upon conversion of or exchange for preferred stock, debt securities, warrants, units or rights that provide for conversion or exchange. Any securities registered hereunder may be sold separately or together with other securities registered hereunder.</w:t>
      </w:r>
    </w:p>
    <w:p>
      <w:pPr>
        <w:spacing w:after="0" w:line="2" w:lineRule="exact"/>
        <w:rPr>
          <w:rFonts w:ascii="Arial" w:cs="Arial" w:eastAsia="Arial" w:hAnsi="Arial"/>
          <w:sz w:val="16"/>
          <w:szCs w:val="16"/>
          <w:color w:val="auto"/>
        </w:rPr>
      </w:pPr>
    </w:p>
    <w:p>
      <w:pPr>
        <w:jc w:val="both"/>
        <w:ind w:left="320" w:hanging="313"/>
        <w:spacing w:after="0" w:line="263" w:lineRule="auto"/>
        <w:tabs>
          <w:tab w:leader="none" w:pos="32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pursuant to General Instruction II.D of Form S-3 under the Securities Act of 1933, as amended (the “Securities Act”). Separate consideration may or may not be received for securities that are issuable on exercise, conversion or exchange of other securities, or that are issued in units.</w:t>
      </w:r>
    </w:p>
    <w:p>
      <w:pPr>
        <w:spacing w:after="0" w:line="1" w:lineRule="exact"/>
        <w:rPr>
          <w:rFonts w:ascii="Arial" w:cs="Arial" w:eastAsia="Arial" w:hAnsi="Arial"/>
          <w:sz w:val="17"/>
          <w:szCs w:val="17"/>
          <w:color w:val="auto"/>
        </w:rPr>
      </w:pPr>
    </w:p>
    <w:p>
      <w:pPr>
        <w:jc w:val="both"/>
        <w:ind w:left="320" w:hanging="313"/>
        <w:spacing w:after="0" w:line="248" w:lineRule="auto"/>
        <w:tabs>
          <w:tab w:leader="none" w:pos="3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457(c) of the Securities Act, on the basis of the average of the high and low prices for a share of the registrant’s common stock reported on Nasdaq on October 13, 2023, which date is a date within five business days prior to the filing of this prospectus supplement.</w:t>
      </w:r>
    </w:p>
    <w:p>
      <w:pPr>
        <w:spacing w:after="0" w:line="1" w:lineRule="exact"/>
        <w:rPr>
          <w:rFonts w:ascii="Arial" w:cs="Arial" w:eastAsia="Arial" w:hAnsi="Arial"/>
          <w:sz w:val="18"/>
          <w:szCs w:val="18"/>
          <w:color w:val="auto"/>
        </w:rPr>
      </w:pPr>
    </w:p>
    <w:p>
      <w:pPr>
        <w:ind w:left="320" w:hanging="313"/>
        <w:spacing w:after="0" w:line="248" w:lineRule="auto"/>
        <w:tabs>
          <w:tab w:leader="none" w:pos="3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Pursuant to Rule 416 under the Securities Act, this registration statement also covers any additional securities that may be offered or issued in connection with any stock split or stock dividend or pursuant to anti-dilution provisions of any of the securities.</w:t>
      </w:r>
    </w:p>
    <w:p>
      <w:pPr>
        <w:spacing w:after="0" w:line="1" w:lineRule="exact"/>
        <w:rPr>
          <w:rFonts w:ascii="Arial" w:cs="Arial" w:eastAsia="Arial" w:hAnsi="Arial"/>
          <w:sz w:val="18"/>
          <w:szCs w:val="18"/>
          <w:color w:val="auto"/>
        </w:rPr>
      </w:pPr>
    </w:p>
    <w:p>
      <w:pPr>
        <w:jc w:val="both"/>
        <w:ind w:left="320" w:hanging="313"/>
        <w:spacing w:after="0" w:line="266" w:lineRule="auto"/>
        <w:tabs>
          <w:tab w:leader="none" w:pos="32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Pursuant to Rule 457(p) under the Securities Act, the registrant is offsetting the registration fee due under this current registration statement on Form S-3 by $41,996.58, which represents the portion of the registration fee paid with respect to unsold securities that had previously been included in the following: (1) the registrant’s registration statement on Form S-1, as amended (File No. 333-267979), which was originally filed with the Securities and Exchange Commission (the “SEC”) on October 21, 2022 and originally declared effective by the SEC on January 9, 2023, (2) the registrant’s registration statement on Form S-1, as amended (File No. 333-271551), which was originally filed with the SEC on May 1, 2023 and originally declared effective by the SEC on May 12, 2023, and (3) the registrant’s registration statement on Form S-1, as amended (File No. 333-272913), which was originally filed with the SEC on June 23, 2023 and originally declared effective by the SEC on July 6, 2023. Pursuant to Rule 457(p), upon effectiveness of this current registration statement on Form S-3, each Form S-1 will be replaced and automatically withdrawn by the registrant, and any such offering of the unsold securities terminated.</w:t>
      </w:r>
    </w:p>
    <w:sectPr>
      <w:pgSz w:w="11900" w:h="16838" w:orient="portrait"/>
      <w:cols w:equalWidth="0" w:num="1">
        <w:col w:w="11240"/>
      </w:cols>
      <w:pgMar w:left="320" w:top="121" w:right="3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08C9AF"/>
    <w:multiLevelType w:val="hybridMultilevel"/>
    <w:lvl w:ilvl="0">
      <w:lvlJc w:val="left"/>
      <w:lvlText w:val="(%1)"/>
      <w:numFmt w:val="lowerRoman"/>
      <w:start w:val="1"/>
    </w:lvl>
  </w:abstractNum>
  <w:abstractNum w:abstractNumId="1">
    <w:nsid w:val="5B25ACE2"/>
    <w:multiLevelType w:val="hybridMultilevel"/>
    <w:lvl w:ilvl="0">
      <w:lvlJc w:val="left"/>
      <w:lvlText w:val="(%1)"/>
      <w:numFmt w:val="lowerRoman"/>
      <w:start w:val="4"/>
    </w:lvl>
  </w:abstractNum>
  <w:abstractNum w:abstractNumId="2">
    <w:nsid w:val="175DFCF0"/>
    <w:multiLevelType w:val="hybridMultilevel"/>
    <w:lvl w:ilvl="0">
      <w:lvlJc w:val="left"/>
      <w:lvlText w:val="●"/>
      <w:numFmt w:val="bullet"/>
      <w:start w:val="1"/>
    </w:lvl>
  </w:abstractNum>
  <w:abstractNum w:abstractNumId="3">
    <w:nsid w:val="4F97E3E4"/>
    <w:multiLevelType w:val="hybridMultilevel"/>
    <w:lvl w:ilvl="0">
      <w:lvlJc w:val="left"/>
      <w:lvlText w:val="●"/>
      <w:numFmt w:val="bullet"/>
      <w:start w:val="1"/>
    </w:lvl>
  </w:abstractNum>
  <w:abstractNum w:abstractNumId="4">
    <w:nsid w:val="53B0A9E"/>
    <w:multiLevelType w:val="hybridMultilevel"/>
    <w:lvl w:ilvl="0">
      <w:lvlJc w:val="left"/>
      <w:lvlText w:val="●"/>
      <w:numFmt w:val="bullet"/>
      <w:start w:val="1"/>
    </w:lvl>
  </w:abstractNum>
  <w:abstractNum w:abstractNumId="5">
    <w:nsid w:val="34FD6B4F"/>
    <w:multiLevelType w:val="hybridMultilevel"/>
    <w:lvl w:ilvl="0">
      <w:lvlJc w:val="left"/>
      <w:lvlText w:val="●"/>
      <w:numFmt w:val="bullet"/>
      <w:start w:val="1"/>
    </w:lvl>
  </w:abstractNum>
  <w:abstractNum w:abstractNumId="6">
    <w:nsid w:val="5915FF32"/>
    <w:multiLevelType w:val="hybridMultilevel"/>
    <w:lvl w:ilvl="0">
      <w:lvlJc w:val="left"/>
      <w:lvlText w:val="●"/>
      <w:numFmt w:val="bullet"/>
      <w:start w:val="1"/>
    </w:lvl>
  </w:abstractNum>
  <w:abstractNum w:abstractNumId="7">
    <w:nsid w:val="56438D15"/>
    <w:multiLevelType w:val="hybridMultilevel"/>
    <w:lvl w:ilvl="0">
      <w:lvlJc w:val="left"/>
      <w:lvlText w:val="●"/>
      <w:numFmt w:val="bullet"/>
      <w:start w:val="1"/>
    </w:lvl>
  </w:abstractNum>
  <w:abstractNum w:abstractNumId="8">
    <w:nsid w:val="519E3149"/>
    <w:multiLevelType w:val="hybridMultilevel"/>
    <w:lvl w:ilvl="0">
      <w:lvlJc w:val="left"/>
      <w:lvlText w:val="●"/>
      <w:numFmt w:val="bullet"/>
      <w:start w:val="1"/>
    </w:lvl>
  </w:abstractNum>
  <w:abstractNum w:abstractNumId="9">
    <w:nsid w:val="2C6E4AFD"/>
    <w:multiLevelType w:val="hybridMultilevel"/>
    <w:lvl w:ilvl="0">
      <w:lvlJc w:val="left"/>
      <w:lvlText w:val="●"/>
      <w:numFmt w:val="bullet"/>
      <w:start w:val="1"/>
    </w:lvl>
  </w:abstractNum>
  <w:abstractNum w:abstractNumId="10">
    <w:nsid w:val="17A1B582"/>
    <w:multiLevelType w:val="hybridMultilevel"/>
    <w:lvl w:ilvl="0">
      <w:lvlJc w:val="left"/>
      <w:lvlText w:val="●"/>
      <w:numFmt w:val="bullet"/>
      <w:start w:val="1"/>
    </w:lvl>
  </w:abstractNum>
  <w:abstractNum w:abstractNumId="11">
    <w:nsid w:val="4DF72E4E"/>
    <w:multiLevelType w:val="hybridMultilevel"/>
    <w:lvl w:ilvl="0">
      <w:lvlJc w:val="left"/>
      <w:lvlText w:val="●"/>
      <w:numFmt w:val="bullet"/>
      <w:start w:val="1"/>
    </w:lvl>
  </w:abstractNum>
  <w:abstractNum w:abstractNumId="12">
    <w:nsid w:val="5046B5A9"/>
    <w:multiLevelType w:val="hybridMultilevel"/>
    <w:lvl w:ilvl="0">
      <w:lvlJc w:val="left"/>
      <w:lvlText w:val="●"/>
      <w:numFmt w:val="bullet"/>
      <w:start w:val="1"/>
    </w:lvl>
  </w:abstractNum>
  <w:abstractNum w:abstractNumId="13">
    <w:nsid w:val="5D888A08"/>
    <w:multiLevelType w:val="hybridMultilevel"/>
    <w:lvl w:ilvl="0">
      <w:lvlJc w:val="left"/>
      <w:lvlText w:val="●"/>
      <w:numFmt w:val="bullet"/>
      <w:start w:val="1"/>
    </w:lvl>
  </w:abstractNum>
  <w:abstractNum w:abstractNumId="14">
    <w:nsid w:val="2A082C70"/>
    <w:multiLevelType w:val="hybridMultilevel"/>
    <w:lvl w:ilvl="0">
      <w:lvlJc w:val="left"/>
      <w:lvlText w:val="●"/>
      <w:numFmt w:val="bullet"/>
      <w:start w:val="1"/>
    </w:lvl>
  </w:abstractNum>
  <w:abstractNum w:abstractNumId="15">
    <w:nsid w:val="5EC6AFD4"/>
    <w:multiLevelType w:val="hybridMultilevel"/>
    <w:lvl w:ilvl="0">
      <w:lvlJc w:val="left"/>
      <w:lvlText w:val="●"/>
      <w:numFmt w:val="bullet"/>
      <w:start w:val="1"/>
    </w:lvl>
  </w:abstractNum>
  <w:abstractNum w:abstractNumId="16">
    <w:nsid w:val="19E21BB2"/>
    <w:multiLevelType w:val="hybridMultilevel"/>
    <w:lvl w:ilvl="0">
      <w:lvlJc w:val="left"/>
      <w:lvlText w:val="●"/>
      <w:numFmt w:val="bullet"/>
      <w:start w:val="1"/>
    </w:lvl>
  </w:abstractNum>
  <w:abstractNum w:abstractNumId="17">
    <w:nsid w:val="75E0858A"/>
    <w:multiLevelType w:val="hybridMultilevel"/>
    <w:lvl w:ilvl="0">
      <w:lvlJc w:val="left"/>
      <w:lvlText w:val="(%1)"/>
      <w:numFmt w:val="lowerRoman"/>
      <w:start w:val="1"/>
    </w:lvl>
    <w:lvl w:ilvl="1">
      <w:lvlJc w:val="left"/>
      <w:lvlText w:val="%2."/>
      <w:numFmt w:val="lowerLetter"/>
      <w:start w:val="1"/>
    </w:lvl>
  </w:abstractNum>
  <w:abstractNum w:abstractNumId="18">
    <w:nsid w:val="57A61A29"/>
    <w:multiLevelType w:val="hybridMultilevel"/>
    <w:lvl w:ilvl="0">
      <w:lvlJc w:val="left"/>
      <w:lvlText w:val="*"/>
      <w:numFmt w:val="bullet"/>
      <w:start w:val="1"/>
    </w:lvl>
  </w:abstractNum>
  <w:abstractNum w:abstractNumId="19">
    <w:nsid w:val="5399C654"/>
    <w:multiLevelType w:val="hybridMultilevel"/>
    <w:lvl w:ilvl="0">
      <w:lvlJc w:val="left"/>
      <w:lvlText w:val="(%1)"/>
      <w:numFmt w:val="decimal"/>
      <w:start w:val="1"/>
    </w:lvl>
  </w:abstractNum>
  <w:abstractNum w:abstractNumId="20">
    <w:nsid w:val="20EE1348"/>
    <w:multiLevelType w:val="hybridMultilevel"/>
    <w:lvl w:ilvl="0">
      <w:lvlJc w:val="left"/>
      <w:lvlText w:val="(%1)"/>
      <w:numFmt w:val="decimal"/>
      <w:start w:val="2"/>
    </w:lvl>
  </w:abstractNum>
  <w:abstractNum w:abstractNumId="21">
    <w:nsid w:val="4427069A"/>
    <w:multiLevelType w:val="hybridMultilevel"/>
    <w:lvl w:ilvl="0">
      <w:lvlJc w:val="left"/>
      <w:lvlText w:val="(%1)"/>
      <w:numFmt w:val="decimal"/>
      <w:start w:val="13"/>
    </w:lvl>
  </w:abstractNum>
  <w:abstractNum w:abstractNumId="22">
    <w:nsid w:val="B37E80A"/>
    <w:multiLevelType w:val="hybridMultilevel"/>
    <w:lvl w:ilvl="0">
      <w:lvlJc w:val="left"/>
      <w:lvlText w:val="(%1)"/>
      <w:numFmt w:val="decimal"/>
      <w:start w:val="29"/>
    </w:lvl>
  </w:abstractNum>
  <w:abstractNum w:abstractNumId="23">
    <w:nsid w:val="2157F6BC"/>
    <w:multiLevelType w:val="hybridMultilevel"/>
    <w:lvl w:ilvl="0">
      <w:lvlJc w:val="left"/>
      <w:lvlText w:val="●"/>
      <w:numFmt w:val="bullet"/>
      <w:start w:val="1"/>
    </w:lvl>
  </w:abstractNum>
  <w:abstractNum w:abstractNumId="24">
    <w:nsid w:val="704E1DD5"/>
    <w:multiLevelType w:val="hybridMultilevel"/>
    <w:lvl w:ilvl="0">
      <w:lvlJc w:val="left"/>
      <w:lvlText w:val="●"/>
      <w:numFmt w:val="bullet"/>
      <w:start w:val="1"/>
    </w:lvl>
  </w:abstractNum>
  <w:abstractNum w:abstractNumId="25">
    <w:nsid w:val="57D2F10E"/>
    <w:multiLevelType w:val="hybridMultilevel"/>
    <w:lvl w:ilvl="0">
      <w:lvlJc w:val="left"/>
      <w:lvlText w:val="*"/>
      <w:numFmt w:val="bullet"/>
      <w:start w:val="1"/>
    </w:lvl>
  </w:abstractNum>
  <w:abstractNum w:abstractNumId="26">
    <w:nsid w:val="BFFAE18"/>
    <w:multiLevelType w:val="hybridMultilevel"/>
    <w:lvl w:ilvl="0">
      <w:lvlJc w:val="left"/>
      <w:lvlText w:val="(%1)"/>
      <w:numFmt w:val="decimal"/>
      <w:start w:val="1"/>
    </w:lvl>
  </w:abstractNum>
  <w:abstractNum w:abstractNumId="27">
    <w:nsid w:val="E3E47A8"/>
    <w:multiLevelType w:val="hybridMultilevel"/>
    <w:lvl w:ilvl="0">
      <w:lvlJc w:val="left"/>
      <w:lvlText w:val="+"/>
      <w:numFmt w:val="bullet"/>
      <w:start w:val="1"/>
    </w:lvl>
  </w:abstractNum>
  <w:abstractNum w:abstractNumId="28">
    <w:nsid w:val="2E48F044"/>
    <w:multiLevelType w:val="hybridMultilevel"/>
    <w:lvl w:ilvl="0">
      <w:lvlJc w:val="left"/>
      <w:lvlText w:val="*"/>
      <w:numFmt w:val="bullet"/>
      <w:start w:val="1"/>
    </w:lvl>
  </w:abstractNum>
  <w:abstractNum w:abstractNumId="29">
    <w:nsid w:val="49D0FEAC"/>
    <w:multiLevelType w:val="hybridMultilevel"/>
    <w:lvl w:ilvl="0">
      <w:lvlJc w:val="left"/>
      <w:lvlText w:val="**"/>
      <w:numFmt w:val="bullet"/>
      <w:start w:val="1"/>
    </w:lvl>
  </w:abstractNum>
  <w:abstractNum w:abstractNumId="30">
    <w:nsid w:val="4BEE5A5B"/>
    <w:multiLevelType w:val="hybridMultilevel"/>
    <w:lvl w:ilvl="0">
      <w:lvlJc w:val="left"/>
      <w:lvlText w:val="(%1)"/>
      <w:numFmt w:val="lowerLetter"/>
      <w:start w:val="1"/>
    </w:lvl>
  </w:abstractNum>
  <w:abstractNum w:abstractNumId="31">
    <w:nsid w:val="5551B9F3"/>
    <w:multiLevelType w:val="hybridMultilevel"/>
    <w:lvl w:ilvl="0">
      <w:lvlJc w:val="left"/>
      <w:lvlText w:val="(%1)"/>
      <w:numFmt w:val="lowerLetter"/>
      <w:start w:val="1"/>
    </w:lvl>
  </w:abstractNum>
  <w:abstractNum w:abstractNumId="32">
    <w:nsid w:val="24F6AB8E"/>
    <w:multiLevelType w:val="hybridMultilevel"/>
    <w:lvl w:ilvl="0">
      <w:lvlJc w:val="left"/>
      <w:lvlText w:val="(%1)"/>
      <w:numFmt w:val="lowerLetter"/>
      <w:start w:val="2"/>
    </w:lvl>
  </w:abstractNum>
  <w:abstractNum w:abstractNumId="33">
    <w:nsid w:val="634C574C"/>
    <w:multiLevelType w:val="hybridMultilevel"/>
    <w:lvl w:ilvl="0">
      <w:lvlJc w:val="left"/>
      <w:lvlText w:val="(%1)"/>
      <w:numFmt w:val="lowerLetter"/>
      <w:start w:val="15"/>
    </w:lvl>
  </w:abstractNum>
  <w:abstractNum w:abstractNumId="34">
    <w:nsid w:val="24E99DD7"/>
    <w:multiLevelType w:val="hybridMultilevel"/>
    <w:lvl w:ilvl="0">
      <w:lvlJc w:val="left"/>
      <w:lvlText w:val="(%1)"/>
      <w:numFmt w:val="lowerLetter"/>
      <w:start w:val="1"/>
    </w:lvl>
  </w:abstractNum>
  <w:abstractNum w:abstractNumId="35">
    <w:nsid w:val="2A31B62D"/>
    <w:multiLevelType w:val="hybridMultilevel"/>
    <w:lvl w:ilvl="0">
      <w:lvlJc w:val="left"/>
      <w:lvlText w:val="(%1)"/>
      <w:numFmt w:val="lowerLetter"/>
      <w:start w:val="1"/>
    </w:lvl>
  </w:abstractNum>
  <w:abstractNum w:abstractNumId="36">
    <w:nsid w:val="1849C29B"/>
    <w:multiLevelType w:val="hybridMultilevel"/>
    <w:lvl w:ilvl="0">
      <w:lvlJc w:val="left"/>
      <w:lvlText w:val="(%1)"/>
      <w:numFmt w:val="lowerLetter"/>
      <w:start w:val="1"/>
    </w:lvl>
    <w:lvl w:ilvl="1">
      <w:lvlJc w:val="left"/>
      <w:lvlText w:val="(%2)"/>
      <w:numFmt w:val="lowerRoman"/>
      <w:start w:val="1"/>
    </w:lvl>
  </w:abstractNum>
  <w:abstractNum w:abstractNumId="37">
    <w:nsid w:val="7DFF9D09"/>
    <w:multiLevelType w:val="hybridMultilevel"/>
    <w:lvl w:ilvl="0">
      <w:lvlJc w:val="left"/>
      <w:lvlText w:val="(%1)"/>
      <w:numFmt w:val="lowerLetter"/>
      <w:start w:val="5"/>
    </w:lvl>
    <w:lvl w:ilvl="1">
      <w:lvlJc w:val="left"/>
      <w:lvlText w:val="(%2)"/>
      <w:numFmt w:val="lowerRoman"/>
      <w:start w:val="1"/>
    </w:lvl>
  </w:abstractNum>
  <w:abstractNum w:abstractNumId="38">
    <w:nsid w:val="754342"/>
    <w:multiLevelType w:val="hybridMultilevel"/>
    <w:lvl w:ilvl="0">
      <w:lvlJc w:val="left"/>
      <w:lvlText w:val="(%1)"/>
      <w:numFmt w:val="lowerLetter"/>
      <w:start w:val="6"/>
    </w:lvl>
  </w:abstractNum>
  <w:abstractNum w:abstractNumId="39">
    <w:nsid w:val="69E7F3E5"/>
    <w:multiLevelType w:val="hybridMultilevel"/>
    <w:lvl w:ilvl="0">
      <w:lvlJc w:val="left"/>
      <w:lvlText w:val="(%1)"/>
      <w:numFmt w:val="lowerLetter"/>
      <w:start w:val="1"/>
    </w:lvl>
  </w:abstractNum>
  <w:abstractNum w:abstractNumId="40">
    <w:nsid w:val="2A6DE806"/>
    <w:multiLevelType w:val="hybridMultilevel"/>
    <w:lvl w:ilvl="0">
      <w:lvlJc w:val="left"/>
      <w:lvlText w:val="(%1)"/>
      <w:numFmt w:val="lowerLetter"/>
      <w:start w:val="1"/>
    </w:lvl>
  </w:abstractNum>
  <w:abstractNum w:abstractNumId="41">
    <w:nsid w:val="1816F8C4"/>
    <w:multiLevelType w:val="hybridMultilevel"/>
    <w:lvl w:ilvl="0">
      <w:lvlJc w:val="left"/>
      <w:lvlText w:val="(%1)"/>
      <w:numFmt w:val="lowerLetter"/>
      <w:start w:val="1"/>
    </w:lvl>
  </w:abstractNum>
  <w:abstractNum w:abstractNumId="42">
    <w:nsid w:val="37DF2233"/>
    <w:multiLevelType w:val="hybridMultilevel"/>
    <w:lvl w:ilvl="0">
      <w:lvlJc w:val="left"/>
      <w:lvlText w:val="(%1)"/>
      <w:numFmt w:val="lowerLetter"/>
      <w:start w:val="1"/>
    </w:lvl>
  </w:abstractNum>
  <w:abstractNum w:abstractNumId="43">
    <w:nsid w:val="7AB49DAF"/>
    <w:multiLevelType w:val="hybridMultilevel"/>
    <w:lvl w:ilvl="0">
      <w:lvlJc w:val="left"/>
      <w:lvlText w:val="(%1)"/>
      <w:numFmt w:val="lowerLetter"/>
      <w:start w:val="2"/>
    </w:lvl>
  </w:abstractNum>
  <w:abstractNum w:abstractNumId="44">
    <w:nsid w:val="759F82CD"/>
    <w:multiLevelType w:val="hybridMultilevel"/>
    <w:lvl w:ilvl="0">
      <w:lvlJc w:val="left"/>
      <w:lvlText w:val="(%1)"/>
      <w:numFmt w:val="lowerLetter"/>
      <w:start w:val="1"/>
    </w:lvl>
  </w:abstractNum>
  <w:abstractNum w:abstractNumId="45">
    <w:nsid w:val="61E74EA3"/>
    <w:multiLevelType w:val="hybridMultilevel"/>
    <w:lvl w:ilvl="0">
      <w:lvlJc w:val="left"/>
      <w:lvlText w:val="(%1)"/>
      <w:numFmt w:val="lowerLetter"/>
      <w:start w:val="2"/>
    </w:lvl>
    <w:lvl w:ilvl="1">
      <w:lvlJc w:val="left"/>
      <w:lvlText w:val="(%2)"/>
      <w:numFmt w:val="lowerRoman"/>
      <w:start w:val="1"/>
    </w:lvl>
  </w:abstractNum>
  <w:abstractNum w:abstractNumId="46">
    <w:nsid w:val="597B4D84"/>
    <w:multiLevelType w:val="hybridMultilevel"/>
    <w:lvl w:ilvl="0">
      <w:lvlJc w:val="left"/>
      <w:lvlText w:val="(%1)"/>
      <w:numFmt w:val="lowerLetter"/>
      <w:start w:val="8"/>
    </w:lvl>
  </w:abstractNum>
  <w:abstractNum w:abstractNumId="47">
    <w:nsid w:val="F819E7F"/>
    <w:multiLevelType w:val="hybridMultilevel"/>
    <w:lvl w:ilvl="0">
      <w:lvlJc w:val="left"/>
      <w:lvlText w:val="(%1)"/>
      <w:numFmt w:val="lowerLetter"/>
      <w:start w:val="1"/>
    </w:lvl>
  </w:abstractNum>
  <w:abstractNum w:abstractNumId="48">
    <w:nsid w:val="57C7D42D"/>
    <w:multiLevelType w:val="hybridMultilevel"/>
    <w:lvl w:ilvl="0">
      <w:lvlJc w:val="left"/>
      <w:lvlText w:val="(%1)"/>
      <w:numFmt w:val="lowerLetter"/>
      <w:start w:val="9"/>
    </w:lvl>
  </w:abstractNum>
  <w:abstractNum w:abstractNumId="49">
    <w:nsid w:val="312167AD"/>
    <w:multiLevelType w:val="hybridMultilevel"/>
    <w:lvl w:ilvl="0">
      <w:lvlJc w:val="left"/>
      <w:lvlText w:val="(%1)"/>
      <w:numFmt w:val="lowerLetter"/>
      <w:start w:val="1"/>
    </w:lvl>
  </w:abstractNum>
  <w:abstractNum w:abstractNumId="50">
    <w:nsid w:val="631B64D4"/>
    <w:multiLevelType w:val="hybridMultilevel"/>
    <w:lvl w:ilvl="0">
      <w:lvlJc w:val="left"/>
      <w:lvlText w:val="(%1)"/>
      <w:numFmt w:val="lowerLetter"/>
      <w:start w:val="2"/>
    </w:lvl>
  </w:abstractNum>
  <w:abstractNum w:abstractNumId="51">
    <w:nsid w:val="78B5E77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2">
    <w:nsid w:val="75486E47"/>
    <w:multiLevelType w:val="hybridMultilevel"/>
    <w:lvl w:ilvl="0">
      <w:lvlJc w:val="left"/>
      <w:lvlText w:val="(%1)"/>
      <w:numFmt w:val="lowerLetter"/>
      <w:start w:val="2"/>
    </w:lvl>
  </w:abstractNum>
  <w:abstractNum w:abstractNumId="53">
    <w:nsid w:val="6E534CDE"/>
    <w:multiLevelType w:val="hybridMultilevel"/>
    <w:lvl w:ilvl="0">
      <w:lvlJc w:val="left"/>
      <w:lvlText w:val="(%1)"/>
      <w:numFmt w:val="lowerLetter"/>
      <w:start w:val="1"/>
    </w:lvl>
  </w:abstractNum>
  <w:abstractNum w:abstractNumId="54">
    <w:nsid w:val="1A0DDE32"/>
    <w:multiLevelType w:val="hybridMultilevel"/>
    <w:lvl w:ilvl="0">
      <w:lvlJc w:val="left"/>
      <w:lvlText w:val="(%1)"/>
      <w:numFmt w:val="lowerLetter"/>
      <w:start w:val="1"/>
    </w:lvl>
  </w:abstractNum>
  <w:abstractNum w:abstractNumId="55">
    <w:nsid w:val="65968C1C"/>
    <w:multiLevelType w:val="hybridMultilevel"/>
    <w:lvl w:ilvl="0">
      <w:lvlJc w:val="left"/>
      <w:lvlText w:val="(%1)"/>
      <w:numFmt w:val="lowerLetter"/>
      <w:start w:val="4"/>
    </w:lvl>
  </w:abstractNum>
  <w:abstractNum w:abstractNumId="56">
    <w:nsid w:val="46263DEC"/>
    <w:multiLevelType w:val="hybridMultilevel"/>
    <w:lvl w:ilvl="0">
      <w:lvlJc w:val="left"/>
      <w:lvlText w:val="(%1)"/>
      <w:numFmt w:val="lowerLetter"/>
      <w:start w:val="1"/>
    </w:lvl>
  </w:abstractNum>
  <w:abstractNum w:abstractNumId="57">
    <w:nsid w:val="260D8C4A"/>
    <w:multiLevelType w:val="hybridMultilevel"/>
    <w:lvl w:ilvl="0">
      <w:lvlJc w:val="left"/>
      <w:lvlText w:val="(%1)"/>
      <w:numFmt w:val="lowerLetter"/>
      <w:start w:val="1"/>
    </w:lvl>
  </w:abstractNum>
  <w:abstractNum w:abstractNumId="58">
    <w:nsid w:val="73D4D3C4"/>
    <w:multiLevelType w:val="hybridMultilevel"/>
    <w:lvl w:ilvl="0">
      <w:lvlJc w:val="left"/>
      <w:lvlText w:val="(%1)"/>
      <w:numFmt w:val="lowerLetter"/>
      <w:start w:val="1"/>
    </w:lvl>
  </w:abstractNum>
  <w:abstractNum w:abstractNumId="59">
    <w:nsid w:val="746F2E30"/>
    <w:multiLevelType w:val="hybridMultilevel"/>
    <w:lvl w:ilvl="0">
      <w:lvlJc w:val="left"/>
      <w:lvlText w:val="(%1)"/>
      <w:numFmt w:val="lowerLetter"/>
      <w:start w:val="1"/>
    </w:lvl>
  </w:abstractNum>
  <w:abstractNum w:abstractNumId="60">
    <w:nsid w:val="6FDE8AF6"/>
    <w:multiLevelType w:val="hybridMultilevel"/>
    <w:lvl w:ilvl="0">
      <w:lvlJc w:val="left"/>
      <w:lvlText w:val="(%1)"/>
      <w:numFmt w:val="lowerLetter"/>
      <w:start w:val="1"/>
    </w:lvl>
  </w:abstractNum>
  <w:abstractNum w:abstractNumId="61">
    <w:nsid w:val="3FC32E20"/>
    <w:multiLevelType w:val="hybridMultilevel"/>
    <w:lvl w:ilvl="0">
      <w:lvlJc w:val="left"/>
      <w:lvlText w:val="%1."/>
      <w:numFmt w:val="decimal"/>
      <w:start w:val="1"/>
    </w:lvl>
    <w:lvl w:ilvl="1">
      <w:lvlJc w:val="left"/>
      <w:lvlText w:val="(%2)"/>
      <w:numFmt w:val="lowerLetter"/>
      <w:start w:val="1"/>
    </w:lvl>
  </w:abstractNum>
  <w:abstractNum w:abstractNumId="62">
    <w:nsid w:val="49C0E823"/>
    <w:multiLevelType w:val="hybridMultilevel"/>
    <w:lvl w:ilvl="0">
      <w:lvlJc w:val="left"/>
      <w:lvlText w:val="%1"/>
      <w:numFmt w:val="upperLetter"/>
      <w:start w:val="1"/>
    </w:lvl>
    <w:lvl w:ilvl="1">
      <w:lvlJc w:val="left"/>
      <w:lvlText w:val="(%2)"/>
      <w:numFmt w:val="lowerLetter"/>
      <w:start w:val="2"/>
    </w:lvl>
  </w:abstractNum>
  <w:abstractNum w:abstractNumId="63">
    <w:nsid w:val="14D53685"/>
    <w:multiLevelType w:val="hybridMultilevel"/>
    <w:lvl w:ilvl="0">
      <w:lvlJc w:val="left"/>
      <w:lvlText w:val="(%1)"/>
      <w:numFmt w:val="upperLetter"/>
      <w:start w:val="1"/>
    </w:lvl>
    <w:lvl w:ilvl="1">
      <w:lvlJc w:val="left"/>
      <w:lvlText w:val="%2"/>
      <w:numFmt w:val="lowerLetter"/>
      <w:start w:val="1"/>
    </w:lvl>
  </w:abstractNum>
  <w:abstractNum w:abstractNumId="64">
    <w:nsid w:val="230F856C"/>
    <w:multiLevelType w:val="hybridMultilevel"/>
    <w:lvl w:ilvl="0">
      <w:lvlJc w:val="left"/>
      <w:lvlText w:val="(%1)"/>
      <w:numFmt w:val="lowerLetter"/>
      <w:start w:val="4"/>
    </w:lvl>
  </w:abstractNum>
  <w:abstractNum w:abstractNumId="65">
    <w:nsid w:val="6EAA85FB"/>
    <w:multiLevelType w:val="hybridMultilevel"/>
    <w:lvl w:ilvl="0">
      <w:lvlJc w:val="left"/>
      <w:lvlText w:val="(%1)"/>
      <w:numFmt w:val="lowerLetter"/>
      <w:start w:val="5"/>
    </w:lvl>
  </w:abstractNum>
  <w:abstractNum w:abstractNumId="66">
    <w:nsid w:val="3F06ECB2"/>
    <w:multiLevelType w:val="hybridMultilevel"/>
    <w:lvl w:ilvl="0">
      <w:lvlJc w:val="left"/>
      <w:lvlText w:val="%1"/>
      <w:numFmt w:val="lowerLetter"/>
      <w:start w:val="1"/>
    </w:lvl>
    <w:lvl w:ilvl="1">
      <w:lvlJc w:val="left"/>
      <w:lvlText w:val="(%2)"/>
      <w:numFmt w:val="lowerLetter"/>
      <w:start w:val="6"/>
    </w:lvl>
  </w:abstractNum>
  <w:abstractNum w:abstractNumId="67">
    <w:nsid w:val="3B594807"/>
    <w:multiLevelType w:val="hybridMultilevel"/>
    <w:lvl w:ilvl="0">
      <w:lvlJc w:val="left"/>
      <w:lvlText w:val="(%1)"/>
      <w:numFmt w:val="lowerLetter"/>
      <w:start w:val="35"/>
    </w:lvl>
    <w:lvl w:ilvl="1">
      <w:lvlJc w:val="left"/>
      <w:lvlText w:val="%2"/>
      <w:numFmt w:val="lowerLetter"/>
      <w:start w:val="1"/>
    </w:lvl>
  </w:abstractNum>
  <w:abstractNum w:abstractNumId="68">
    <w:nsid w:val="6CAA2304"/>
    <w:multiLevelType w:val="hybridMultilevel"/>
    <w:lvl w:ilvl="0">
      <w:lvlJc w:val="left"/>
      <w:lvlText w:val="(%1)"/>
      <w:numFmt w:val="lowerLetter"/>
      <w:start w:val="25"/>
    </w:lvl>
    <w:lvl w:ilvl="1">
      <w:lvlJc w:val="left"/>
      <w:lvlText w:val="%2"/>
      <w:numFmt w:val="lowerLetter"/>
      <w:start w:val="1"/>
    </w:lvl>
  </w:abstractNum>
  <w:abstractNum w:abstractNumId="69">
    <w:nsid w:val="3F7C2FF4"/>
    <w:multiLevelType w:val="hybridMultilevel"/>
    <w:lvl w:ilvl="0">
      <w:lvlJc w:val="left"/>
      <w:lvlText w:val="%1"/>
      <w:numFmt w:val="decimal"/>
      <w:start w:val="1"/>
    </w:lvl>
    <w:lvl w:ilvl="1">
      <w:lvlJc w:val="left"/>
      <w:lvlText w:val="(%2)"/>
      <w:numFmt w:val="lowerLetter"/>
      <w:start w:val="7"/>
    </w:lvl>
  </w:abstractNum>
  <w:abstractNum w:abstractNumId="70">
    <w:nsid w:val="25413BEC"/>
    <w:multiLevelType w:val="hybridMultilevel"/>
    <w:lvl w:ilvl="0">
      <w:lvlJc w:val="left"/>
      <w:lvlText w:val="%1."/>
      <w:numFmt w:val="decimal"/>
      <w:start w:val="2"/>
    </w:lvl>
    <w:lvl w:ilvl="1">
      <w:lvlJc w:val="left"/>
      <w:lvlText w:val="(%2)"/>
      <w:numFmt w:val="lowerLetter"/>
      <w:start w:val="1"/>
    </w:lvl>
  </w:abstractNum>
  <w:abstractNum w:abstractNumId="71">
    <w:nsid w:val="17180B0B"/>
    <w:multiLevelType w:val="hybridMultilevel"/>
    <w:lvl w:ilvl="0">
      <w:lvlJc w:val="left"/>
      <w:lvlText w:val="(%1)"/>
      <w:numFmt w:val="lowerLetter"/>
      <w:start w:val="2"/>
    </w:lvl>
    <w:lvl w:ilvl="1">
      <w:lvlJc w:val="left"/>
      <w:lvlText w:val="(%2)"/>
      <w:numFmt w:val="lowerRoman"/>
      <w:start w:val="1"/>
    </w:lvl>
  </w:abstractNum>
  <w:abstractNum w:abstractNumId="72">
    <w:nsid w:val="579328B9"/>
    <w:multiLevelType w:val="hybridMultilevel"/>
    <w:lvl w:ilvl="0">
      <w:lvlJc w:val="left"/>
      <w:lvlText w:val="(%1)"/>
      <w:numFmt w:val="lowerRoman"/>
      <w:start w:val="3"/>
    </w:lvl>
  </w:abstractNum>
  <w:abstractNum w:abstractNumId="73">
    <w:nsid w:val="5D205E20"/>
    <w:multiLevelType w:val="hybridMultilevel"/>
    <w:lvl w:ilvl="0">
      <w:lvlJc w:val="left"/>
      <w:lvlText w:val="%1"/>
      <w:numFmt w:val="lowerLetter"/>
      <w:start w:val="1"/>
    </w:lvl>
    <w:lvl w:ilvl="1">
      <w:lvlJc w:val="left"/>
      <w:lvlText w:val="(%2)"/>
      <w:numFmt w:val="lowerLetter"/>
      <w:start w:val="22"/>
    </w:lvl>
  </w:abstractNum>
  <w:abstractNum w:abstractNumId="74">
    <w:nsid w:val="11CCA8BA"/>
    <w:multiLevelType w:val="hybridMultilevel"/>
    <w:lvl w:ilvl="0">
      <w:lvlJc w:val="left"/>
      <w:lvlText w:val="(%1)"/>
      <w:numFmt w:val="lowerLetter"/>
      <w:start w:val="3"/>
    </w:lvl>
    <w:lvl w:ilvl="1">
      <w:lvlJc w:val="left"/>
      <w:lvlText w:val="%2"/>
      <w:numFmt w:val="lowerLetter"/>
      <w:start w:val="1"/>
    </w:lvl>
  </w:abstractNum>
  <w:abstractNum w:abstractNumId="75">
    <w:nsid w:val="4D32AB8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76">
    <w:nsid w:val="3F07ACC3"/>
    <w:multiLevelType w:val="hybridMultilevel"/>
    <w:lvl w:ilvl="0">
      <w:lvlJc w:val="left"/>
      <w:lvlText w:val="(%1)"/>
      <w:numFmt w:val="lowerRoman"/>
      <w:start w:val="2"/>
    </w:lvl>
  </w:abstractNum>
  <w:abstractNum w:abstractNumId="77">
    <w:nsid w:val="6B47F63E"/>
    <w:multiLevelType w:val="hybridMultilevel"/>
    <w:lvl w:ilvl="0">
      <w:lvlJc w:val="left"/>
      <w:lvlText w:val="%1"/>
      <w:numFmt w:val="decimal"/>
      <w:start w:val="1"/>
    </w:lvl>
    <w:lvl w:ilvl="1">
      <w:lvlJc w:val="left"/>
      <w:lvlText w:val="(%2)"/>
      <w:numFmt w:val="lowerLetter"/>
      <w:start w:val="3"/>
    </w:lvl>
  </w:abstractNum>
  <w:abstractNum w:abstractNumId="78">
    <w:nsid w:val="5CB44A05"/>
    <w:multiLevelType w:val="hybridMultilevel"/>
    <w:lvl w:ilvl="0">
      <w:lvlJc w:val="left"/>
      <w:lvlText w:val="%1."/>
      <w:numFmt w:val="decimal"/>
      <w:start w:val="5"/>
    </w:lvl>
    <w:lvl w:ilvl="1">
      <w:lvlJc w:val="left"/>
      <w:lvlText w:val="%2"/>
      <w:numFmt w:val="lowerLetter"/>
      <w:start w:val="1"/>
    </w:lvl>
  </w:abstractNum>
  <w:abstractNum w:abstractNumId="79">
    <w:nsid w:val="16CF80F1"/>
    <w:multiLevelType w:val="hybridMultilevel"/>
    <w:lvl w:ilvl="0">
      <w:lvlJc w:val="left"/>
      <w:lvlText w:val="%1."/>
      <w:numFmt w:val="decimal"/>
      <w:start w:val="7"/>
    </w:lvl>
    <w:lvl w:ilvl="1">
      <w:lvlJc w:val="left"/>
      <w:lvlText w:val="(%2)"/>
      <w:numFmt w:val="lowerLetter"/>
      <w:start w:val="1"/>
    </w:lvl>
  </w:abstractNum>
  <w:abstractNum w:abstractNumId="80">
    <w:nsid w:val="1C695DEC"/>
    <w:multiLevelType w:val="hybridMultilevel"/>
    <w:lvl w:ilvl="0">
      <w:lvlJc w:val="left"/>
      <w:lvlText w:val="%1."/>
      <w:numFmt w:val="decimal"/>
      <w:start w:val="9"/>
    </w:lvl>
  </w:abstractNum>
  <w:abstractNum w:abstractNumId="81">
    <w:nsid w:val="3FCFAED9"/>
    <w:multiLevelType w:val="hybridMultilevel"/>
    <w:lvl w:ilvl="0">
      <w:lvlJc w:val="left"/>
      <w:lvlText w:val="%1."/>
      <w:numFmt w:val="decimal"/>
      <w:start w:val="13"/>
    </w:lvl>
    <w:lvl w:ilvl="1">
      <w:lvlJc w:val="left"/>
      <w:lvlText w:val="(%2)"/>
      <w:numFmt w:val="lowerLetter"/>
      <w:start w:val="1"/>
    </w:lvl>
  </w:abstractNum>
  <w:abstractNum w:abstractNumId="82">
    <w:nsid w:val="F856867"/>
    <w:multiLevelType w:val="hybridMultilevel"/>
    <w:lvl w:ilvl="0">
      <w:lvlJc w:val="left"/>
      <w:lvlText w:val="(%1)"/>
      <w:numFmt w:val="lowerLetter"/>
      <w:start w:val="2"/>
    </w:lvl>
  </w:abstractNum>
  <w:abstractNum w:abstractNumId="83">
    <w:nsid w:val="11B1CC33"/>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84">
    <w:nsid w:val="2E22FBB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85">
    <w:nsid w:val="2993469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86">
    <w:nsid w:val="77485850"/>
    <w:multiLevelType w:val="hybridMultilevel"/>
    <w:lvl w:ilvl="0">
      <w:lvlJc w:val="left"/>
      <w:lvlText w:val="(%1)"/>
      <w:numFmt w:val="lowerLetter"/>
      <w:start w:val="5"/>
    </w:lvl>
  </w:abstractNum>
  <w:abstractNum w:abstractNumId="87">
    <w:nsid w:val="744939A3"/>
    <w:multiLevelType w:val="hybridMultilevel"/>
    <w:lvl w:ilvl="0">
      <w:lvlJc w:val="left"/>
      <w:lvlText w:val="%1"/>
      <w:numFmt w:val="decimal"/>
      <w:start w:val="1"/>
    </w:lvl>
    <w:lvl w:ilvl="1">
      <w:lvlJc w:val="left"/>
      <w:lvlText w:val="(%2)"/>
      <w:numFmt w:val="lowerLetter"/>
      <w:start w:val="9"/>
    </w:lvl>
  </w:abstractNum>
  <w:abstractNum w:abstractNumId="88">
    <w:nsid w:val="4FA0D2E3"/>
    <w:multiLevelType w:val="hybridMultilevel"/>
    <w:lvl w:ilvl="0">
      <w:lvlJc w:val="left"/>
      <w:lvlText w:val="%1."/>
      <w:numFmt w:val="decimal"/>
      <w:start w:val="19"/>
    </w:lvl>
    <w:lvl w:ilvl="1">
      <w:lvlJc w:val="left"/>
      <w:lvlText w:val="(%2)"/>
      <w:numFmt w:val="lowerLetter"/>
      <w:start w:val="1"/>
    </w:lvl>
  </w:abstractNum>
  <w:abstractNum w:abstractNumId="89">
    <w:nsid w:val="6B1D2C14"/>
    <w:multiLevelType w:val="hybridMultilevel"/>
    <w:lvl w:ilvl="0">
      <w:lvlJc w:val="left"/>
      <w:lvlText w:val="(%1)"/>
      <w:numFmt w:val="lowerLetter"/>
      <w:start w:val="5"/>
    </w:lvl>
  </w:abstractNum>
  <w:abstractNum w:abstractNumId="90">
    <w:nsid w:val="68B867D3"/>
    <w:multiLevelType w:val="hybridMultilevel"/>
    <w:lvl w:ilvl="0">
      <w:lvlJc w:val="left"/>
      <w:lvlText w:val="(%1)"/>
      <w:numFmt w:val="lowerLetter"/>
      <w:start w:val="9"/>
    </w:lvl>
  </w:abstractNum>
  <w:abstractNum w:abstractNumId="91">
    <w:nsid w:val="3F7F5DD9"/>
    <w:multiLevelType w:val="hybridMultilevel"/>
    <w:lvl w:ilvl="0">
      <w:lvlJc w:val="left"/>
      <w:lvlText w:val="%1"/>
      <w:numFmt w:val="upperLetter"/>
      <w:start w:val="1"/>
    </w:lvl>
    <w:lvl w:ilvl="1">
      <w:lvlJc w:val="left"/>
      <w:lvlText w:val="(%2)"/>
      <w:numFmt w:val="lowerLetter"/>
      <w:start w:val="14"/>
    </w:lvl>
  </w:abstractNum>
  <w:abstractNum w:abstractNumId="92">
    <w:nsid w:val="2AE05A34"/>
    <w:multiLevelType w:val="hybridMultilevel"/>
    <w:lvl w:ilvl="0">
      <w:lvlJc w:val="left"/>
      <w:lvlText w:val="(%1)"/>
      <w:numFmt w:val="upperLetter"/>
      <w:start w:val="2"/>
    </w:lvl>
    <w:lvl w:ilvl="1">
      <w:lvlJc w:val="left"/>
      <w:lvlText w:val="%2"/>
      <w:numFmt w:val="lowerLetter"/>
      <w:start w:val="1"/>
    </w:lvl>
  </w:abstractNum>
  <w:abstractNum w:abstractNumId="93">
    <w:nsid w:val="32794FF7"/>
    <w:multiLevelType w:val="hybridMultilevel"/>
    <w:lvl w:ilvl="0">
      <w:lvlJc w:val="left"/>
      <w:lvlText w:val="(%1)"/>
      <w:numFmt w:val="lowerLetter"/>
      <w:start w:val="16"/>
    </w:lvl>
  </w:abstractNum>
  <w:abstractNum w:abstractNumId="94">
    <w:nsid w:val="5454945E"/>
    <w:multiLevelType w:val="hybridMultilevel"/>
    <w:lvl w:ilvl="0">
      <w:lvlJc w:val="left"/>
      <w:lvlText w:val="(%1)"/>
      <w:numFmt w:val="lowerLetter"/>
      <w:start w:val="18"/>
    </w:lvl>
  </w:abstractNum>
  <w:abstractNum w:abstractNumId="95">
    <w:nsid w:val="4DEFDFA0"/>
    <w:multiLevelType w:val="hybridMultilevel"/>
    <w:lvl w:ilvl="0">
      <w:lvlJc w:val="left"/>
      <w:lvlText w:val="%1."/>
      <w:numFmt w:val="decimal"/>
      <w:start w:val="2"/>
    </w:lvl>
  </w:abstractNum>
  <w:abstractNum w:abstractNumId="96">
    <w:nsid w:val="2123D5F2"/>
    <w:multiLevelType w:val="hybridMultilevel"/>
    <w:lvl w:ilvl="0">
      <w:lvlJc w:val="left"/>
      <w:lvlText w:val="%1."/>
      <w:numFmt w:val="decimal"/>
      <w:start w:val="1"/>
    </w:lvl>
    <w:lvl w:ilvl="1">
      <w:lvlJc w:val="left"/>
      <w:lvlText w:val="(%2)"/>
      <w:numFmt w:val="lowerLetter"/>
      <w:start w:val="1"/>
    </w:lvl>
  </w:abstractNum>
  <w:abstractNum w:abstractNumId="97">
    <w:nsid w:val="135B8110"/>
    <w:multiLevelType w:val="hybridMultilevel"/>
    <w:lvl w:ilvl="0">
      <w:lvlJc w:val="left"/>
      <w:lvlText w:val="%1"/>
      <w:numFmt w:val="upperLetter"/>
      <w:start w:val="1"/>
    </w:lvl>
    <w:lvl w:ilvl="1">
      <w:lvlJc w:val="left"/>
      <w:lvlText w:val="(%2)"/>
      <w:numFmt w:val="lowerLetter"/>
      <w:start w:val="2"/>
    </w:lvl>
  </w:abstractNum>
  <w:abstractNum w:abstractNumId="98">
    <w:nsid w:val="94927A8"/>
    <w:multiLevelType w:val="hybridMultilevel"/>
    <w:lvl w:ilvl="0">
      <w:lvlJc w:val="left"/>
      <w:lvlText w:val="(%1)"/>
      <w:numFmt w:val="upperLetter"/>
      <w:start w:val="1"/>
    </w:lvl>
    <w:lvl w:ilvl="1">
      <w:lvlJc w:val="left"/>
      <w:lvlText w:val="(%2)"/>
      <w:numFmt w:val="lowerLetter"/>
      <w:start w:val="4"/>
    </w:lvl>
  </w:abstractNum>
  <w:abstractNum w:abstractNumId="99">
    <w:nsid w:val="DCDF8F6"/>
    <w:multiLevelType w:val="hybridMultilevel"/>
    <w:lvl w:ilvl="0">
      <w:lvlJc w:val="left"/>
      <w:lvlText w:val="(%1)"/>
      <w:numFmt w:val="lowerLetter"/>
      <w:start w:val="5"/>
    </w:lvl>
  </w:abstractNum>
  <w:abstractNum w:abstractNumId="100">
    <w:nsid w:val="52D7B105"/>
    <w:multiLevelType w:val="hybridMultilevel"/>
    <w:lvl w:ilvl="0">
      <w:lvlJc w:val="left"/>
      <w:lvlText w:val="%1"/>
      <w:numFmt w:val="lowerLetter"/>
      <w:start w:val="1"/>
    </w:lvl>
    <w:lvl w:ilvl="1">
      <w:lvlJc w:val="left"/>
      <w:lvlText w:val="(%2)"/>
      <w:numFmt w:val="lowerLetter"/>
      <w:start w:val="6"/>
    </w:lvl>
  </w:abstractNum>
  <w:abstractNum w:abstractNumId="101">
    <w:nsid w:val="2E8A6394"/>
    <w:multiLevelType w:val="hybridMultilevel"/>
    <w:lvl w:ilvl="0">
      <w:lvlJc w:val="left"/>
      <w:lvlText w:val="(%1)"/>
      <w:numFmt w:val="lowerLetter"/>
      <w:start w:val="35"/>
    </w:lvl>
    <w:lvl w:ilvl="1">
      <w:lvlJc w:val="left"/>
      <w:lvlText w:val="%2"/>
      <w:numFmt w:val="lowerLetter"/>
      <w:start w:val="1"/>
    </w:lvl>
  </w:abstractNum>
  <w:abstractNum w:abstractNumId="102">
    <w:nsid w:val="24E60401"/>
    <w:multiLevelType w:val="hybridMultilevel"/>
    <w:lvl w:ilvl="0">
      <w:lvlJc w:val="left"/>
      <w:lvlText w:val="(%1)"/>
      <w:numFmt w:val="lowerLetter"/>
      <w:start w:val="25"/>
    </w:lvl>
    <w:lvl w:ilvl="1">
      <w:lvlJc w:val="left"/>
      <w:lvlText w:val="%2"/>
      <w:numFmt w:val="lowerLetter"/>
      <w:start w:val="1"/>
    </w:lvl>
  </w:abstractNum>
  <w:abstractNum w:abstractNumId="103">
    <w:nsid w:val="2A6AD9BE"/>
    <w:multiLevelType w:val="hybridMultilevel"/>
    <w:lvl w:ilvl="0">
      <w:lvlJc w:val="left"/>
      <w:lvlText w:val="%1"/>
      <w:numFmt w:val="decimal"/>
      <w:start w:val="1"/>
    </w:lvl>
    <w:lvl w:ilvl="1">
      <w:lvlJc w:val="left"/>
      <w:lvlText w:val="(%2)"/>
      <w:numFmt w:val="lowerLetter"/>
      <w:start w:val="7"/>
    </w:lvl>
  </w:abstractNum>
  <w:abstractNum w:abstractNumId="104">
    <w:nsid w:val="BAAC1B4"/>
    <w:multiLevelType w:val="hybridMultilevel"/>
    <w:lvl w:ilvl="0">
      <w:lvlJc w:val="left"/>
      <w:lvlText w:val="%1."/>
      <w:numFmt w:val="decimal"/>
      <w:start w:val="2"/>
    </w:lvl>
    <w:lvl w:ilvl="1">
      <w:lvlJc w:val="left"/>
      <w:lvlText w:val="(%2)"/>
      <w:numFmt w:val="lowerLetter"/>
      <w:start w:val="1"/>
    </w:lvl>
  </w:abstractNum>
  <w:abstractNum w:abstractNumId="105">
    <w:nsid w:val="36B2ACBC"/>
    <w:multiLevelType w:val="hybridMultilevel"/>
    <w:lvl w:ilvl="0">
      <w:lvlJc w:val="left"/>
      <w:lvlText w:val="(%1)"/>
      <w:numFmt w:val="lowerRoman"/>
      <w:start w:val="1"/>
    </w:lvl>
  </w:abstractNum>
  <w:abstractNum w:abstractNumId="106">
    <w:nsid w:val="779D8544"/>
    <w:multiLevelType w:val="hybridMultilevel"/>
    <w:lvl w:ilvl="0">
      <w:lvlJc w:val="left"/>
      <w:lvlText w:val="(%1)"/>
      <w:numFmt w:val="lowerRoman"/>
      <w:start w:val="4"/>
    </w:lvl>
  </w:abstractNum>
  <w:abstractNum w:abstractNumId="107">
    <w:nsid w:val="4AB26E78"/>
    <w:multiLevelType w:val="hybridMultilevel"/>
    <w:lvl w:ilvl="0">
      <w:lvlJc w:val="left"/>
      <w:lvlText w:val="%1"/>
      <w:numFmt w:val="lowerLetter"/>
      <w:start w:val="1"/>
    </w:lvl>
    <w:lvl w:ilvl="1">
      <w:lvlJc w:val="left"/>
      <w:lvlText w:val="(%2)"/>
      <w:numFmt w:val="lowerLetter"/>
      <w:start w:val="22"/>
    </w:lvl>
  </w:abstractNum>
  <w:abstractNum w:abstractNumId="108">
    <w:nsid w:val="21FAA2FA"/>
    <w:multiLevelType w:val="hybridMultilevel"/>
    <w:lvl w:ilvl="0">
      <w:lvlJc w:val="left"/>
      <w:lvlText w:val="(%1)"/>
      <w:numFmt w:val="lowerLetter"/>
      <w:start w:val="3"/>
    </w:lvl>
    <w:lvl w:ilvl="1">
      <w:lvlJc w:val="left"/>
      <w:lvlText w:val="%2"/>
      <w:numFmt w:val="lowerLetter"/>
      <w:start w:val="1"/>
    </w:lvl>
  </w:abstractNum>
  <w:abstractNum w:abstractNumId="109">
    <w:nsid w:val="5451CF4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10">
    <w:nsid w:val="6181EF69"/>
    <w:multiLevelType w:val="hybridMultilevel"/>
    <w:lvl w:ilvl="0">
      <w:lvlJc w:val="left"/>
      <w:lvlText w:val="(%1)"/>
      <w:numFmt w:val="lowerRoman"/>
      <w:start w:val="2"/>
    </w:lvl>
  </w:abstractNum>
  <w:abstractNum w:abstractNumId="111">
    <w:nsid w:val="3E6400E6"/>
    <w:multiLevelType w:val="hybridMultilevel"/>
    <w:lvl w:ilvl="0">
      <w:lvlJc w:val="left"/>
      <w:lvlText w:val="%1"/>
      <w:numFmt w:val="decimal"/>
      <w:start w:val="1"/>
    </w:lvl>
    <w:lvl w:ilvl="1">
      <w:lvlJc w:val="left"/>
      <w:lvlText w:val="(%2)"/>
      <w:numFmt w:val="lowerLetter"/>
      <w:start w:val="3"/>
    </w:lvl>
  </w:abstractNum>
  <w:abstractNum w:abstractNumId="112">
    <w:nsid w:val="14217E23"/>
    <w:multiLevelType w:val="hybridMultilevel"/>
    <w:lvl w:ilvl="0">
      <w:lvlJc w:val="left"/>
      <w:lvlText w:val="%1."/>
      <w:numFmt w:val="decimal"/>
      <w:start w:val="5"/>
    </w:lvl>
    <w:lvl w:ilvl="1">
      <w:lvlJc w:val="left"/>
      <w:lvlText w:val="%2"/>
      <w:numFmt w:val="lowerLetter"/>
      <w:start w:val="1"/>
    </w:lvl>
  </w:abstractNum>
  <w:abstractNum w:abstractNumId="113">
    <w:nsid w:val="710757D0"/>
    <w:multiLevelType w:val="hybridMultilevel"/>
    <w:lvl w:ilvl="0">
      <w:lvlJc w:val="left"/>
      <w:lvlText w:val="%1."/>
      <w:numFmt w:val="decimal"/>
      <w:start w:val="7"/>
    </w:lvl>
    <w:lvl w:ilvl="1">
      <w:lvlJc w:val="left"/>
      <w:lvlText w:val="(%2)"/>
      <w:numFmt w:val="lowerLetter"/>
      <w:start w:val="1"/>
    </w:lvl>
  </w:abstractNum>
  <w:abstractNum w:abstractNumId="114">
    <w:nsid w:val="5015CD1A"/>
    <w:multiLevelType w:val="hybridMultilevel"/>
    <w:lvl w:ilvl="0">
      <w:lvlJc w:val="left"/>
      <w:lvlText w:val="%1."/>
      <w:numFmt w:val="decimal"/>
      <w:start w:val="9"/>
    </w:lvl>
  </w:abstractNum>
  <w:abstractNum w:abstractNumId="115">
    <w:nsid w:val="424479DA"/>
    <w:multiLevelType w:val="hybridMultilevel"/>
    <w:lvl w:ilvl="0">
      <w:lvlJc w:val="left"/>
      <w:lvlText w:val="%1."/>
      <w:numFmt w:val="decimal"/>
      <w:start w:val="13"/>
    </w:lvl>
    <w:lvl w:ilvl="1">
      <w:lvlJc w:val="left"/>
      <w:lvlText w:val="(%2)"/>
      <w:numFmt w:val="lowerLetter"/>
      <w:start w:val="1"/>
    </w:lvl>
  </w:abstractNum>
  <w:abstractNum w:abstractNumId="116">
    <w:nsid w:val="1A9A9E69"/>
    <w:multiLevelType w:val="hybridMultilevel"/>
    <w:lvl w:ilvl="0">
      <w:lvlJc w:val="left"/>
      <w:lvlText w:val="(%1)"/>
      <w:numFmt w:val="lowerLetter"/>
      <w:start w:val="5"/>
    </w:lvl>
  </w:abstractNum>
  <w:abstractNum w:abstractNumId="117">
    <w:nsid w:val="475E256A"/>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118">
    <w:nsid w:val="368DB37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19">
    <w:nsid w:val="6A3B714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20">
    <w:nsid w:val="327B517E"/>
    <w:multiLevelType w:val="hybridMultilevel"/>
    <w:lvl w:ilvl="0">
      <w:lvlJc w:val="left"/>
      <w:lvlText w:val="(%1)"/>
      <w:numFmt w:val="lowerLetter"/>
      <w:start w:val="5"/>
    </w:lvl>
  </w:abstractNum>
  <w:abstractNum w:abstractNumId="121">
    <w:nsid w:val="1F461B51"/>
    <w:multiLevelType w:val="hybridMultilevel"/>
    <w:lvl w:ilvl="0">
      <w:lvlJc w:val="left"/>
      <w:lvlText w:val="%1"/>
      <w:numFmt w:val="decimal"/>
      <w:start w:val="1"/>
    </w:lvl>
    <w:lvl w:ilvl="1">
      <w:lvlJc w:val="left"/>
      <w:lvlText w:val="(%2)"/>
      <w:numFmt w:val="lowerLetter"/>
      <w:start w:val="9"/>
    </w:lvl>
  </w:abstractNum>
  <w:abstractNum w:abstractNumId="122">
    <w:nsid w:val="29BACF25"/>
    <w:multiLevelType w:val="hybridMultilevel"/>
    <w:lvl w:ilvl="0">
      <w:lvlJc w:val="left"/>
      <w:lvlText w:val="%1."/>
      <w:numFmt w:val="decimal"/>
      <w:start w:val="19"/>
    </w:lvl>
    <w:lvl w:ilvl="1">
      <w:lvlJc w:val="left"/>
      <w:lvlText w:val="(%2)"/>
      <w:numFmt w:val="lowerLetter"/>
      <w:start w:val="1"/>
    </w:lvl>
  </w:abstractNum>
  <w:abstractNum w:abstractNumId="123">
    <w:nsid w:val="5D5BABB3"/>
    <w:multiLevelType w:val="hybridMultilevel"/>
    <w:lvl w:ilvl="0">
      <w:lvlJc w:val="left"/>
      <w:lvlText w:val="(%1)"/>
      <w:numFmt w:val="lowerLetter"/>
      <w:start w:val="5"/>
    </w:lvl>
  </w:abstractNum>
  <w:abstractNum w:abstractNumId="124">
    <w:nsid w:val="51BF6B48"/>
    <w:multiLevelType w:val="hybridMultilevel"/>
    <w:lvl w:ilvl="0">
      <w:lvlJc w:val="left"/>
      <w:lvlText w:val="(%1)"/>
      <w:numFmt w:val="lowerLetter"/>
      <w:start w:val="9"/>
    </w:lvl>
  </w:abstractNum>
  <w:abstractNum w:abstractNumId="125">
    <w:nsid w:val="7E0F6384"/>
    <w:multiLevelType w:val="hybridMultilevel"/>
    <w:lvl w:ilvl="0">
      <w:lvlJc w:val="left"/>
      <w:lvlText w:val="%1"/>
      <w:numFmt w:val="upperLetter"/>
      <w:start w:val="1"/>
    </w:lvl>
    <w:lvl w:ilvl="1">
      <w:lvlJc w:val="left"/>
      <w:lvlText w:val="(%2)"/>
      <w:numFmt w:val="lowerLetter"/>
      <w:start w:val="14"/>
    </w:lvl>
  </w:abstractNum>
  <w:abstractNum w:abstractNumId="126">
    <w:nsid w:val="2B4B8B53"/>
    <w:multiLevelType w:val="hybridMultilevel"/>
    <w:lvl w:ilvl="0">
      <w:lvlJc w:val="left"/>
      <w:lvlText w:val="(%1)"/>
      <w:numFmt w:val="upperLetter"/>
      <w:start w:val="2"/>
    </w:lvl>
    <w:lvl w:ilvl="1">
      <w:lvlJc w:val="left"/>
      <w:lvlText w:val="%2"/>
      <w:numFmt w:val="lowerLetter"/>
      <w:start w:val="1"/>
    </w:lvl>
  </w:abstractNum>
  <w:abstractNum w:abstractNumId="127">
    <w:nsid w:val="72E3413A"/>
    <w:multiLevelType w:val="hybridMultilevel"/>
    <w:lvl w:ilvl="0">
      <w:lvlJc w:val="left"/>
      <w:lvlText w:val="(%1)"/>
      <w:numFmt w:val="lowerLetter"/>
      <w:start w:val="16"/>
    </w:lvl>
  </w:abstractNum>
  <w:abstractNum w:abstractNumId="128">
    <w:nsid w:val="116AE494"/>
    <w:multiLevelType w:val="hybridMultilevel"/>
    <w:lvl w:ilvl="0">
      <w:lvlJc w:val="left"/>
      <w:lvlText w:val="(%1)"/>
      <w:numFmt w:val="lowerLetter"/>
      <w:start w:val="18"/>
    </w:lvl>
  </w:abstractNum>
  <w:abstractNum w:abstractNumId="129">
    <w:nsid w:val="3494B2FB"/>
    <w:multiLevelType w:val="hybridMultilevel"/>
    <w:lvl w:ilvl="0">
      <w:lvlJc w:val="left"/>
      <w:lvlText w:val="%1."/>
      <w:numFmt w:val="decimal"/>
      <w:start w:val="2"/>
    </w:lvl>
  </w:abstractNum>
  <w:abstractNum w:abstractNumId="130">
    <w:nsid w:val="B13A31"/>
    <w:multiLevelType w:val="hybridMultilevel"/>
    <w:lvl w:ilvl="0">
      <w:lvlJc w:val="left"/>
      <w:lvlText w:val="%1."/>
      <w:numFmt w:val="decimal"/>
      <w:start w:val="1"/>
    </w:lvl>
    <w:lvl w:ilvl="1">
      <w:lvlJc w:val="left"/>
      <w:lvlText w:val="(%2)"/>
      <w:numFmt w:val="lowerLetter"/>
      <w:start w:val="1"/>
    </w:lvl>
  </w:abstractNum>
  <w:abstractNum w:abstractNumId="131">
    <w:nsid w:val="64429599"/>
    <w:multiLevelType w:val="hybridMultilevel"/>
    <w:lvl w:ilvl="0">
      <w:lvlJc w:val="left"/>
      <w:lvlText w:val="%1"/>
      <w:numFmt w:val="upperLetter"/>
      <w:start w:val="1"/>
    </w:lvl>
    <w:lvl w:ilvl="1">
      <w:lvlJc w:val="left"/>
      <w:lvlText w:val="(%2)"/>
      <w:numFmt w:val="lowerLetter"/>
      <w:start w:val="2"/>
    </w:lvl>
  </w:abstractNum>
  <w:abstractNum w:abstractNumId="132">
    <w:nsid w:val="631F1690"/>
    <w:multiLevelType w:val="hybridMultilevel"/>
    <w:lvl w:ilvl="0">
      <w:lvlJc w:val="left"/>
      <w:lvlText w:val="(%1)"/>
      <w:numFmt w:val="upperLetter"/>
      <w:start w:val="1"/>
    </w:lvl>
    <w:lvl w:ilvl="1">
      <w:lvlJc w:val="left"/>
      <w:lvlText w:val="%2"/>
      <w:numFmt w:val="lowerLetter"/>
      <w:start w:val="1"/>
    </w:lvl>
  </w:abstractNum>
  <w:abstractNum w:abstractNumId="133">
    <w:nsid w:val="25973E32"/>
    <w:multiLevelType w:val="hybridMultilevel"/>
    <w:lvl w:ilvl="0">
      <w:lvlJc w:val="left"/>
      <w:lvlText w:val="(%1)"/>
      <w:numFmt w:val="lowerLetter"/>
      <w:start w:val="4"/>
    </w:lvl>
  </w:abstractNum>
  <w:abstractNum w:abstractNumId="134">
    <w:nsid w:val="EAD6F57"/>
    <w:multiLevelType w:val="hybridMultilevel"/>
    <w:lvl w:ilvl="0">
      <w:lvlJc w:val="left"/>
      <w:lvlText w:val="(%1)"/>
      <w:numFmt w:val="lowerLetter"/>
      <w:start w:val="5"/>
    </w:lvl>
  </w:abstractNum>
  <w:abstractNum w:abstractNumId="135">
    <w:nsid w:val="6EC9D844"/>
    <w:multiLevelType w:val="hybridMultilevel"/>
    <w:lvl w:ilvl="0">
      <w:lvlJc w:val="left"/>
      <w:lvlText w:val="%1"/>
      <w:numFmt w:val="lowerLetter"/>
      <w:start w:val="1"/>
    </w:lvl>
    <w:lvl w:ilvl="1">
      <w:lvlJc w:val="left"/>
      <w:lvlText w:val="(%2)"/>
      <w:numFmt w:val="lowerLetter"/>
      <w:start w:val="6"/>
    </w:lvl>
  </w:abstractNum>
  <w:abstractNum w:abstractNumId="136">
    <w:nsid w:val="5C49EAEE"/>
    <w:multiLevelType w:val="hybridMultilevel"/>
    <w:lvl w:ilvl="0">
      <w:lvlJc w:val="left"/>
      <w:lvlText w:val="(%1)"/>
      <w:numFmt w:val="lowerLetter"/>
      <w:start w:val="35"/>
    </w:lvl>
    <w:lvl w:ilvl="1">
      <w:lvlJc w:val="left"/>
      <w:lvlText w:val="%2"/>
      <w:numFmt w:val="lowerLetter"/>
      <w:start w:val="1"/>
    </w:lvl>
  </w:abstractNum>
  <w:abstractNum w:abstractNumId="137">
    <w:nsid w:val="64AF49B"/>
    <w:multiLevelType w:val="hybridMultilevel"/>
    <w:lvl w:ilvl="0">
      <w:lvlJc w:val="left"/>
      <w:lvlText w:val="(%1)"/>
      <w:numFmt w:val="lowerLetter"/>
      <w:start w:val="25"/>
    </w:lvl>
    <w:lvl w:ilvl="1">
      <w:lvlJc w:val="left"/>
      <w:lvlText w:val="%2"/>
      <w:numFmt w:val="lowerLetter"/>
      <w:start w:val="1"/>
    </w:lvl>
  </w:abstractNum>
  <w:abstractNum w:abstractNumId="138">
    <w:nsid w:val="397C46BC"/>
    <w:multiLevelType w:val="hybridMultilevel"/>
    <w:lvl w:ilvl="0">
      <w:lvlJc w:val="left"/>
      <w:lvlText w:val="(%1)"/>
      <w:numFmt w:val="lowerLetter"/>
      <w:start w:val="7"/>
    </w:lvl>
  </w:abstractNum>
  <w:abstractNum w:abstractNumId="139">
    <w:nsid w:val="7E448DE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40">
    <w:nsid w:val="5A9CC3E5"/>
    <w:multiLevelType w:val="hybridMultilevel"/>
    <w:lvl w:ilvl="0">
      <w:lvlJc w:val="left"/>
      <w:lvlText w:val="(%1)"/>
      <w:numFmt w:val="lowerRoman"/>
      <w:start w:val="2"/>
    </w:lvl>
  </w:abstractNum>
  <w:abstractNum w:abstractNumId="141">
    <w:nsid w:val="1AFE3625"/>
    <w:multiLevelType w:val="hybridMultilevel"/>
    <w:lvl w:ilvl="0">
      <w:lvlJc w:val="left"/>
      <w:lvlText w:val="(%1)"/>
      <w:numFmt w:val="lowerRoman"/>
      <w:start w:val="4"/>
    </w:lvl>
  </w:abstractNum>
  <w:abstractNum w:abstractNumId="142">
    <w:nsid w:val="3CA88ECF"/>
    <w:multiLevelType w:val="hybridMultilevel"/>
    <w:lvl w:ilvl="0">
      <w:lvlJc w:val="left"/>
      <w:lvlText w:val="%1"/>
      <w:numFmt w:val="lowerLetter"/>
      <w:start w:val="1"/>
    </w:lvl>
    <w:lvl w:ilvl="1">
      <w:lvlJc w:val="left"/>
      <w:lvlText w:val="(%2)"/>
      <w:numFmt w:val="lowerLetter"/>
      <w:start w:val="22"/>
    </w:lvl>
  </w:abstractNum>
  <w:abstractNum w:abstractNumId="143">
    <w:nsid w:val="6EBE4208"/>
    <w:multiLevelType w:val="hybridMultilevel"/>
    <w:lvl w:ilvl="0">
      <w:lvlJc w:val="left"/>
      <w:lvlText w:val="(%1)"/>
      <w:numFmt w:val="lowerLetter"/>
      <w:start w:val="3"/>
    </w:lvl>
    <w:lvl w:ilvl="1">
      <w:lvlJc w:val="left"/>
      <w:lvlText w:val="%2"/>
      <w:numFmt w:val="lowerLetter"/>
      <w:start w:val="1"/>
    </w:lvl>
  </w:abstractNum>
  <w:abstractNum w:abstractNumId="144">
    <w:nsid w:val="C058DF5"/>
    <w:multiLevelType w:val="hybridMultilevel"/>
    <w:lvl w:ilvl="0">
      <w:lvlJc w:val="left"/>
      <w:lvlText w:val="%1."/>
      <w:numFmt w:val="decimal"/>
      <w:start w:val="3"/>
    </w:lvl>
    <w:lvl w:ilvl="1">
      <w:lvlJc w:val="left"/>
      <w:lvlText w:val="(%2)"/>
      <w:numFmt w:val="lowerLetter"/>
      <w:start w:val="1"/>
    </w:lvl>
  </w:abstractNum>
  <w:abstractNum w:abstractNumId="145">
    <w:nsid w:val="CBE5BE9"/>
    <w:multiLevelType w:val="hybridMultilevel"/>
    <w:lvl w:ilvl="0">
      <w:lvlJc w:val="left"/>
      <w:lvlText w:val="(%1)"/>
      <w:numFmt w:val="lowerLetter"/>
      <w:start w:val="2"/>
    </w:lvl>
    <w:lvl w:ilvl="1">
      <w:lvlJc w:val="left"/>
      <w:lvlText w:val="(%2)"/>
      <w:numFmt w:val="lowerRoman"/>
      <w:start w:val="1"/>
    </w:lvl>
  </w:abstractNum>
  <w:abstractNum w:abstractNumId="146">
    <w:nsid w:val="3102BBE2"/>
    <w:multiLevelType w:val="hybridMultilevel"/>
    <w:lvl w:ilvl="0">
      <w:lvlJc w:val="left"/>
      <w:lvlText w:val="%1"/>
      <w:numFmt w:val="decimal"/>
      <w:start w:val="1"/>
    </w:lvl>
    <w:lvl w:ilvl="1">
      <w:lvlJc w:val="left"/>
      <w:lvlText w:val="(%2)"/>
      <w:numFmt w:val="lowerLetter"/>
      <w:start w:val="3"/>
    </w:lvl>
  </w:abstractNum>
  <w:abstractNum w:abstractNumId="147">
    <w:nsid w:val="26A02C5E"/>
    <w:multiLevelType w:val="hybridMultilevel"/>
    <w:lvl w:ilvl="0">
      <w:lvlJc w:val="left"/>
      <w:lvlText w:val="%1."/>
      <w:numFmt w:val="decimal"/>
      <w:start w:val="5"/>
    </w:lvl>
    <w:lvl w:ilvl="1">
      <w:lvlJc w:val="left"/>
      <w:lvlText w:val="%2"/>
      <w:numFmt w:val="lowerLetter"/>
      <w:start w:val="1"/>
    </w:lvl>
  </w:abstractNum>
  <w:abstractNum w:abstractNumId="148">
    <w:nsid w:val="541C8153"/>
    <w:multiLevelType w:val="hybridMultilevel"/>
    <w:lvl w:ilvl="0">
      <w:lvlJc w:val="left"/>
      <w:lvlText w:val="%1."/>
      <w:numFmt w:val="decimal"/>
      <w:start w:val="6"/>
    </w:lvl>
    <w:lvl w:ilvl="1">
      <w:lvlJc w:val="left"/>
      <w:lvlText w:val="(%2)"/>
      <w:numFmt w:val="lowerLetter"/>
      <w:start w:val="1"/>
    </w:lvl>
  </w:abstractNum>
  <w:abstractNum w:abstractNumId="149">
    <w:nsid w:val="67906F60"/>
    <w:multiLevelType w:val="hybridMultilevel"/>
    <w:lvl w:ilvl="0">
      <w:lvlJc w:val="left"/>
      <w:lvlText w:val="%1."/>
      <w:numFmt w:val="decimal"/>
      <w:start w:val="8"/>
    </w:lvl>
  </w:abstractNum>
  <w:abstractNum w:abstractNumId="150">
    <w:nsid w:val="10DB9DAA"/>
    <w:multiLevelType w:val="hybridMultilevel"/>
    <w:lvl w:ilvl="0">
      <w:lvlJc w:val="left"/>
      <w:lvlText w:val="%1."/>
      <w:numFmt w:val="decimal"/>
      <w:start w:val="12"/>
    </w:lvl>
  </w:abstractNum>
  <w:abstractNum w:abstractNumId="151">
    <w:nsid w:val="697D2D2"/>
    <w:multiLevelType w:val="hybridMultilevel"/>
    <w:lvl w:ilvl="0">
      <w:lvlJc w:val="left"/>
      <w:lvlText w:val="%1."/>
      <w:numFmt w:val="decimal"/>
      <w:start w:val="16"/>
    </w:lvl>
    <w:lvl w:ilvl="1">
      <w:lvlJc w:val="left"/>
      <w:lvlText w:val="(%2)"/>
      <w:numFmt w:val="lowerLetter"/>
      <w:start w:val="1"/>
    </w:lvl>
  </w:abstractNum>
  <w:abstractNum w:abstractNumId="152">
    <w:nsid w:val="6D68A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53">
    <w:nsid w:val="3A966CD0"/>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154">
    <w:nsid w:val="63F37E8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55">
    <w:nsid w:val="5895F5FA"/>
    <w:multiLevelType w:val="hybridMultilevel"/>
    <w:lvl w:ilvl="0">
      <w:lvlJc w:val="left"/>
      <w:lvlText w:val="%1"/>
      <w:numFmt w:val="lowerLetter"/>
      <w:start w:val="1"/>
    </w:lvl>
    <w:lvl w:ilvl="1">
      <w:lvlJc w:val="left"/>
      <w:lvlText w:val="(%2)"/>
      <w:numFmt w:val="lowerLetter"/>
      <w:start w:val="4"/>
    </w:lvl>
  </w:abstractNum>
  <w:abstractNum w:abstractNumId="156">
    <w:nsid w:val="38A5D054"/>
    <w:multiLevelType w:val="hybridMultilevel"/>
    <w:lvl w:ilvl="0">
      <w:lvlJc w:val="left"/>
      <w:lvlText w:val="(%1)"/>
      <w:numFmt w:val="lowerLetter"/>
      <w:start w:val="9"/>
    </w:lvl>
    <w:lvl w:ilvl="1">
      <w:lvlJc w:val="left"/>
      <w:lvlText w:val="(%2)"/>
      <w:numFmt w:val="lowerLetter"/>
      <w:start w:val="5"/>
    </w:lvl>
  </w:abstractNum>
  <w:abstractNum w:abstractNumId="157">
    <w:nsid w:val="F3F09D8"/>
    <w:multiLevelType w:val="hybridMultilevel"/>
    <w:lvl w:ilvl="0">
      <w:lvlJc w:val="left"/>
      <w:lvlText w:val="%1"/>
      <w:numFmt w:val="decimal"/>
      <w:start w:val="1"/>
    </w:lvl>
    <w:lvl w:ilvl="1">
      <w:lvlJc w:val="left"/>
      <w:lvlText w:val="(%2)"/>
      <w:numFmt w:val="lowerLetter"/>
      <w:start w:val="8"/>
    </w:lvl>
  </w:abstractNum>
  <w:abstractNum w:abstractNumId="158">
    <w:nsid w:val="4B793735"/>
    <w:multiLevelType w:val="hybridMultilevel"/>
    <w:lvl w:ilvl="0">
      <w:lvlJc w:val="left"/>
      <w:lvlText w:val="%1."/>
      <w:numFmt w:val="decimal"/>
      <w:start w:val="19"/>
    </w:lvl>
    <w:lvl w:ilvl="1">
      <w:lvlJc w:val="left"/>
      <w:lvlText w:val="(%2)"/>
      <w:numFmt w:val="lowerLetter"/>
      <w:start w:val="1"/>
    </w:lvl>
  </w:abstractNum>
  <w:abstractNum w:abstractNumId="159">
    <w:nsid w:val="4A10B4E8"/>
    <w:multiLevelType w:val="hybridMultilevel"/>
    <w:lvl w:ilvl="0">
      <w:lvlJc w:val="left"/>
      <w:lvlText w:val="(%1)"/>
      <w:numFmt w:val="lowerLetter"/>
      <w:start w:val="3"/>
    </w:lvl>
  </w:abstractNum>
  <w:abstractNum w:abstractNumId="160">
    <w:nsid w:val="43D3BCD4"/>
    <w:multiLevelType w:val="hybridMultilevel"/>
    <w:lvl w:ilvl="0">
      <w:lvlJc w:val="left"/>
      <w:lvlText w:val="(%1)"/>
      <w:numFmt w:val="lowerLetter"/>
      <w:start w:val="7"/>
    </w:lvl>
  </w:abstractNum>
  <w:abstractNum w:abstractNumId="161">
    <w:nsid w:val="4C2A7166"/>
    <w:multiLevelType w:val="hybridMultilevel"/>
    <w:lvl w:ilvl="0">
      <w:lvlJc w:val="left"/>
      <w:lvlText w:val="%1"/>
      <w:numFmt w:val="upperLetter"/>
      <w:start w:val="1"/>
    </w:lvl>
    <w:lvl w:ilvl="1">
      <w:lvlJc w:val="left"/>
      <w:lvlText w:val="(%2)"/>
      <w:numFmt w:val="lowerLetter"/>
      <w:start w:val="14"/>
    </w:lvl>
  </w:abstractNum>
  <w:abstractNum w:abstractNumId="162">
    <w:nsid w:val="2E534A82"/>
    <w:multiLevelType w:val="hybridMultilevel"/>
    <w:lvl w:ilvl="0">
      <w:lvlJc w:val="left"/>
      <w:lvlText w:val="(%1)"/>
      <w:numFmt w:val="upperLetter"/>
      <w:start w:val="2"/>
    </w:lvl>
    <w:lvl w:ilvl="1">
      <w:lvlJc w:val="left"/>
      <w:lvlText w:val="%2"/>
      <w:numFmt w:val="lowerLetter"/>
      <w:start w:val="1"/>
    </w:lvl>
  </w:abstractNum>
  <w:abstractNum w:abstractNumId="163">
    <w:nsid w:val="26F2D364"/>
    <w:multiLevelType w:val="hybridMultilevel"/>
    <w:lvl w:ilvl="0">
      <w:lvlJc w:val="left"/>
      <w:lvlText w:val="(%1)"/>
      <w:numFmt w:val="lowerLetter"/>
      <w:start w:val="16"/>
    </w:lvl>
  </w:abstractNum>
  <w:abstractNum w:abstractNumId="164">
    <w:nsid w:val="71C1AF98"/>
    <w:multiLevelType w:val="hybridMultilevel"/>
    <w:lvl w:ilvl="0">
      <w:lvlJc w:val="left"/>
      <w:lvlText w:val="(%1)"/>
      <w:numFmt w:val="lowerLetter"/>
      <w:start w:val="18"/>
    </w:lvl>
  </w:abstractNum>
  <w:abstractNum w:abstractNumId="165">
    <w:nsid w:val="3D00B9D9"/>
    <w:multiLevelType w:val="hybridMultilevel"/>
    <w:lvl w:ilvl="0">
      <w:lvlJc w:val="left"/>
      <w:lvlText w:val="(%1)"/>
      <w:numFmt w:val="lowerLetter"/>
      <w:start w:val="24"/>
    </w:lvl>
  </w:abstractNum>
  <w:abstractNum w:abstractNumId="166">
    <w:nsid w:val="15BCABA8"/>
    <w:multiLevelType w:val="hybridMultilevel"/>
    <w:lvl w:ilvl="0">
      <w:lvlJc w:val="left"/>
      <w:lvlText w:val="%1."/>
      <w:numFmt w:val="decimal"/>
      <w:start w:val="1"/>
    </w:lvl>
  </w:abstractNum>
  <w:abstractNum w:abstractNumId="167">
    <w:nsid w:val="4E0B9A87"/>
    <w:multiLevelType w:val="hybridMultilevel"/>
    <w:lvl w:ilvl="0">
      <w:lvlJc w:val="left"/>
      <w:lvlText w:val="%1."/>
      <w:numFmt w:val="decimal"/>
      <w:start w:val="2"/>
    </w:lvl>
  </w:abstractNum>
  <w:abstractNum w:abstractNumId="168">
    <w:nsid w:val="434BAE75"/>
    <w:multiLevelType w:val="hybridMultilevel"/>
    <w:lvl w:ilvl="0">
      <w:lvlJc w:val="left"/>
      <w:lvlText w:val="%1."/>
      <w:numFmt w:val="decimal"/>
      <w:start w:val="1"/>
    </w:lvl>
    <w:lvl w:ilvl="1">
      <w:lvlJc w:val="left"/>
      <w:lvlText w:val="(%2)"/>
      <w:numFmt w:val="lowerLetter"/>
      <w:start w:val="1"/>
    </w:lvl>
  </w:abstractNum>
  <w:abstractNum w:abstractNumId="169">
    <w:nsid w:val="4F38F265"/>
    <w:multiLevelType w:val="hybridMultilevel"/>
    <w:lvl w:ilvl="0">
      <w:lvlJc w:val="left"/>
      <w:lvlText w:val="%1"/>
      <w:numFmt w:val="upperLetter"/>
      <w:start w:val="1"/>
    </w:lvl>
    <w:lvl w:ilvl="1">
      <w:lvlJc w:val="left"/>
      <w:lvlText w:val="(%2)"/>
      <w:numFmt w:val="lowerLetter"/>
      <w:start w:val="2"/>
    </w:lvl>
  </w:abstractNum>
  <w:abstractNum w:abstractNumId="170">
    <w:nsid w:val="4C502870"/>
    <w:multiLevelType w:val="hybridMultilevel"/>
    <w:lvl w:ilvl="0">
      <w:lvlJc w:val="left"/>
      <w:lvlText w:val="(%1)"/>
      <w:numFmt w:val="upperLetter"/>
      <w:start w:val="1"/>
    </w:lvl>
    <w:lvl w:ilvl="1">
      <w:lvlJc w:val="left"/>
      <w:lvlText w:val="%2"/>
      <w:numFmt w:val="lowerLetter"/>
      <w:start w:val="1"/>
    </w:lvl>
  </w:abstractNum>
  <w:abstractNum w:abstractNumId="171">
    <w:nsid w:val="1DE8725A"/>
    <w:multiLevelType w:val="hybridMultilevel"/>
    <w:lvl w:ilvl="0">
      <w:lvlJc w:val="left"/>
      <w:lvlText w:val="(%1)"/>
      <w:numFmt w:val="lowerLetter"/>
      <w:start w:val="4"/>
    </w:lvl>
  </w:abstractNum>
  <w:abstractNum w:abstractNumId="172">
    <w:nsid w:val="6A37288A"/>
    <w:multiLevelType w:val="hybridMultilevel"/>
    <w:lvl w:ilvl="0">
      <w:lvlJc w:val="left"/>
      <w:lvlText w:val="(%1)"/>
      <w:numFmt w:val="lowerLetter"/>
      <w:start w:val="5"/>
    </w:lvl>
  </w:abstractNum>
  <w:abstractNum w:abstractNumId="173">
    <w:nsid w:val="8F8B73F"/>
    <w:multiLevelType w:val="hybridMultilevel"/>
    <w:lvl w:ilvl="0">
      <w:lvlJc w:val="left"/>
      <w:lvlText w:val="%1"/>
      <w:numFmt w:val="lowerLetter"/>
      <w:start w:val="1"/>
    </w:lvl>
    <w:lvl w:ilvl="1">
      <w:lvlJc w:val="left"/>
      <w:lvlText w:val="(%2)"/>
      <w:numFmt w:val="lowerLetter"/>
      <w:start w:val="6"/>
    </w:lvl>
  </w:abstractNum>
  <w:abstractNum w:abstractNumId="174">
    <w:nsid w:val="CA6B462"/>
    <w:multiLevelType w:val="hybridMultilevel"/>
    <w:lvl w:ilvl="0">
      <w:lvlJc w:val="left"/>
      <w:lvlText w:val="(%1)"/>
      <w:numFmt w:val="lowerLetter"/>
      <w:start w:val="35"/>
    </w:lvl>
    <w:lvl w:ilvl="1">
      <w:lvlJc w:val="left"/>
      <w:lvlText w:val="%2"/>
      <w:numFmt w:val="lowerLetter"/>
      <w:start w:val="1"/>
    </w:lvl>
  </w:abstractNum>
  <w:abstractNum w:abstractNumId="175">
    <w:nsid w:val="763CB680"/>
    <w:multiLevelType w:val="hybridMultilevel"/>
    <w:lvl w:ilvl="0">
      <w:lvlJc w:val="left"/>
      <w:lvlText w:val="(%1)"/>
      <w:numFmt w:val="lowerLetter"/>
      <w:start w:val="25"/>
    </w:lvl>
    <w:lvl w:ilvl="1">
      <w:lvlJc w:val="left"/>
      <w:lvlText w:val="%2"/>
      <w:numFmt w:val="lowerLetter"/>
      <w:start w:val="1"/>
    </w:lvl>
  </w:abstractNum>
  <w:abstractNum w:abstractNumId="176">
    <w:nsid w:val="15B71329"/>
    <w:multiLevelType w:val="hybridMultilevel"/>
    <w:lvl w:ilvl="0">
      <w:lvlJc w:val="left"/>
      <w:lvlText w:val="(%1)"/>
      <w:numFmt w:val="lowerLetter"/>
      <w:start w:val="7"/>
    </w:lvl>
  </w:abstractNum>
  <w:abstractNum w:abstractNumId="177">
    <w:nsid w:val="3DA9704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78">
    <w:nsid w:val="1CDCE2DE"/>
    <w:multiLevelType w:val="hybridMultilevel"/>
    <w:lvl w:ilvl="0">
      <w:lvlJc w:val="left"/>
      <w:lvlText w:val="(%1)"/>
      <w:numFmt w:val="lowerRoman"/>
      <w:start w:val="2"/>
    </w:lvl>
  </w:abstractNum>
  <w:abstractNum w:abstractNumId="179">
    <w:nsid w:val="69D3947C"/>
    <w:multiLevelType w:val="hybridMultilevel"/>
    <w:lvl w:ilvl="0">
      <w:lvlJc w:val="left"/>
      <w:lvlText w:val="(%1)"/>
      <w:numFmt w:val="lowerRoman"/>
      <w:start w:val="4"/>
    </w:lvl>
  </w:abstractNum>
  <w:abstractNum w:abstractNumId="180">
    <w:nsid w:val="2539DFA5"/>
    <w:multiLevelType w:val="hybridMultilevel"/>
    <w:lvl w:ilvl="0">
      <w:lvlJc w:val="left"/>
      <w:lvlText w:val="%1"/>
      <w:numFmt w:val="lowerLetter"/>
      <w:start w:val="1"/>
    </w:lvl>
    <w:lvl w:ilvl="1">
      <w:lvlJc w:val="left"/>
      <w:lvlText w:val="(%2)"/>
      <w:numFmt w:val="lowerLetter"/>
      <w:start w:val="22"/>
    </w:lvl>
  </w:abstractNum>
  <w:abstractNum w:abstractNumId="181">
    <w:nsid w:val="2DB88089"/>
    <w:multiLevelType w:val="hybridMultilevel"/>
    <w:lvl w:ilvl="0">
      <w:lvlJc w:val="left"/>
      <w:lvlText w:val="(%1)"/>
      <w:numFmt w:val="lowerLetter"/>
      <w:start w:val="3"/>
    </w:lvl>
    <w:lvl w:ilvl="1">
      <w:lvlJc w:val="left"/>
      <w:lvlText w:val="%2"/>
      <w:numFmt w:val="lowerLetter"/>
      <w:start w:val="1"/>
    </w:lvl>
  </w:abstractNum>
  <w:abstractNum w:abstractNumId="182">
    <w:nsid w:val="706B674E"/>
    <w:multiLevelType w:val="hybridMultilevel"/>
    <w:lvl w:ilvl="0">
      <w:lvlJc w:val="left"/>
      <w:lvlText w:val="%1."/>
      <w:numFmt w:val="decimal"/>
      <w:start w:val="3"/>
    </w:lvl>
    <w:lvl w:ilvl="1">
      <w:lvlJc w:val="left"/>
      <w:lvlText w:val="(%2)"/>
      <w:numFmt w:val="lowerLetter"/>
      <w:start w:val="1"/>
    </w:lvl>
  </w:abstractNum>
  <w:abstractNum w:abstractNumId="183">
    <w:nsid w:val="2C106A57"/>
    <w:multiLevelType w:val="hybridMultilevel"/>
    <w:lvl w:ilvl="0">
      <w:lvlJc w:val="left"/>
      <w:lvlText w:val="(%1)"/>
      <w:numFmt w:val="lowerLetter"/>
      <w:start w:val="2"/>
    </w:lvl>
    <w:lvl w:ilvl="1">
      <w:lvlJc w:val="left"/>
      <w:lvlText w:val="(%2)"/>
      <w:numFmt w:val="lowerRoman"/>
      <w:start w:val="1"/>
    </w:lvl>
  </w:abstractNum>
  <w:abstractNum w:abstractNumId="184">
    <w:nsid w:val="684EED59"/>
    <w:multiLevelType w:val="hybridMultilevel"/>
    <w:lvl w:ilvl="0">
      <w:lvlJc w:val="left"/>
      <w:lvlText w:val="%1"/>
      <w:numFmt w:val="decimal"/>
      <w:start w:val="1"/>
    </w:lvl>
    <w:lvl w:ilvl="1">
      <w:lvlJc w:val="left"/>
      <w:lvlText w:val="(%2)"/>
      <w:numFmt w:val="lowerLetter"/>
      <w:start w:val="3"/>
    </w:lvl>
  </w:abstractNum>
  <w:abstractNum w:abstractNumId="185">
    <w:nsid w:val="545EE5D3"/>
    <w:multiLevelType w:val="hybridMultilevel"/>
    <w:lvl w:ilvl="0">
      <w:lvlJc w:val="left"/>
      <w:lvlText w:val="%1."/>
      <w:numFmt w:val="decimal"/>
      <w:start w:val="5"/>
    </w:lvl>
    <w:lvl w:ilvl="1">
      <w:lvlJc w:val="left"/>
      <w:lvlText w:val="%2"/>
      <w:numFmt w:val="lowerLetter"/>
      <w:start w:val="1"/>
    </w:lvl>
  </w:abstractNum>
  <w:abstractNum w:abstractNumId="186">
    <w:nsid w:val="4A66051"/>
    <w:multiLevelType w:val="hybridMultilevel"/>
    <w:lvl w:ilvl="0">
      <w:lvlJc w:val="left"/>
      <w:lvlText w:val="%1."/>
      <w:numFmt w:val="decimal"/>
      <w:start w:val="6"/>
    </w:lvl>
    <w:lvl w:ilvl="1">
      <w:lvlJc w:val="left"/>
      <w:lvlText w:val="(%2)"/>
      <w:numFmt w:val="lowerLetter"/>
      <w:start w:val="1"/>
    </w:lvl>
  </w:abstractNum>
  <w:abstractNum w:abstractNumId="187">
    <w:nsid w:val="20F4BDAD"/>
    <w:multiLevelType w:val="hybridMultilevel"/>
    <w:lvl w:ilvl="0">
      <w:lvlJc w:val="left"/>
      <w:lvlText w:val="%1."/>
      <w:numFmt w:val="decimal"/>
      <w:start w:val="8"/>
    </w:lvl>
  </w:abstractNum>
  <w:abstractNum w:abstractNumId="188">
    <w:nsid w:val="639DEFAC"/>
    <w:multiLevelType w:val="hybridMultilevel"/>
    <w:lvl w:ilvl="0">
      <w:lvlJc w:val="left"/>
      <w:lvlText w:val="%1."/>
      <w:numFmt w:val="decimal"/>
      <w:start w:val="12"/>
    </w:lvl>
  </w:abstractNum>
  <w:abstractNum w:abstractNumId="189">
    <w:nsid w:val="501F9786"/>
    <w:multiLevelType w:val="hybridMultilevel"/>
    <w:lvl w:ilvl="0">
      <w:lvlJc w:val="left"/>
      <w:lvlText w:val="%1."/>
      <w:numFmt w:val="decimal"/>
      <w:start w:val="16"/>
    </w:lvl>
    <w:lvl w:ilvl="1">
      <w:lvlJc w:val="left"/>
      <w:lvlText w:val="(%2)"/>
      <w:numFmt w:val="lowerLetter"/>
      <w:start w:val="1"/>
    </w:lvl>
  </w:abstractNum>
  <w:abstractNum w:abstractNumId="190">
    <w:nsid w:val="6B05729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91">
    <w:nsid w:val="2771AC80"/>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192">
    <w:nsid w:val="1C4A08E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93">
    <w:nsid w:val="1958BD17"/>
    <w:multiLevelType w:val="hybridMultilevel"/>
    <w:lvl w:ilvl="0">
      <w:lvlJc w:val="left"/>
      <w:lvlText w:val="%1"/>
      <w:numFmt w:val="lowerLetter"/>
      <w:start w:val="1"/>
    </w:lvl>
    <w:lvl w:ilvl="1">
      <w:lvlJc w:val="left"/>
      <w:lvlText w:val="(%2)"/>
      <w:numFmt w:val="lowerLetter"/>
      <w:start w:val="4"/>
    </w:lvl>
  </w:abstractNum>
  <w:abstractNum w:abstractNumId="194">
    <w:nsid w:val="4E647FE4"/>
    <w:multiLevelType w:val="hybridMultilevel"/>
    <w:lvl w:ilvl="0">
      <w:lvlJc w:val="left"/>
      <w:lvlText w:val="(%1)"/>
      <w:numFmt w:val="lowerLetter"/>
      <w:start w:val="9"/>
    </w:lvl>
    <w:lvl w:ilvl="1">
      <w:lvlJc w:val="left"/>
      <w:lvlText w:val="(%2)"/>
      <w:numFmt w:val="lowerLetter"/>
      <w:start w:val="5"/>
    </w:lvl>
  </w:abstractNum>
  <w:abstractNum w:abstractNumId="195">
    <w:nsid w:val="E0BB885"/>
    <w:multiLevelType w:val="hybridMultilevel"/>
    <w:lvl w:ilvl="0">
      <w:lvlJc w:val="left"/>
      <w:lvlText w:val="%1"/>
      <w:numFmt w:val="decimal"/>
      <w:start w:val="1"/>
    </w:lvl>
    <w:lvl w:ilvl="1">
      <w:lvlJc w:val="left"/>
      <w:lvlText w:val="(%2)"/>
      <w:numFmt w:val="lowerLetter"/>
      <w:start w:val="8"/>
    </w:lvl>
  </w:abstractNum>
  <w:abstractNum w:abstractNumId="196">
    <w:nsid w:val="565976F1"/>
    <w:multiLevelType w:val="hybridMultilevel"/>
    <w:lvl w:ilvl="0">
      <w:lvlJc w:val="left"/>
      <w:lvlText w:val="%1."/>
      <w:numFmt w:val="decimal"/>
      <w:start w:val="19"/>
    </w:lvl>
    <w:lvl w:ilvl="1">
      <w:lvlJc w:val="left"/>
      <w:lvlText w:val="(%2)"/>
      <w:numFmt w:val="lowerLetter"/>
      <w:start w:val="1"/>
    </w:lvl>
  </w:abstractNum>
  <w:abstractNum w:abstractNumId="197">
    <w:nsid w:val="64212B8C"/>
    <w:multiLevelType w:val="hybridMultilevel"/>
    <w:lvl w:ilvl="0">
      <w:lvlJc w:val="left"/>
      <w:lvlText w:val="(%1)"/>
      <w:numFmt w:val="lowerLetter"/>
      <w:start w:val="3"/>
    </w:lvl>
  </w:abstractNum>
  <w:abstractNum w:abstractNumId="198">
    <w:nsid w:val="5C17530C"/>
    <w:multiLevelType w:val="hybridMultilevel"/>
    <w:lvl w:ilvl="0">
      <w:lvlJc w:val="left"/>
      <w:lvlText w:val="(%1)"/>
      <w:numFmt w:val="lowerLetter"/>
      <w:start w:val="7"/>
    </w:lvl>
  </w:abstractNum>
  <w:abstractNum w:abstractNumId="199">
    <w:nsid w:val="19A52566"/>
    <w:multiLevelType w:val="hybridMultilevel"/>
    <w:lvl w:ilvl="0">
      <w:lvlJc w:val="left"/>
      <w:lvlText w:val="%1"/>
      <w:numFmt w:val="upperLetter"/>
      <w:start w:val="1"/>
    </w:lvl>
    <w:lvl w:ilvl="1">
      <w:lvlJc w:val="left"/>
      <w:lvlText w:val="(%2)"/>
      <w:numFmt w:val="lowerLetter"/>
      <w:start w:val="13"/>
    </w:lvl>
  </w:abstractNum>
  <w:abstractNum w:abstractNumId="200">
    <w:nsid w:val="335A1DF1"/>
    <w:multiLevelType w:val="hybridMultilevel"/>
    <w:lvl w:ilvl="0">
      <w:lvlJc w:val="left"/>
      <w:lvlText w:val="(%1)"/>
      <w:numFmt w:val="upperLetter"/>
      <w:start w:val="2"/>
    </w:lvl>
    <w:lvl w:ilvl="1">
      <w:lvlJc w:val="left"/>
      <w:lvlText w:val="%2"/>
      <w:numFmt w:val="lowerLetter"/>
      <w:start w:val="1"/>
    </w:lvl>
  </w:abstractNum>
  <w:abstractNum w:abstractNumId="201">
    <w:nsid w:val="28677B7C"/>
    <w:multiLevelType w:val="hybridMultilevel"/>
    <w:lvl w:ilvl="0">
      <w:lvlJc w:val="left"/>
      <w:lvlText w:val="(%1)"/>
      <w:numFmt w:val="lowerLetter"/>
      <w:start w:val="16"/>
    </w:lvl>
  </w:abstractNum>
  <w:abstractNum w:abstractNumId="202">
    <w:nsid w:val="378D97C0"/>
    <w:multiLevelType w:val="hybridMultilevel"/>
    <w:lvl w:ilvl="0">
      <w:lvlJc w:val="left"/>
      <w:lvlText w:val="(%1)"/>
      <w:numFmt w:val="lowerLetter"/>
      <w:start w:val="18"/>
    </w:lvl>
  </w:abstractNum>
  <w:abstractNum w:abstractNumId="203">
    <w:nsid w:val="1D91467C"/>
    <w:multiLevelType w:val="hybridMultilevel"/>
    <w:lvl w:ilvl="0">
      <w:lvlJc w:val="left"/>
      <w:lvlText w:val="(%1)"/>
      <w:numFmt w:val="lowerLetter"/>
      <w:start w:val="24"/>
    </w:lvl>
  </w:abstractNum>
  <w:abstractNum w:abstractNumId="204">
    <w:nsid w:val="316032BB"/>
    <w:multiLevelType w:val="hybridMultilevel"/>
    <w:lvl w:ilvl="0">
      <w:lvlJc w:val="left"/>
      <w:lvlText w:val="%1."/>
      <w:numFmt w:val="decimal"/>
      <w:start w:val="2"/>
    </w:lvl>
  </w:abstractNum>
  <w:abstractNum w:abstractNumId="205">
    <w:nsid w:val="44344C22"/>
    <w:multiLevelType w:val="hybridMultilevel"/>
    <w:lvl w:ilvl="0">
      <w:lvlJc w:val="left"/>
      <w:lvlText w:val="%1."/>
      <w:numFmt w:val="decimal"/>
      <w:start w:val="1"/>
    </w:lvl>
  </w:abstractNum>
  <w:abstractNum w:abstractNumId="206">
    <w:nsid w:val="13CDFCFC"/>
    <w:multiLevelType w:val="hybridMultilevel"/>
    <w:lvl w:ilvl="0">
      <w:lvlJc w:val="left"/>
      <w:lvlText w:val="%1."/>
      <w:numFmt w:val="decimal"/>
      <w:start w:val="2"/>
    </w:lvl>
    <w:lvl w:ilvl="1">
      <w:lvlJc w:val="left"/>
      <w:lvlText w:val="(%2)"/>
      <w:numFmt w:val="lowerLetter"/>
      <w:start w:val="1"/>
    </w:lvl>
  </w:abstractNum>
  <w:abstractNum w:abstractNumId="207">
    <w:nsid w:val="471745E4"/>
    <w:multiLevelType w:val="hybridMultilevel"/>
    <w:lvl w:ilvl="0">
      <w:lvlJc w:val="left"/>
      <w:lvlText w:val="%1"/>
      <w:numFmt w:val="lowerLetter"/>
      <w:start w:val="1"/>
    </w:lvl>
    <w:lvl w:ilvl="1">
      <w:lvlJc w:val="left"/>
      <w:lvlText w:val="(%2)"/>
      <w:numFmt w:val="lowerLetter"/>
      <w:start w:val="2"/>
    </w:lvl>
  </w:abstractNum>
  <w:abstractNum w:abstractNumId="208">
    <w:nsid w:val="1DDBC66"/>
    <w:multiLevelType w:val="hybridMultilevel"/>
    <w:lvl w:ilvl="0">
      <w:lvlJc w:val="left"/>
      <w:lvlText w:val="%1."/>
      <w:numFmt w:val="lowerLetter"/>
      <w:start w:val="1"/>
    </w:lvl>
    <w:lvl w:ilvl="1">
      <w:lvlJc w:val="left"/>
      <w:lvlText w:val="%2"/>
      <w:numFmt w:val="lowerLetter"/>
      <w:start w:val="1"/>
    </w:lvl>
  </w:abstractNum>
  <w:abstractNum w:abstractNumId="209">
    <w:nsid w:val="30AADFDA"/>
    <w:multiLevelType w:val="hybridMultilevel"/>
    <w:lvl w:ilvl="0">
      <w:lvlJc w:val="left"/>
      <w:lvlText w:val="%1"/>
      <w:numFmt w:val="decimal"/>
      <w:start w:val="1"/>
    </w:lvl>
    <w:lvl w:ilvl="1">
      <w:lvlJc w:val="left"/>
      <w:lvlText w:val="(%2)"/>
      <w:numFmt w:val="lowerLetter"/>
      <w:start w:val="4"/>
    </w:lvl>
  </w:abstractNum>
  <w:abstractNum w:abstractNumId="210">
    <w:nsid w:val="30EADA61"/>
    <w:multiLevelType w:val="hybridMultilevel"/>
    <w:lvl w:ilvl="0">
      <w:lvlJc w:val="left"/>
      <w:lvlText w:val="%1."/>
      <w:numFmt w:val="decimal"/>
      <w:start w:val="3"/>
    </w:lvl>
    <w:lvl w:ilvl="1">
      <w:lvlJc w:val="left"/>
      <w:lvlText w:val="%2"/>
      <w:numFmt w:val="lowerLetter"/>
      <w:start w:val="1"/>
    </w:lvl>
  </w:abstractNum>
  <w:abstractNum w:abstractNumId="211">
    <w:nsid w:val="27179C0B"/>
    <w:multiLevelType w:val="hybridMultilevel"/>
    <w:lvl w:ilvl="0">
      <w:lvlJc w:val="left"/>
      <w:lvlText w:val="(%1)"/>
      <w:numFmt w:val="lowerLetter"/>
      <w:start w:val="1"/>
    </w:lvl>
  </w:abstractNum>
  <w:abstractNum w:abstractNumId="212">
    <w:nsid w:val="5E636063"/>
    <w:multiLevelType w:val="hybridMultilevel"/>
    <w:lvl w:ilvl="0">
      <w:lvlJc w:val="left"/>
      <w:lvlText w:val="%1"/>
      <w:numFmt w:val="lowerLetter"/>
      <w:start w:val="1"/>
    </w:lvl>
    <w:lvl w:ilvl="1">
      <w:lvlJc w:val="left"/>
      <w:lvlText w:val="(%2)"/>
      <w:numFmt w:val="lowerLetter"/>
      <w:start w:val="2"/>
    </w:lvl>
  </w:abstractNum>
  <w:abstractNum w:abstractNumId="213">
    <w:nsid w:val="215641AF"/>
    <w:multiLevelType w:val="hybridMultilevel"/>
    <w:lvl w:ilvl="0">
      <w:lvlJc w:val="left"/>
      <w:lvlText w:val="(%1)"/>
      <w:numFmt w:val="lowerLetter"/>
      <w:start w:val="61"/>
    </w:lvl>
    <w:lvl w:ilvl="1">
      <w:lvlJc w:val="left"/>
      <w:lvlText w:val="%2"/>
      <w:numFmt w:val="lowerLetter"/>
      <w:start w:val="1"/>
    </w:lvl>
  </w:abstractNum>
  <w:abstractNum w:abstractNumId="214">
    <w:nsid w:val="53280662"/>
    <w:multiLevelType w:val="hybridMultilevel"/>
    <w:lvl w:ilvl="0">
      <w:lvlJc w:val="left"/>
      <w:lvlText w:val="(%1)"/>
      <w:numFmt w:val="lowerLetter"/>
      <w:start w:val="3"/>
    </w:lvl>
  </w:abstractNum>
  <w:abstractNum w:abstractNumId="215">
    <w:nsid w:val="46B24DBC"/>
    <w:multiLevelType w:val="hybridMultilevel"/>
    <w:lvl w:ilvl="0">
      <w:lvlJc w:val="left"/>
      <w:lvlText w:val="%1"/>
      <w:numFmt w:val="decimal"/>
      <w:start w:val="1"/>
    </w:lvl>
    <w:lvl w:ilvl="1">
      <w:lvlJc w:val="left"/>
      <w:lvlText w:val="(%2)"/>
      <w:numFmt w:val="lowerLetter"/>
      <w:start w:val="7"/>
    </w:lvl>
  </w:abstractNum>
  <w:abstractNum w:abstractNumId="216">
    <w:nsid w:val="75B52783"/>
    <w:multiLevelType w:val="hybridMultilevel"/>
    <w:lvl w:ilvl="0">
      <w:lvlJc w:val="left"/>
      <w:lvlText w:val="(%1)"/>
      <w:numFmt w:val="decimal"/>
      <w:start w:val="45"/>
    </w:lvl>
    <w:lvl w:ilvl="1">
      <w:lvlJc w:val="left"/>
      <w:lvlText w:val="%2"/>
      <w:numFmt w:val="lowerLetter"/>
      <w:start w:val="1"/>
    </w:lvl>
  </w:abstractNum>
  <w:abstractNum w:abstractNumId="217">
    <w:nsid w:val="57CE66B4"/>
    <w:multiLevelType w:val="hybridMultilevel"/>
    <w:lvl w:ilvl="0">
      <w:lvlJc w:val="left"/>
      <w:lvlText w:val="(%1)"/>
      <w:numFmt w:val="lowerLetter"/>
      <w:start w:val="11"/>
    </w:lvl>
  </w:abstractNum>
  <w:abstractNum w:abstractNumId="218">
    <w:nsid w:val="67A70B69"/>
    <w:multiLevelType w:val="hybridMultilevel"/>
    <w:lvl w:ilvl="0">
      <w:lvlJc w:val="left"/>
      <w:lvlText w:val="%1."/>
      <w:numFmt w:val="decimal"/>
      <w:start w:val="4"/>
    </w:lvl>
  </w:abstractNum>
  <w:abstractNum w:abstractNumId="219">
    <w:nsid w:val="5953172F"/>
    <w:multiLevelType w:val="hybridMultilevel"/>
    <w:lvl w:ilvl="0">
      <w:lvlJc w:val="left"/>
      <w:lvlText w:val="%1."/>
      <w:numFmt w:val="decimal"/>
      <w:start w:val="5"/>
    </w:lvl>
    <w:lvl w:ilvl="1">
      <w:lvlJc w:val="left"/>
      <w:lvlText w:val="(%2)"/>
      <w:numFmt w:val="lowerLetter"/>
      <w:start w:val="1"/>
    </w:lvl>
  </w:abstractNum>
  <w:abstractNum w:abstractNumId="220">
    <w:nsid w:val="27EDFE3A"/>
    <w:multiLevelType w:val="hybridMultilevel"/>
    <w:lvl w:ilvl="0">
      <w:lvlJc w:val="left"/>
      <w:lvlText w:val="(%1)"/>
      <w:numFmt w:val="lowerLetter"/>
      <w:start w:val="3"/>
    </w:lvl>
  </w:abstractNum>
  <w:abstractNum w:abstractNumId="221">
    <w:nsid w:val="52AC7DFF"/>
    <w:multiLevelType w:val="hybridMultilevel"/>
    <w:lvl w:ilvl="0">
      <w:lvlJc w:val="left"/>
      <w:lvlText w:val="(%1)"/>
      <w:numFmt w:val="lowerLetter"/>
      <w:start w:val="4"/>
    </w:lvl>
  </w:abstractNum>
  <w:abstractNum w:abstractNumId="222">
    <w:nsid w:val="C4C3AF"/>
    <w:multiLevelType w:val="hybridMultilevel"/>
    <w:lvl w:ilvl="0">
      <w:lvlJc w:val="left"/>
      <w:lvlText w:val="%1."/>
      <w:numFmt w:val="decimal"/>
      <w:start w:val="6"/>
    </w:lvl>
    <w:lvl w:ilvl="1">
      <w:lvlJc w:val="left"/>
      <w:lvlText w:val="(%2)"/>
      <w:numFmt w:val="lowerLetter"/>
      <w:start w:val="1"/>
    </w:lvl>
  </w:abstractNum>
  <w:abstractNum w:abstractNumId="223">
    <w:nsid w:val="44380727"/>
    <w:multiLevelType w:val="hybridMultilevel"/>
    <w:lvl w:ilvl="0">
      <w:lvlJc w:val="left"/>
      <w:lvlText w:val="(%1)"/>
      <w:numFmt w:val="lowerLetter"/>
      <w:start w:val="4"/>
    </w:lvl>
  </w:abstractNum>
  <w:abstractNum w:abstractNumId="224">
    <w:nsid w:val="6C053B16"/>
    <w:multiLevelType w:val="hybridMultilevel"/>
    <w:lvl w:ilvl="0">
      <w:lvlJc w:val="left"/>
      <w:lvlText w:val="(%1)"/>
      <w:numFmt w:val="lowerLetter"/>
      <w:start w:val="10"/>
    </w:lvl>
  </w:abstractNum>
  <w:abstractNum w:abstractNumId="225">
    <w:nsid w:val="4F294393"/>
    <w:multiLevelType w:val="hybridMultilevel"/>
    <w:lvl w:ilvl="0">
      <w:lvlJc w:val="left"/>
      <w:lvlText w:val="●"/>
      <w:numFmt w:val="bullet"/>
      <w:start w:val="1"/>
    </w:lvl>
  </w:abstractNum>
  <w:abstractNum w:abstractNumId="226">
    <w:nsid w:val="5243BFAC"/>
    <w:multiLevelType w:val="hybridMultilevel"/>
    <w:lvl w:ilvl="0">
      <w:lvlJc w:val="left"/>
      <w:lvlText w:val="%1."/>
      <w:numFmt w:val="decimal"/>
      <w:start w:val="1"/>
    </w:lvl>
    <w:lvl w:ilvl="1">
      <w:lvlJc w:val="left"/>
      <w:lvlText w:val="(%2)"/>
      <w:numFmt w:val="lowerLetter"/>
      <w:start w:val="1"/>
    </w:lvl>
  </w:abstractNum>
  <w:abstractNum w:abstractNumId="227">
    <w:nsid w:val="425EB207"/>
    <w:multiLevelType w:val="hybridMultilevel"/>
    <w:lvl w:ilvl="0">
      <w:lvlJc w:val="left"/>
      <w:lvlText w:val="%1."/>
      <w:numFmt w:val="decimal"/>
      <w:start w:val="3"/>
    </w:lvl>
    <w:lvl w:ilvl="1">
      <w:lvlJc w:val="left"/>
      <w:lvlText w:val="(%2)"/>
      <w:numFmt w:val="lowerLetter"/>
      <w:start w:val="1"/>
    </w:lvl>
  </w:abstractNum>
  <w:abstractNum w:abstractNumId="228">
    <w:nsid w:val="334A6F1F"/>
    <w:multiLevelType w:val="hybridMultilevel"/>
    <w:lvl w:ilvl="0">
      <w:lvlJc w:val="left"/>
      <w:lvlText w:val="(%1)"/>
      <w:numFmt w:val="lowerLetter"/>
      <w:start w:val="2"/>
    </w:lvl>
  </w:abstractNum>
  <w:abstractNum w:abstractNumId="229">
    <w:nsid w:val="2E5B12B8"/>
    <w:multiLevelType w:val="hybridMultilevel"/>
    <w:lvl w:ilvl="0">
      <w:lvlJc w:val="left"/>
      <w:lvlText w:val="(%1)"/>
      <w:numFmt w:val="lowerLetter"/>
      <w:start w:val="3"/>
    </w:lvl>
  </w:abstractNum>
  <w:abstractNum w:abstractNumId="230">
    <w:nsid w:val="5C03D76D"/>
    <w:multiLevelType w:val="hybridMultilevel"/>
    <w:lvl w:ilvl="0">
      <w:lvlJc w:val="left"/>
      <w:lvlText w:val="(%1)"/>
      <w:numFmt w:val="lowerLetter"/>
      <w:start w:val="4"/>
    </w:lvl>
  </w:abstractNum>
  <w:abstractNum w:abstractNumId="231">
    <w:nsid w:val="66A48D11"/>
    <w:multiLevelType w:val="hybridMultilevel"/>
    <w:lvl w:ilvl="0">
      <w:lvlJc w:val="left"/>
      <w:lvlText w:val="(%1)"/>
      <w:numFmt w:val="lowerLetter"/>
      <w:start w:val="1"/>
    </w:lvl>
  </w:abstractNum>
  <w:abstractNum w:abstractNumId="232">
    <w:nsid w:val="56C28E34"/>
    <w:multiLevelType w:val="hybridMultilevel"/>
    <w:lvl w:ilvl="0">
      <w:lvlJc w:val="left"/>
      <w:lvlText w:val="%1."/>
      <w:numFmt w:val="upperLetter"/>
      <w:start w:val="9"/>
    </w:lvl>
  </w:abstractNum>
  <w:abstractNum w:abstractNumId="233">
    <w:nsid w:val="13916F2D"/>
    <w:multiLevelType w:val="hybridMultilevel"/>
    <w:lvl w:ilvl="0">
      <w:lvlJc w:val="left"/>
      <w:lvlText w:val="%1."/>
      <w:numFmt w:val="upperLetter"/>
      <w:start w:val="35"/>
    </w:lvl>
  </w:abstractNum>
  <w:abstractNum w:abstractNumId="234">
    <w:nsid w:val="435D38D"/>
    <w:multiLevelType w:val="hybridMultilevel"/>
    <w:lvl w:ilvl="0">
      <w:lvlJc w:val="left"/>
      <w:lvlText w:val="%1."/>
      <w:numFmt w:val="upperLetter"/>
      <w:start w:val="61"/>
    </w:lvl>
  </w:abstractNum>
  <w:abstractNum w:abstractNumId="235">
    <w:nsid w:val="822C0EF"/>
    <w:multiLevelType w:val="hybridMultilevel"/>
    <w:lvl w:ilvl="0">
      <w:lvlJc w:val="left"/>
      <w:lvlText w:val="%1."/>
      <w:numFmt w:val="upperLetter"/>
      <w:start w:val="22"/>
    </w:lvl>
  </w:abstractNum>
  <w:abstractNum w:abstractNumId="236">
    <w:nsid w:val="57C5BB4F"/>
    <w:multiLevelType w:val="hybridMultilevel"/>
    <w:lvl w:ilvl="0">
      <w:lvlJc w:val="left"/>
      <w:lvlText w:val="%1)"/>
      <w:numFmt w:val="lowerLetter"/>
      <w:start w:val="1"/>
    </w:lvl>
  </w:abstractNum>
  <w:abstractNum w:abstractNumId="237">
    <w:nsid w:val="1803D089"/>
    <w:multiLevelType w:val="hybridMultilevel"/>
    <w:lvl w:ilvl="0">
      <w:lvlJc w:val="left"/>
      <w:lvlText w:val="%1)"/>
      <w:numFmt w:val="lowerLetter"/>
      <w:start w:val="6"/>
    </w:lvl>
  </w:abstractNum>
  <w:abstractNum w:abstractNumId="238">
    <w:nsid w:val="4F3A06D4"/>
    <w:multiLevelType w:val="hybridMultilevel"/>
    <w:lvl w:ilvl="0">
      <w:lvlJc w:val="left"/>
      <w:lvlText w:val="%1)"/>
      <w:numFmt w:val="lowerLetter"/>
      <w:start w:val="20"/>
    </w:lvl>
  </w:abstractNum>
  <w:abstractNum w:abstractNumId="239">
    <w:nsid w:val="59A377B6"/>
    <w:multiLevelType w:val="hybridMultilevel"/>
    <w:lvl w:ilvl="0">
      <w:lvlJc w:val="left"/>
      <w:lvlText w:val="%1)"/>
      <w:numFmt w:val="lowerLetter"/>
      <w:start w:val="27"/>
    </w:lvl>
  </w:abstractNum>
  <w:abstractNum w:abstractNumId="240">
    <w:nsid w:val="48AEB063"/>
    <w:multiLevelType w:val="hybridMultilevel"/>
    <w:lvl w:ilvl="0">
      <w:lvlJc w:val="left"/>
      <w:lvlText w:val="%1."/>
      <w:numFmt w:val="decimal"/>
      <w:start w:val="1"/>
    </w:lvl>
  </w:abstractNum>
  <w:abstractNum w:abstractNumId="241">
    <w:nsid w:val="24E135"/>
    <w:multiLevelType w:val="hybridMultilevel"/>
    <w:lvl w:ilvl="0">
      <w:lvlJc w:val="left"/>
      <w:lvlText w:val="%1."/>
      <w:numFmt w:val="decimal"/>
      <w:start w:val="6"/>
    </w:lvl>
  </w:abstractNum>
  <w:abstractNum w:abstractNumId="242">
    <w:nsid w:val="BB13C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84" Type="http://schemas.openxmlformats.org/officeDocument/2006/relationships/image" Target="media/image62.png"/><Relationship Id="rId99"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png"/><Relationship Id="rId330" Type="http://schemas.openxmlformats.org/officeDocument/2006/relationships/image" Target="media/image290.png"/><Relationship Id="rId331" Type="http://schemas.openxmlformats.org/officeDocument/2006/relationships/image" Target="media/image291.jpe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64" Type="http://schemas.openxmlformats.org/officeDocument/2006/relationships/hyperlink" Target="http://www.sec.gov/Archives/edgar/data/1822145/000155837023016336/prst-20230630x10k.htm" TargetMode="External"/><Relationship Id="rId65" Type="http://schemas.openxmlformats.org/officeDocument/2006/relationships/hyperlink" Target="http://www.sec.gov/Archives/edgar/data/1822145/000155837023016408/prst-20230630x10ka.htm" TargetMode="External"/><Relationship Id="rId66" Type="http://schemas.openxmlformats.org/officeDocument/2006/relationships/hyperlink" Target="https://www.sec.gov/Archives/edgar/data/1822145/000110465923086535/tm2322640d1_8k.htm" TargetMode="External"/><Relationship Id="rId67" Type="http://schemas.openxmlformats.org/officeDocument/2006/relationships/hyperlink" Target="https://www.sec.gov/Archives/edgar/data/1822145/000110465923097311/tm2325309d1_8k.htm" TargetMode="External"/><Relationship Id="rId68" Type="http://schemas.openxmlformats.org/officeDocument/2006/relationships/hyperlink" Target="https://www.sec.gov/Archives/edgar/data/1822145/000101376223002979/ea186564-8k_prestoauto.htm" TargetMode="External"/><Relationship Id="rId69" Type="http://schemas.openxmlformats.org/officeDocument/2006/relationships/hyperlink" Target="https://www.sec.gov/Archives/edgar/data/1822145/000101376223005246/ea187043-8k_prestoauto.htm" TargetMode="External"/><Relationship Id="rId70" Type="http://schemas.openxmlformats.org/officeDocument/2006/relationships/hyperlink" Target="http://www.sec.gov/Archives/edgar/data/1822145/000121390020044238/ea131985-8a12b_ventouxccm.htm" TargetMode="External"/><Relationship Id="rId71" Type="http://schemas.openxmlformats.org/officeDocument/2006/relationships/hyperlink" Target="http://www.sec.gov/Archives/edgar/data/1822145/000155837023016336/prst-20230630xex4d1.htm" TargetMode="External"/><Relationship Id="rId77" Type="http://schemas.openxmlformats.org/officeDocument/2006/relationships/hyperlink" Target="http://www.sec.gov/Archives/edgar/data/1822145/000121390021058217/ea150262ex2-1_ventouxccm.htm" TargetMode="External"/><Relationship Id="rId78" Type="http://schemas.openxmlformats.org/officeDocument/2006/relationships/hyperlink" Target="http://www.sec.gov/Archives/edgar/data/1822145/000121390022017828/ea157923ex2-1_ventoux.htm" TargetMode="External"/><Relationship Id="rId79" Type="http://schemas.openxmlformats.org/officeDocument/2006/relationships/hyperlink" Target="http://www.sec.gov/Archives/edgar/data/1822145/000121390022041523/ea163294ex2-1_ventoux.htm" TargetMode="External"/><Relationship Id="rId80" Type="http://schemas.openxmlformats.org/officeDocument/2006/relationships/hyperlink" Target="http://www.sec.gov/Archives/edgar/data/1822145/000121390022059478/ea166244ex3-1_prestoauto.htm" TargetMode="External"/><Relationship Id="rId81" Type="http://schemas.openxmlformats.org/officeDocument/2006/relationships/hyperlink" Target="http://www.sec.gov/Archives/edgar/data/1822145/000121390022059478/ea166244ex3-2_prestoauto.htm" TargetMode="External"/><Relationship Id="rId82" Type="http://schemas.openxmlformats.org/officeDocument/2006/relationships/hyperlink" Target="http://www.sec.gov/Archives/edgar/data/1822145/000121390022059478/ea166244ex10-3_prestoauto.htm" TargetMode="External"/><Relationship Id="rId83" Type="http://schemas.openxmlformats.org/officeDocument/2006/relationships/hyperlink" Target="http://www.sec.gov/Archives/edgar/data/1822145/000121390022059478/ea166244ex10-2_prestoauto.htm" TargetMode="External"/><Relationship Id="rId85" Type="http://schemas.openxmlformats.org/officeDocument/2006/relationships/hyperlink" Target="http://www.sec.gov/Archives/edgar/data/1822145/000121390022041523/ea163294ex10-2_ventoux.htm" TargetMode="External"/><Relationship Id="rId86" Type="http://schemas.openxmlformats.org/officeDocument/2006/relationships/hyperlink" Target="http://www.sec.gov/Archives/edgar/data/1822145/000121390022041523/ea163294ex10-3_ventoux.htm" TargetMode="External"/><Relationship Id="rId87" Type="http://schemas.openxmlformats.org/officeDocument/2006/relationships/hyperlink" Target="http://www.sec.gov/Archives/edgar/data/1822145/000155837023005593/prst-20230331xex10d3.htm" TargetMode="External"/><Relationship Id="rId88" Type="http://schemas.openxmlformats.org/officeDocument/2006/relationships/hyperlink" Target="http://www.sec.gov/Archives/edgar/data/1822145/000155837023005593/prst-20230331xex10d4.htm" TargetMode="External"/><Relationship Id="rId89" Type="http://schemas.openxmlformats.org/officeDocument/2006/relationships/hyperlink" Target="http://www.sec.gov/Archives/edgar/data/1822145/000155837023005593/prst-20230331xex10d5.htm" TargetMode="External"/><Relationship Id="rId90" Type="http://schemas.openxmlformats.org/officeDocument/2006/relationships/hyperlink" Target="http://www.sec.gov/Archives/edgar/data/1822145/000155837023005593/prst-20230331xex10d6.htm" TargetMode="External"/><Relationship Id="rId91" Type="http://schemas.openxmlformats.org/officeDocument/2006/relationships/hyperlink" Target="http://www.sec.gov/Archives/edgar/data/1822145/000155837023005593/prst-20230331xex10d7.htm" TargetMode="External"/><Relationship Id="rId92" Type="http://schemas.openxmlformats.org/officeDocument/2006/relationships/hyperlink" Target="http://www.sec.gov/Archives/edgar/data/1822145/000121390023041754/ea179025ex10-1_prestoauto.htm" TargetMode="External"/><Relationship Id="rId93" Type="http://schemas.openxmlformats.org/officeDocument/2006/relationships/hyperlink" Target="http://www.sec.gov/Archives/edgar/data/1822145/000121390023041754/ea179025ex10-2_prestoauto.htm" TargetMode="External"/><Relationship Id="rId94" Type="http://schemas.openxmlformats.org/officeDocument/2006/relationships/hyperlink" Target="http://www.sec.gov/Archives/edgar/data/1822145/000121390023041754/ea179025ex10-5_prestoauto.htm" TargetMode="External"/><Relationship Id="rId95" Type="http://schemas.openxmlformats.org/officeDocument/2006/relationships/hyperlink" Target="http://www.sec.gov/Archives/edgar/data/1822145/000121390023041754/ea179025ex10-6_prestoauto.htm" TargetMode="External"/><Relationship Id="rId96" Type="http://schemas.openxmlformats.org/officeDocument/2006/relationships/hyperlink" Target="http://www.sec.gov/Archives/edgar/data/1822145/000121390023041754/ea179025ex10-7_prestoauto.htm" TargetMode="External"/><Relationship Id="rId97" Type="http://schemas.openxmlformats.org/officeDocument/2006/relationships/hyperlink" Target="http://www.sec.gov/Archives/edgar/data/1822145/000121390023041754/ea179025ex10-8_prestoauto.htm" TargetMode="External"/><Relationship Id="rId98" Type="http://schemas.openxmlformats.org/officeDocument/2006/relationships/hyperlink" Target="http://www.sec.gov/Archives/edgar/data/1822145/000101376223002979/ea186564ex10-1_prestoauto.htm" TargetMode="External"/><Relationship Id="rId100" Type="http://schemas.openxmlformats.org/officeDocument/2006/relationships/hyperlink" Target="http://www.sec.gov/Archives/edgar/data/1822145/000101376223002979/ea186564ex10-8_prestoauto.htm" TargetMode="External"/><Relationship Id="rId101" Type="http://schemas.openxmlformats.org/officeDocument/2006/relationships/hyperlink" Target="http://www.sec.gov/Archives/edgar/data/1822145/000101376223002979/ea186564ex10-9_prestoauto.htm" TargetMode="External"/><Relationship Id="rId102" Type="http://schemas.openxmlformats.org/officeDocument/2006/relationships/hyperlink" Target="http://www.sec.gov/Archives/edgar/data/1822145/000101376223002979/ea186564ex10-10_prestoauto.htm" TargetMode="External"/><Relationship Id="rId103" Type="http://schemas.openxmlformats.org/officeDocument/2006/relationships/hyperlink" Target="http://www.sec.gov/Archives/edgar/data/1822145/000101376223002979/ea186564ex10-11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2023-10-20T15:25:18Z</dcterms:created>
  <dcterms:modified xsi:type="dcterms:W3CDTF">2023-10-20T15:25:18Z</dcterms:modified>
</cp:coreProperties>
</file>