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985 Industrial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San Carlos, CA 94070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May 11, 2023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Office of Technology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Attn: Mariam Mansaray and Jan Woo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 Presto Automation Inc.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May 1, 2023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333-271551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Mansaray and Ms. Woo: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Rule 461 of the rules and regulations promulgated under the Securities Act of 1933, as amended, Presto Automation Inc. respectfully requests that the effective date of the above-referenced Registration Statement be accelerated so as to permit it to become effective at 4:00 pm Washington D.C. time on May 12, 2023, or as soon thereafter as practicable.</w:t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Please call Colin Diamond of White &amp; Case LLP at (212) 819-8754 or Laura Katherine Mann of White &amp; Case LLP at (713) 496-9695 to provide notice of the effectiveness of the Registration Statement.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Presto Automation Inc.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 /s/ Krishna K. Gupta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3764915</wp:posOffset>
            </wp:positionH>
            <wp:positionV relativeFrom="paragraph">
              <wp:posOffset>-10160</wp:posOffset>
            </wp:positionV>
            <wp:extent cx="16027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Krishna K. Gupta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20"/>
        <w:spacing w:after="0"/>
        <w:tabs>
          <w:tab w:leader="none" w:pos="6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Interim Chief Executive Officer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Susan Shinoff, General Counsel, Presto Automation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374650</wp:posOffset>
            </wp:positionV>
            <wp:extent cx="713232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5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2023-06-13T23:10:03Z</dcterms:created>
  <dcterms:modified xsi:type="dcterms:W3CDTF">2023-06-13T23:10:03Z</dcterms:modified>
</cp:coreProperties>
</file>