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04"/>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819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179705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26" w:lineRule="exact"/>
        <w:rPr>
          <w:sz w:val="24"/>
          <w:szCs w:val="24"/>
          <w:color w:val="auto"/>
        </w:rPr>
      </w:pPr>
    </w:p>
    <w:p>
      <w:pPr>
        <w:ind w:left="3904"/>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7" w:lineRule="exact"/>
        <w:rPr>
          <w:sz w:val="24"/>
          <w:szCs w:val="24"/>
          <w:color w:val="auto"/>
        </w:rPr>
      </w:pPr>
    </w:p>
    <w:p>
      <w:pPr>
        <w:ind w:left="4624"/>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7148195"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387" w:lineRule="exact"/>
        <w:rPr>
          <w:sz w:val="24"/>
          <w:szCs w:val="24"/>
          <w:color w:val="auto"/>
        </w:rPr>
      </w:pPr>
    </w:p>
    <w:p>
      <w:pPr>
        <w:jc w:val="center"/>
        <w:ind w:right="36"/>
        <w:spacing w:after="0"/>
        <w:rPr>
          <w:sz w:val="20"/>
          <w:szCs w:val="20"/>
          <w:color w:val="auto"/>
        </w:rPr>
      </w:pPr>
      <w:r>
        <w:rPr>
          <w:rFonts w:ascii="Times New Roman" w:cs="Times New Roman" w:eastAsia="Times New Roman" w:hAnsi="Times New Roman"/>
          <w:sz w:val="16"/>
          <w:szCs w:val="1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137795</wp:posOffset>
            </wp:positionV>
            <wp:extent cx="714819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2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PURSUANT TO SECTION 13 OR 15(d)</w:t>
      </w:r>
    </w:p>
    <w:p>
      <w:pPr>
        <w:spacing w:after="0" w:line="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OF THE SECURITIES EXCHANGE ACT OF 1934</w:t>
      </w:r>
    </w:p>
    <w:p>
      <w:pPr>
        <w:spacing w:after="0" w:line="18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July 25,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137795</wp:posOffset>
            </wp:positionV>
            <wp:extent cx="714819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38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9"/>
          <w:szCs w:val="29"/>
          <w:b w:val="1"/>
          <w:bCs w:val="1"/>
          <w:color w:val="auto"/>
        </w:rPr>
        <w:t>Ventoux CCM Acquisition Corp.</w:t>
      </w:r>
    </w:p>
    <w:p>
      <w:pPr>
        <w:spacing w:after="0" w:line="33" w:lineRule="exact"/>
        <w:rPr>
          <w:sz w:val="24"/>
          <w:szCs w:val="24"/>
          <w:color w:val="auto"/>
        </w:rPr>
      </w:pPr>
    </w:p>
    <w:p>
      <w:pPr>
        <w:jc w:val="center"/>
        <w:ind w:right="76"/>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714819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385" w:lineRule="exact"/>
        <w:rPr>
          <w:sz w:val="24"/>
          <w:szCs w:val="24"/>
          <w:color w:val="auto"/>
        </w:rPr>
      </w:pPr>
    </w:p>
    <w:tbl>
      <w:tblPr>
        <w:tblLayout w:type="fixed"/>
        <w:tblInd w:w="4" w:type="dxa"/>
        <w:tblCellMar>
          <w:top w:w="0" w:type="dxa"/>
          <w:left w:w="0" w:type="dxa"/>
          <w:bottom w:w="0" w:type="dxa"/>
          <w:right w:w="0" w:type="dxa"/>
        </w:tblCellMar>
      </w:tblPr>
      <w:tr>
        <w:trPr>
          <w:trHeight w:val="226"/>
        </w:trPr>
        <w:tc>
          <w:tcPr>
            <w:tcW w:w="3040" w:type="dxa"/>
            <w:vAlign w:val="bottom"/>
          </w:tcPr>
          <w:p>
            <w:pPr>
              <w:jc w:val="center"/>
              <w:ind w:left="48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4400" w:type="dxa"/>
            <w:vAlign w:val="bottom"/>
            <w:gridSpan w:val="3"/>
          </w:tcPr>
          <w:p>
            <w:pPr>
              <w:jc w:val="center"/>
              <w:ind w:left="720"/>
              <w:spacing w:after="0"/>
              <w:rPr>
                <w:sz w:val="20"/>
                <w:szCs w:val="20"/>
                <w:color w:val="auto"/>
              </w:rPr>
            </w:pPr>
            <w:r>
              <w:rPr>
                <w:rFonts w:ascii="Times New Roman" w:cs="Times New Roman" w:eastAsia="Times New Roman" w:hAnsi="Times New Roman"/>
                <w:sz w:val="16"/>
                <w:szCs w:val="16"/>
                <w:b w:val="1"/>
                <w:bCs w:val="1"/>
                <w:color w:val="auto"/>
                <w:w w:val="98"/>
              </w:rPr>
              <w:t>001-39830</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80" w:type="dxa"/>
            <w:vAlign w:val="bottom"/>
          </w:tcPr>
          <w:p>
            <w:pPr>
              <w:jc w:val="center"/>
              <w:ind w:right="660"/>
              <w:spacing w:after="0"/>
              <w:rPr>
                <w:sz w:val="20"/>
                <w:szCs w:val="20"/>
                <w:color w:val="auto"/>
              </w:rPr>
            </w:pPr>
            <w:r>
              <w:rPr>
                <w:rFonts w:ascii="Times New Roman" w:cs="Times New Roman" w:eastAsia="Times New Roman" w:hAnsi="Times New Roman"/>
                <w:sz w:val="16"/>
                <w:szCs w:val="16"/>
                <w:b w:val="1"/>
                <w:bCs w:val="1"/>
                <w:color w:val="auto"/>
              </w:rPr>
              <w:t>84-2968594</w:t>
            </w:r>
          </w:p>
        </w:tc>
      </w:tr>
      <w:tr>
        <w:trPr>
          <w:trHeight w:val="173"/>
        </w:trPr>
        <w:tc>
          <w:tcPr>
            <w:tcW w:w="3040" w:type="dxa"/>
            <w:vAlign w:val="bottom"/>
            <w:tcBorders>
              <w:top w:val="single" w:sz="8" w:color="auto"/>
            </w:tcBorders>
          </w:tcPr>
          <w:p>
            <w:pPr>
              <w:jc w:val="center"/>
              <w:ind w:left="480"/>
              <w:spacing w:after="0" w:line="173" w:lineRule="exact"/>
              <w:rPr>
                <w:sz w:val="20"/>
                <w:szCs w:val="20"/>
                <w:color w:val="auto"/>
              </w:rPr>
            </w:pPr>
            <w:r>
              <w:rPr>
                <w:rFonts w:ascii="Times New Roman" w:cs="Times New Roman" w:eastAsia="Times New Roman" w:hAnsi="Times New Roman"/>
                <w:sz w:val="16"/>
                <w:szCs w:val="16"/>
                <w:b w:val="1"/>
                <w:bCs w:val="1"/>
                <w:color w:val="auto"/>
                <w:w w:val="99"/>
              </w:rPr>
              <w:t>(State or Other Jurisdiction</w:t>
            </w:r>
          </w:p>
        </w:tc>
        <w:tc>
          <w:tcPr>
            <w:tcW w:w="5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600" w:type="dxa"/>
            <w:vAlign w:val="bottom"/>
            <w:tcBorders>
              <w:top w:val="single" w:sz="8" w:color="auto"/>
            </w:tcBorders>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9"/>
              </w:rPr>
              <w:t>(Commission File Number)</w:t>
            </w:r>
          </w:p>
        </w:tc>
        <w:tc>
          <w:tcPr>
            <w:tcW w:w="22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880" w:type="dxa"/>
            <w:vAlign w:val="bottom"/>
            <w:tcBorders>
              <w:top w:val="single" w:sz="8" w:color="auto"/>
            </w:tcBorders>
          </w:tcPr>
          <w:p>
            <w:pPr>
              <w:jc w:val="center"/>
              <w:ind w:right="660"/>
              <w:spacing w:after="0" w:line="173" w:lineRule="exact"/>
              <w:rPr>
                <w:sz w:val="20"/>
                <w:szCs w:val="20"/>
                <w:color w:val="auto"/>
              </w:rPr>
            </w:pPr>
            <w:r>
              <w:rPr>
                <w:rFonts w:ascii="Times New Roman" w:cs="Times New Roman" w:eastAsia="Times New Roman" w:hAnsi="Times New Roman"/>
                <w:sz w:val="16"/>
                <w:szCs w:val="16"/>
                <w:b w:val="1"/>
                <w:bCs w:val="1"/>
                <w:color w:val="auto"/>
                <w:w w:val="98"/>
              </w:rPr>
              <w:t>(IRS Employer</w:t>
            </w:r>
          </w:p>
        </w:tc>
      </w:tr>
      <w:tr>
        <w:trPr>
          <w:trHeight w:val="210"/>
        </w:trPr>
        <w:tc>
          <w:tcPr>
            <w:tcW w:w="3040" w:type="dxa"/>
            <w:vAlign w:val="bottom"/>
          </w:tcPr>
          <w:p>
            <w:pPr>
              <w:jc w:val="center"/>
              <w:ind w:left="480"/>
              <w:spacing w:after="0"/>
              <w:rPr>
                <w:sz w:val="20"/>
                <w:szCs w:val="20"/>
                <w:color w:val="auto"/>
              </w:rPr>
            </w:pPr>
            <w:r>
              <w:rPr>
                <w:rFonts w:ascii="Times New Roman" w:cs="Times New Roman" w:eastAsia="Times New Roman" w:hAnsi="Times New Roman"/>
                <w:sz w:val="16"/>
                <w:szCs w:val="16"/>
                <w:b w:val="1"/>
                <w:bCs w:val="1"/>
                <w:color w:val="auto"/>
              </w:rPr>
              <w:t>of Incorporation)</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80" w:type="dxa"/>
            <w:vAlign w:val="bottom"/>
          </w:tcPr>
          <w:p>
            <w:pPr>
              <w:jc w:val="center"/>
              <w:ind w:right="640"/>
              <w:spacing w:after="0"/>
              <w:rPr>
                <w:sz w:val="20"/>
                <w:szCs w:val="20"/>
                <w:color w:val="auto"/>
              </w:rPr>
            </w:pPr>
            <w:r>
              <w:rPr>
                <w:rFonts w:ascii="Times New Roman" w:cs="Times New Roman" w:eastAsia="Times New Roman" w:hAnsi="Times New Roman"/>
                <w:sz w:val="16"/>
                <w:szCs w:val="16"/>
                <w:b w:val="1"/>
                <w:bCs w:val="1"/>
                <w:color w:val="auto"/>
                <w:w w:val="98"/>
              </w:rPr>
              <w:t>Identification No.)</w:t>
            </w:r>
          </w:p>
        </w:tc>
      </w:tr>
      <w:tr>
        <w:trPr>
          <w:trHeight w:val="364"/>
        </w:trPr>
        <w:tc>
          <w:tcPr>
            <w:tcW w:w="3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40" w:type="dxa"/>
            <w:vAlign w:val="bottom"/>
            <w:gridSpan w:val="3"/>
          </w:tcPr>
          <w:p>
            <w:pPr>
              <w:jc w:val="center"/>
              <w:ind w:right="980"/>
              <w:spacing w:after="0"/>
              <w:rPr>
                <w:sz w:val="20"/>
                <w:szCs w:val="20"/>
                <w:color w:val="auto"/>
              </w:rPr>
            </w:pPr>
            <w:r>
              <w:rPr>
                <w:rFonts w:ascii="Times New Roman" w:cs="Times New Roman" w:eastAsia="Times New Roman" w:hAnsi="Times New Roman"/>
                <w:sz w:val="16"/>
                <w:szCs w:val="16"/>
                <w:b w:val="1"/>
                <w:bCs w:val="1"/>
                <w:color w:val="auto"/>
                <w:w w:val="99"/>
              </w:rPr>
              <w:t>1 East Putnam Avenue, Floor 4</w:t>
            </w:r>
          </w:p>
        </w:tc>
        <w:tc>
          <w:tcPr>
            <w:tcW w:w="2880" w:type="dxa"/>
            <w:vAlign w:val="bottom"/>
          </w:tcPr>
          <w:p>
            <w:pPr>
              <w:spacing w:after="0"/>
              <w:rPr>
                <w:sz w:val="24"/>
                <w:szCs w:val="24"/>
                <w:color w:val="auto"/>
              </w:rPr>
            </w:pPr>
          </w:p>
        </w:tc>
      </w:tr>
      <w:tr>
        <w:trPr>
          <w:trHeight w:val="191"/>
        </w:trPr>
        <w:tc>
          <w:tcPr>
            <w:tcW w:w="3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540" w:type="dxa"/>
            <w:vAlign w:val="bottom"/>
            <w:gridSpan w:val="3"/>
          </w:tcPr>
          <w:p>
            <w:pPr>
              <w:jc w:val="center"/>
              <w:ind w:right="980"/>
              <w:spacing w:after="0"/>
              <w:rPr>
                <w:sz w:val="20"/>
                <w:szCs w:val="20"/>
                <w:color w:val="auto"/>
              </w:rPr>
            </w:pPr>
            <w:r>
              <w:rPr>
                <w:rFonts w:ascii="Times New Roman" w:cs="Times New Roman" w:eastAsia="Times New Roman" w:hAnsi="Times New Roman"/>
                <w:sz w:val="16"/>
                <w:szCs w:val="16"/>
                <w:b w:val="1"/>
                <w:bCs w:val="1"/>
                <w:color w:val="auto"/>
                <w:w w:val="99"/>
              </w:rPr>
              <w:t>Greenwich, CT 06830</w:t>
            </w:r>
          </w:p>
        </w:tc>
        <w:tc>
          <w:tcPr>
            <w:tcW w:w="2880" w:type="dxa"/>
            <w:vAlign w:val="bottom"/>
          </w:tcPr>
          <w:p>
            <w:pPr>
              <w:spacing w:after="0"/>
              <w:rPr>
                <w:sz w:val="16"/>
                <w:szCs w:val="16"/>
                <w:color w:val="auto"/>
              </w:rPr>
            </w:pPr>
          </w:p>
        </w:tc>
      </w:tr>
      <w:tr>
        <w:trPr>
          <w:trHeight w:val="210"/>
        </w:trPr>
        <w:tc>
          <w:tcPr>
            <w:tcW w:w="3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540" w:type="dxa"/>
            <w:vAlign w:val="bottom"/>
            <w:gridSpan w:val="3"/>
          </w:tcPr>
          <w:p>
            <w:pPr>
              <w:jc w:val="center"/>
              <w:ind w:right="980"/>
              <w:spacing w:after="0"/>
              <w:rPr>
                <w:sz w:val="20"/>
                <w:szCs w:val="20"/>
                <w:color w:val="auto"/>
              </w:rPr>
            </w:pPr>
            <w:r>
              <w:rPr>
                <w:rFonts w:ascii="Times New Roman" w:cs="Times New Roman" w:eastAsia="Times New Roman" w:hAnsi="Times New Roman"/>
                <w:sz w:val="16"/>
                <w:szCs w:val="16"/>
                <w:b w:val="1"/>
                <w:bCs w:val="1"/>
                <w:color w:val="auto"/>
                <w:w w:val="99"/>
              </w:rPr>
              <w:t>(Address of principal executive office) (zip code)</w:t>
            </w:r>
          </w:p>
        </w:tc>
        <w:tc>
          <w:tcPr>
            <w:tcW w:w="2880" w:type="dxa"/>
            <w:vAlign w:val="bottom"/>
          </w:tcPr>
          <w:p>
            <w:pPr>
              <w:spacing w:after="0"/>
              <w:rPr>
                <w:sz w:val="18"/>
                <w:szCs w:val="18"/>
                <w:color w:val="auto"/>
              </w:rPr>
            </w:pPr>
          </w:p>
        </w:tc>
      </w:tr>
      <w:tr>
        <w:trPr>
          <w:trHeight w:val="382"/>
        </w:trPr>
        <w:tc>
          <w:tcPr>
            <w:tcW w:w="3040" w:type="dxa"/>
            <w:vAlign w:val="bottom"/>
          </w:tcPr>
          <w:p>
            <w:pPr>
              <w:spacing w:after="0"/>
              <w:rPr>
                <w:sz w:val="24"/>
                <w:szCs w:val="24"/>
                <w:color w:val="auto"/>
              </w:rPr>
            </w:pPr>
          </w:p>
        </w:tc>
        <w:tc>
          <w:tcPr>
            <w:tcW w:w="5340" w:type="dxa"/>
            <w:vAlign w:val="bottom"/>
            <w:gridSpan w:val="5"/>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Registrant’s telephone number, including area code: (646) 465-9000</w:t>
            </w:r>
          </w:p>
        </w:tc>
        <w:tc>
          <w:tcPr>
            <w:tcW w:w="2880" w:type="dxa"/>
            <w:vAlign w:val="bottom"/>
          </w:tcPr>
          <w:p>
            <w:pPr>
              <w:spacing w:after="0"/>
              <w:rPr>
                <w:sz w:val="24"/>
                <w:szCs w:val="24"/>
                <w:color w:val="auto"/>
              </w:rPr>
            </w:pPr>
          </w:p>
        </w:tc>
      </w:tr>
      <w:tr>
        <w:trPr>
          <w:trHeight w:val="364"/>
        </w:trPr>
        <w:tc>
          <w:tcPr>
            <w:tcW w:w="3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40" w:type="dxa"/>
            <w:vAlign w:val="bottom"/>
            <w:gridSpan w:val="3"/>
          </w:tcPr>
          <w:p>
            <w:pPr>
              <w:jc w:val="center"/>
              <w:ind w:right="980"/>
              <w:spacing w:after="0"/>
              <w:rPr>
                <w:sz w:val="20"/>
                <w:szCs w:val="20"/>
                <w:color w:val="auto"/>
              </w:rPr>
            </w:pPr>
            <w:r>
              <w:rPr>
                <w:rFonts w:ascii="Times New Roman" w:cs="Times New Roman" w:eastAsia="Times New Roman" w:hAnsi="Times New Roman"/>
                <w:sz w:val="16"/>
                <w:szCs w:val="16"/>
                <w:b w:val="1"/>
                <w:bCs w:val="1"/>
                <w:color w:val="auto"/>
              </w:rPr>
              <w:t>N/A</w:t>
            </w:r>
          </w:p>
        </w:tc>
        <w:tc>
          <w:tcPr>
            <w:tcW w:w="2880" w:type="dxa"/>
            <w:vAlign w:val="bottom"/>
          </w:tcPr>
          <w:p>
            <w:pPr>
              <w:spacing w:after="0"/>
              <w:rPr>
                <w:sz w:val="24"/>
                <w:szCs w:val="24"/>
                <w:color w:val="auto"/>
              </w:rPr>
            </w:pPr>
          </w:p>
        </w:tc>
      </w:tr>
      <w:tr>
        <w:trPr>
          <w:trHeight w:val="210"/>
        </w:trPr>
        <w:tc>
          <w:tcPr>
            <w:tcW w:w="3040" w:type="dxa"/>
            <w:vAlign w:val="bottom"/>
          </w:tcPr>
          <w:p>
            <w:pPr>
              <w:spacing w:after="0"/>
              <w:rPr>
                <w:sz w:val="18"/>
                <w:szCs w:val="18"/>
                <w:color w:val="auto"/>
              </w:rPr>
            </w:pPr>
          </w:p>
        </w:tc>
        <w:tc>
          <w:tcPr>
            <w:tcW w:w="5340" w:type="dxa"/>
            <w:vAlign w:val="bottom"/>
            <w:gridSpan w:val="5"/>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(Former name or former address, if changed since last report)</w:t>
            </w:r>
          </w:p>
        </w:tc>
        <w:tc>
          <w:tcPr>
            <w:tcW w:w="288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714819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38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(see</w:t>
      </w:r>
    </w:p>
    <w:p>
      <w:pPr>
        <w:spacing w:after="0" w:line="24" w:lineRule="exact"/>
        <w:rPr>
          <w:sz w:val="24"/>
          <w:szCs w:val="24"/>
          <w:color w:val="auto"/>
        </w:rPr>
      </w:pPr>
    </w:p>
    <w:p>
      <w:pPr>
        <w:ind w:left="4"/>
        <w:spacing w:after="0"/>
        <w:rPr>
          <w:sz w:val="20"/>
          <w:szCs w:val="20"/>
          <w:color w:val="auto"/>
        </w:rPr>
      </w:pPr>
      <w:r>
        <w:rPr>
          <w:rFonts w:ascii="Times New Roman" w:cs="Times New Roman" w:eastAsia="Times New Roman" w:hAnsi="Times New Roman"/>
          <w:sz w:val="16"/>
          <w:szCs w:val="16"/>
          <w:color w:val="auto"/>
        </w:rPr>
        <w:t>General Instruction A.2. below):</w:t>
      </w:r>
    </w:p>
    <w:p>
      <w:pPr>
        <w:spacing w:after="0" w:line="182" w:lineRule="exact"/>
        <w:rPr>
          <w:sz w:val="24"/>
          <w:szCs w:val="24"/>
          <w:color w:val="auto"/>
        </w:rPr>
      </w:pPr>
    </w:p>
    <w:p>
      <w:pPr>
        <w:ind w:left="284" w:hanging="284"/>
        <w:spacing w:after="0"/>
        <w:tabs>
          <w:tab w:leader="none" w:pos="28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98" w:lineRule="exact"/>
        <w:rPr>
          <w:sz w:val="24"/>
          <w:szCs w:val="24"/>
          <w:color w:val="auto"/>
        </w:rPr>
      </w:pPr>
    </w:p>
    <w:p>
      <w:pPr>
        <w:ind w:left="284" w:hanging="284"/>
        <w:spacing w:after="0"/>
        <w:tabs>
          <w:tab w:leader="none" w:pos="284"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98" w:lineRule="exact"/>
        <w:rPr>
          <w:rFonts w:ascii="MS PGothic" w:cs="MS PGothic" w:eastAsia="MS PGothic" w:hAnsi="MS PGothic"/>
          <w:sz w:val="16"/>
          <w:szCs w:val="16"/>
          <w:color w:val="auto"/>
        </w:rPr>
      </w:pPr>
    </w:p>
    <w:p>
      <w:pPr>
        <w:ind w:left="284" w:hanging="284"/>
        <w:spacing w:after="0"/>
        <w:tabs>
          <w:tab w:leader="none" w:pos="284"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98" w:lineRule="exact"/>
        <w:rPr>
          <w:rFonts w:ascii="MS PGothic" w:cs="MS PGothic" w:eastAsia="MS PGothic" w:hAnsi="MS PGothic"/>
          <w:sz w:val="16"/>
          <w:szCs w:val="16"/>
          <w:color w:val="auto"/>
        </w:rPr>
      </w:pPr>
    </w:p>
    <w:p>
      <w:pPr>
        <w:ind w:left="4" w:right="3860" w:hanging="4"/>
        <w:spacing w:after="0" w:line="505" w:lineRule="auto"/>
        <w:tabs>
          <w:tab w:leader="none" w:pos="291"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91"/>
        </w:trPr>
        <w:tc>
          <w:tcPr>
            <w:tcW w:w="3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 of each exchange on which</w:t>
            </w:r>
          </w:p>
        </w:tc>
      </w:tr>
      <w:tr>
        <w:trPr>
          <w:trHeight w:val="214"/>
        </w:trPr>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240" w:type="dxa"/>
            <w:vAlign w:val="bottom"/>
          </w:tcPr>
          <w:p>
            <w:pPr>
              <w:spacing w:after="0"/>
              <w:rPr>
                <w:sz w:val="18"/>
                <w:szCs w:val="18"/>
                <w:color w:val="auto"/>
              </w:rPr>
            </w:pP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Trading Symbol(s)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registered</w:t>
            </w:r>
          </w:p>
        </w:tc>
      </w:tr>
      <w:tr>
        <w:trPr>
          <w:trHeight w:val="203"/>
        </w:trPr>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Common Stock</w:t>
            </w:r>
          </w:p>
        </w:tc>
        <w:tc>
          <w:tcPr>
            <w:tcW w:w="240" w:type="dxa"/>
            <w:vAlign w:val="bottom"/>
            <w:shd w:val="clear" w:color="auto" w:fill="CCEEFF"/>
          </w:tcPr>
          <w:p>
            <w:pPr>
              <w:spacing w:after="0"/>
              <w:rPr>
                <w:sz w:val="17"/>
                <w:szCs w:val="17"/>
                <w:color w:val="auto"/>
              </w:rPr>
            </w:pP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VTAQ</w:t>
            </w:r>
          </w:p>
        </w:tc>
        <w:tc>
          <w:tcPr>
            <w:tcW w:w="2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The Nasdaq Stock Market LLC</w:t>
            </w:r>
          </w:p>
        </w:tc>
      </w:tr>
      <w:tr>
        <w:trPr>
          <w:trHeight w:val="212"/>
        </w:trPr>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Warrants</w:t>
            </w:r>
          </w:p>
        </w:tc>
        <w:tc>
          <w:tcPr>
            <w:tcW w:w="240" w:type="dxa"/>
            <w:vAlign w:val="bottom"/>
          </w:tcPr>
          <w:p>
            <w:pPr>
              <w:spacing w:after="0"/>
              <w:rPr>
                <w:sz w:val="18"/>
                <w:szCs w:val="18"/>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VTAQW</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The Nasdaq Stock Market LLC</w:t>
            </w:r>
          </w:p>
        </w:tc>
      </w:tr>
      <w:tr>
        <w:trPr>
          <w:trHeight w:val="195"/>
        </w:trPr>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Rights</w:t>
            </w:r>
          </w:p>
        </w:tc>
        <w:tc>
          <w:tcPr>
            <w:tcW w:w="240" w:type="dxa"/>
            <w:vAlign w:val="bottom"/>
            <w:shd w:val="clear" w:color="auto" w:fill="CCEEFF"/>
          </w:tcPr>
          <w:p>
            <w:pPr>
              <w:spacing w:after="0"/>
              <w:rPr>
                <w:sz w:val="16"/>
                <w:szCs w:val="16"/>
                <w:color w:val="auto"/>
              </w:rPr>
            </w:pP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VTAQR</w:t>
            </w:r>
          </w:p>
        </w:tc>
        <w:tc>
          <w:tcPr>
            <w:tcW w:w="20" w:type="dxa"/>
            <w:vAlign w:val="bottom"/>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The Nasdaq Stock Market LLC</w:t>
            </w:r>
          </w:p>
        </w:tc>
      </w:tr>
      <w:tr>
        <w:trPr>
          <w:trHeight w:val="208"/>
        </w:trPr>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Units</w:t>
            </w:r>
          </w:p>
        </w:tc>
        <w:tc>
          <w:tcPr>
            <w:tcW w:w="240" w:type="dxa"/>
            <w:vAlign w:val="bottom"/>
          </w:tcPr>
          <w:p>
            <w:pPr>
              <w:spacing w:after="0"/>
              <w:rPr>
                <w:sz w:val="18"/>
                <w:szCs w:val="18"/>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VTAQU</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The Nasdaq Stock Market LLC</w:t>
            </w:r>
          </w:p>
        </w:tc>
      </w:tr>
    </w:tbl>
    <w:p>
      <w:pPr>
        <w:spacing w:after="0" w:line="182" w:lineRule="exact"/>
        <w:rPr>
          <w:sz w:val="24"/>
          <w:szCs w:val="24"/>
          <w:color w:val="auto"/>
        </w:rPr>
      </w:pPr>
    </w:p>
    <w:p>
      <w:pPr>
        <w:jc w:val="both"/>
        <w:ind w:left="4"/>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8" w:lineRule="exact"/>
        <w:rPr>
          <w:sz w:val="24"/>
          <w:szCs w:val="24"/>
          <w:color w:val="auto"/>
        </w:rPr>
      </w:pPr>
    </w:p>
    <w:p>
      <w:pPr>
        <w:ind w:left="4"/>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24" w:lineRule="exact"/>
        <w:rPr>
          <w:sz w:val="24"/>
          <w:szCs w:val="24"/>
          <w:color w:val="auto"/>
        </w:rPr>
      </w:pPr>
    </w:p>
    <w:p>
      <w:pPr>
        <w:jc w:val="both"/>
        <w:ind w:left="4"/>
        <w:spacing w:after="0" w:line="207"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14819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134620</wp:posOffset>
            </wp:positionV>
            <wp:extent cx="714819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528955</wp:posOffset>
            </wp:positionV>
            <wp:extent cx="714819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468" w:right="31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Item 1.01.</w:t>
      </w:r>
      <w:r>
        <w:rPr>
          <w:sz w:val="20"/>
          <w:szCs w:val="20"/>
          <w:color w:val="auto"/>
        </w:rPr>
        <w:tab/>
      </w:r>
      <w:r>
        <w:rPr>
          <w:rFonts w:ascii="Times New Roman" w:cs="Times New Roman" w:eastAsia="Times New Roman" w:hAnsi="Times New Roman"/>
          <w:sz w:val="15"/>
          <w:szCs w:val="15"/>
          <w:b w:val="1"/>
          <w:bCs w:val="1"/>
          <w:color w:val="auto"/>
        </w:rPr>
        <w:t>Entry into a Material Definitive Agreement.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Amendment No. 2 to the Merger Agreement</w:t>
      </w:r>
    </w:p>
    <w:p>
      <w:pPr>
        <w:spacing w:after="0" w:line="200"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On July 25, 2022, Ventoux CCM Acquisition Corp. (the “Company” or “Ventoux”), Ventoux Merger Sub I Inc., Ventoux Merger Sub II LLC, and E La Carte, Inc. (“Presto”) entered into a second amendment (“Amendment No. 2”) to that certain Agreement and Plan of Merger dated November 10, 2021 (the “Merger Agreement”), as amended on April 1, 2022 by Amendment No. 1 to the Merger Agreement. Amendment No. 2 amends the Merger Agreement to, among other things:</w:t>
      </w:r>
    </w:p>
    <w:p>
      <w:pPr>
        <w:spacing w:after="0" w:line="155" w:lineRule="exact"/>
        <w:rPr>
          <w:sz w:val="20"/>
          <w:szCs w:val="20"/>
          <w:color w:val="auto"/>
        </w:rPr>
      </w:pPr>
    </w:p>
    <w:p>
      <w:pPr>
        <w:ind w:left="860" w:hanging="291"/>
        <w:spacing w:after="0"/>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lower the equity valuation of Presto from $800 million to $525 million;</w:t>
      </w:r>
    </w:p>
    <w:p>
      <w:pPr>
        <w:spacing w:after="0" w:line="198" w:lineRule="exact"/>
        <w:rPr>
          <w:rFonts w:ascii="Times New Roman" w:cs="Times New Roman" w:eastAsia="Times New Roman" w:hAnsi="Times New Roman"/>
          <w:sz w:val="16"/>
          <w:szCs w:val="16"/>
          <w:color w:val="auto"/>
        </w:rPr>
      </w:pPr>
    </w:p>
    <w:p>
      <w:pPr>
        <w:ind w:left="860" w:hanging="291"/>
        <w:spacing w:after="0"/>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for the treatment of outstanding restricted stock units of Presto at the Effective Time;</w:t>
      </w:r>
    </w:p>
    <w:p>
      <w:pPr>
        <w:spacing w:after="0" w:line="198" w:lineRule="exact"/>
        <w:rPr>
          <w:rFonts w:ascii="Times New Roman" w:cs="Times New Roman" w:eastAsia="Times New Roman" w:hAnsi="Times New Roman"/>
          <w:sz w:val="16"/>
          <w:szCs w:val="16"/>
          <w:color w:val="auto"/>
        </w:rPr>
      </w:pPr>
    </w:p>
    <w:p>
      <w:pPr>
        <w:ind w:left="860" w:hanging="291"/>
        <w:spacing w:after="0"/>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amend the dates of expiry in respect of the initial term of each class of directors of the Acquiror Board post-Closing; and</w:t>
      </w:r>
    </w:p>
    <w:p>
      <w:pPr>
        <w:spacing w:after="0" w:line="198" w:lineRule="exact"/>
        <w:rPr>
          <w:rFonts w:ascii="Times New Roman" w:cs="Times New Roman" w:eastAsia="Times New Roman" w:hAnsi="Times New Roman"/>
          <w:sz w:val="16"/>
          <w:szCs w:val="16"/>
          <w:color w:val="auto"/>
        </w:rPr>
      </w:pPr>
    </w:p>
    <w:p>
      <w:pPr>
        <w:ind w:left="860" w:hanging="291"/>
        <w:spacing w:after="0"/>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extend the termination date of the Merger Agreement from August 31, 2022 to December 31, 2022.</w:t>
      </w:r>
    </w:p>
    <w:p>
      <w:pPr>
        <w:spacing w:after="0" w:line="198"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The foregoing description of Amendment No. 2 does not purport to be complete and is qualified in its entirety by the full text of Amendment No. 2, which is filed hereto as Exhibit 2.1 and is incorporated herein by reference.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Amendment to Sponsor Support Agreement</w:t>
      </w:r>
    </w:p>
    <w:p>
      <w:pPr>
        <w:spacing w:after="0" w:line="200"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Concurrently with the execution of Amendment No. 2, Ventoux Acquisition Holdings LLC and Chardan International Investments, LLC, respectively (the “Sponsors”), entered into an amended and restated Sponsor Support Agreement (the “Amended and Restated Sponsor Support Agreement”). The Amended and Restated Sponsor Support Agreement amends the original Sponsor Support Agreement to:</w:t>
      </w:r>
    </w:p>
    <w:p>
      <w:pPr>
        <w:spacing w:after="0" w:line="155" w:lineRule="exact"/>
        <w:rPr>
          <w:sz w:val="20"/>
          <w:szCs w:val="20"/>
          <w:color w:val="auto"/>
        </w:rPr>
      </w:pPr>
    </w:p>
    <w:p>
      <w:pPr>
        <w:jc w:val="both"/>
        <w:ind w:left="860" w:hanging="291"/>
        <w:spacing w:after="0" w:line="259" w:lineRule="auto"/>
        <w:tabs>
          <w:tab w:leader="none" w:pos="8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a total of 444,500 founder shares (the “Sponsors’ Earnout Shares”) held by the Sponsors to vesting over a five-year period, such that four equal portions of the Sponsors’ Earnout Shares will vest when the volume weighted average price (the “VWAP”) of the Company’s common stock (the “Common Stock”) post-business combination is over $12.00, $15.00, $20.00 and $25.00, respectively, for any 40 trading days within any 60 trading day period within five years after the closing of the business combination;</w:t>
      </w:r>
    </w:p>
    <w:p>
      <w:pPr>
        <w:spacing w:after="0" w:line="161" w:lineRule="exact"/>
        <w:rPr>
          <w:rFonts w:ascii="Times New Roman" w:cs="Times New Roman" w:eastAsia="Times New Roman" w:hAnsi="Times New Roman"/>
          <w:sz w:val="16"/>
          <w:szCs w:val="16"/>
          <w:color w:val="auto"/>
        </w:rPr>
      </w:pPr>
    </w:p>
    <w:p>
      <w:pPr>
        <w:ind w:left="860" w:hanging="291"/>
        <w:spacing w:after="0"/>
        <w:tabs>
          <w:tab w:leader="none" w:pos="8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any vested founder shares (initially an aggregate of 2,689,187 shares) held by Sponsors to an 18-month lockup period; and</w:t>
      </w:r>
    </w:p>
    <w:p>
      <w:pPr>
        <w:spacing w:after="0" w:line="198" w:lineRule="exact"/>
        <w:rPr>
          <w:rFonts w:ascii="Times New Roman" w:cs="Times New Roman" w:eastAsia="Times New Roman" w:hAnsi="Times New Roman"/>
          <w:sz w:val="16"/>
          <w:szCs w:val="16"/>
          <w:color w:val="auto"/>
        </w:rPr>
      </w:pPr>
    </w:p>
    <w:p>
      <w:pPr>
        <w:ind w:left="860" w:right="20" w:hanging="291"/>
        <w:spacing w:after="0" w:line="280" w:lineRule="auto"/>
        <w:tabs>
          <w:tab w:leader="none" w:pos="8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waive any adjustment of the exercise price of the private placement warrants held by the Sponsors pursuant to Section 4.4.2 of the Company’s warrant agreement, dated as of December 23, 2020 (the “Warrant Agreement”).</w:t>
      </w:r>
    </w:p>
    <w:p>
      <w:pPr>
        <w:spacing w:after="0" w:line="144"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The foregoing description of the Amended and Restated Sponsor Support Agreement does not purport to be complete and is qualified in its entirety by the full text of the Amended and Restated Sponsor Support Agreement, which is filed hereto as Exhibit 10.6 and is incorporated herein by reference.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Amendment to Support Agreement</w:t>
      </w:r>
    </w:p>
    <w:p>
      <w:pPr>
        <w:spacing w:after="0" w:line="200"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Concurrently with the execution of Amendment No. 2, certain stockholders of Presto (“Stockholders”) entered into an amended and restated Support Agreement (the “Amended and Restated Support Agreement”) with Presto and Ventoux. The Amended and Restated Support Agreement amends the original Support Agreement to subject any shares of Common Stock held by the Stockholders as of and immediately following the Closing Date to an 18-month lockup period.</w:t>
      </w:r>
    </w:p>
    <w:p>
      <w:pPr>
        <w:spacing w:after="0" w:line="155"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The foregoing description of the Amended and Restated Support Agreement does not purport to be complete and is qualified in its entirety by the full text of the Amended and Restated Support Agreement, which is filed hereto as Exhibit 10.8 and is incorporated herein by reference.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38"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i w:val="1"/>
          <w:iCs w:val="1"/>
          <w:color w:val="auto"/>
        </w:rPr>
        <w:t>Amended and Restated Subscription Agreements and Form of Indenture</w:t>
      </w:r>
    </w:p>
    <w:p>
      <w:pPr>
        <w:spacing w:after="0" w:line="200" w:lineRule="exact"/>
        <w:rPr>
          <w:sz w:val="20"/>
          <w:szCs w:val="20"/>
          <w:color w:val="auto"/>
        </w:rPr>
      </w:pPr>
    </w:p>
    <w:p>
      <w:pPr>
        <w:jc w:val="both"/>
        <w:ind w:firstLine="574"/>
        <w:spacing w:after="0" w:line="251" w:lineRule="auto"/>
        <w:rPr>
          <w:sz w:val="20"/>
          <w:szCs w:val="20"/>
          <w:color w:val="auto"/>
        </w:rPr>
      </w:pPr>
      <w:r>
        <w:rPr>
          <w:rFonts w:ascii="Times New Roman" w:cs="Times New Roman" w:eastAsia="Times New Roman" w:hAnsi="Times New Roman"/>
          <w:sz w:val="16"/>
          <w:szCs w:val="16"/>
          <w:color w:val="auto"/>
        </w:rPr>
        <w:t>Concurrently with the execution of Amendment No. 2, the Company entered into certain new and amended and restated equity subscription agreements, each dated as of July 25, 2022 (the “Equity Subscription Agreements”), with certain accredited investors, pursuant to which, among other things, the Company agreed to issue and sell, in private placements to close immediately prior to or substantially concurrently with the closing of the Company’s business combination (the “Closing”), an aggregate of 7,667,437 shares of Common Stock for an aggregate consideration of $60.0 million Of 14 Equity Subscription Agreements, 11, representing a total investment of $6.9 million, were entered into by current Presto investors and directors and officers. The remaining Equity Subscription Agreements representing a total investment of $53.1 million were entered into with investors that are unaffiliated with the Company, its Sponsors, Presto or any of their affiliates, which includes a $50 million investment from an entity affiliated with Cleveland Avenue, LLC (“Cleveland Avenue”) at an effective price per share of $7.14. The effective price per share of Cleveland Avenue’s investment takes into account (i) the subscription of 6,593,687 shares of Common Stock for an aggregate purchase price of $50 million and (ii) the transfer of 406,313 Founder Shares by the Sponsors to Cleveland Avenue for nominal consideration. As a result, the exercise price of Ventoux’s public warrants will be reduced from $11.50 per share to $8.21 per share pursuant to the Warrant Agreement. Each of the previously outstanding subscription agreements executed by the Company with certain accredited investors on November 10, 2021 that were not amended and restated were cancelled. The Equity Subscription Agreements provide that the Company (or its successor) must file a registration statement with the SEC to register the resale of the subscribed common stock no later than 30 days after the Closing Date. In connection with the execution and delivery of the Equity Subscription Agreements, the Sponsors agreed to transfer, or cause to be transferred, 1,088,813 Founder Shares to certain of the subscribers. The Company has agreed that these Founder Shares will be included in the registration statement referenced above.</w:t>
      </w:r>
    </w:p>
    <w:p>
      <w:pPr>
        <w:spacing w:after="0" w:line="174"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Concurrently with the execution of Amendment No. 2, the Company also entered into an amended and restated convertible note subscription agreement (the “Amended and Restated Convertible Note Subscription Agreement” and, together with the Amended and Restated Equity Subscription Agreements, the “Amended and Restated Subscription Agreements”), dated as of July 25, 2022, with an institutional accredited investor (the “Note Investor”), pursuant to which VTAQ and the Note Investor agreed to, among other things:</w:t>
      </w:r>
    </w:p>
    <w:p>
      <w:pPr>
        <w:spacing w:after="0" w:line="162" w:lineRule="exact"/>
        <w:rPr>
          <w:sz w:val="20"/>
          <w:szCs w:val="20"/>
          <w:color w:val="auto"/>
        </w:rPr>
      </w:pPr>
    </w:p>
    <w:p>
      <w:pPr>
        <w:ind w:left="860" w:hanging="291"/>
        <w:spacing w:after="0"/>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decrease the aggregate principal amount of convertible notes (the “Notes”) from $55 million to $25 million;</w:t>
      </w:r>
    </w:p>
    <w:p>
      <w:pPr>
        <w:spacing w:after="0" w:line="198" w:lineRule="exact"/>
        <w:rPr>
          <w:rFonts w:ascii="Times New Roman" w:cs="Times New Roman" w:eastAsia="Times New Roman" w:hAnsi="Times New Roman"/>
          <w:sz w:val="16"/>
          <w:szCs w:val="16"/>
          <w:color w:val="auto"/>
        </w:rPr>
      </w:pPr>
    </w:p>
    <w:p>
      <w:pPr>
        <w:ind w:left="860" w:hanging="291"/>
        <w:spacing w:after="0"/>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 the warrants issuable to the Note Investor from 1,000,000 warrants to 1,500,000 warrants (the “Note Financing Warrants”);</w:t>
      </w:r>
    </w:p>
    <w:p>
      <w:pPr>
        <w:spacing w:after="0" w:line="198" w:lineRule="exact"/>
        <w:rPr>
          <w:rFonts w:ascii="Times New Roman" w:cs="Times New Roman" w:eastAsia="Times New Roman" w:hAnsi="Times New Roman"/>
          <w:sz w:val="16"/>
          <w:szCs w:val="16"/>
          <w:color w:val="auto"/>
        </w:rPr>
      </w:pPr>
    </w:p>
    <w:p>
      <w:pPr>
        <w:ind w:left="860" w:hanging="291"/>
        <w:spacing w:after="0"/>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amend the conversion terms of the Note such that the Notes are initially convertible into Common Stock at a price equal to $11.50;</w:t>
      </w:r>
    </w:p>
    <w:p>
      <w:pPr>
        <w:spacing w:after="0" w:line="198" w:lineRule="exact"/>
        <w:rPr>
          <w:rFonts w:ascii="Times New Roman" w:cs="Times New Roman" w:eastAsia="Times New Roman" w:hAnsi="Times New Roman"/>
          <w:sz w:val="16"/>
          <w:szCs w:val="16"/>
          <w:color w:val="auto"/>
        </w:rPr>
      </w:pPr>
    </w:p>
    <w:p>
      <w:pPr>
        <w:ind w:left="860" w:right="20" w:hanging="291"/>
        <w:spacing w:after="0" w:line="280" w:lineRule="auto"/>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addition to the other closing conditions set forth therein, condition the closing of the transactions contemplated by the Amended and Restated Convertible Note Subscription Agreement to the Company having cash and cash equivalents of $45 million;</w:t>
      </w:r>
    </w:p>
    <w:p>
      <w:pPr>
        <w:spacing w:after="0" w:line="144" w:lineRule="exact"/>
        <w:rPr>
          <w:rFonts w:ascii="Times New Roman" w:cs="Times New Roman" w:eastAsia="Times New Roman" w:hAnsi="Times New Roman"/>
          <w:sz w:val="16"/>
          <w:szCs w:val="16"/>
          <w:color w:val="auto"/>
        </w:rPr>
      </w:pPr>
    </w:p>
    <w:p>
      <w:pPr>
        <w:ind w:left="860" w:hanging="291"/>
        <w:spacing w:after="0"/>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 the interest payable under the Notes to 20.0% per annum, of which 15.0% will be payable in cash and 5.0% will be payable in kind; and</w:t>
      </w:r>
    </w:p>
    <w:p>
      <w:pPr>
        <w:spacing w:after="0" w:line="198" w:lineRule="exact"/>
        <w:rPr>
          <w:rFonts w:ascii="Times New Roman" w:cs="Times New Roman" w:eastAsia="Times New Roman" w:hAnsi="Times New Roman"/>
          <w:sz w:val="16"/>
          <w:szCs w:val="16"/>
          <w:color w:val="auto"/>
        </w:rPr>
      </w:pPr>
    </w:p>
    <w:p>
      <w:pPr>
        <w:ind w:left="860" w:hanging="291"/>
        <w:spacing w:after="0"/>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 the number of founder shares to be transferred from the Sponsors to the Note Investor from 300,000 founder shares to 600,000 founder shares.</w:t>
      </w:r>
    </w:p>
    <w:p>
      <w:pPr>
        <w:spacing w:after="0" w:line="198"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The Indenture governing the Notes will contain certain customary negative covenants, including limitations on indebtedness, restricted payments, liens, asset sales and transactions with affiliates. The Indenture will also require that the Company maintain a minimum cash balance of $30 million and limit cash expenditures on acquisitions and investments to $30 million, in each case, until the Company achieves positive consolidated EBITDA (as calculated in the Indenture) for two consecutive quarters, at which point such covenants will be suspended.</w:t>
      </w:r>
    </w:p>
    <w:p>
      <w:pPr>
        <w:spacing w:after="0" w:line="162"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The foregoing description of the Equity Subscription Agreements does not purport to be complete and is qualified in its entirety by the full text of the Equity Subscription Agreements, and the Form of Indenture which are filed hereto as Exhibits 10.1, 10.2, 10.3 and 4.1, respectively, and are incorporated herein by reference.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i w:val="1"/>
          <w:iCs w:val="1"/>
          <w:color w:val="auto"/>
        </w:rPr>
        <w:t>Amended and Restated Warrant Agreement</w:t>
      </w:r>
    </w:p>
    <w:p>
      <w:pPr>
        <w:spacing w:after="0" w:line="200" w:lineRule="exact"/>
        <w:rPr>
          <w:sz w:val="20"/>
          <w:szCs w:val="20"/>
          <w:color w:val="auto"/>
        </w:rPr>
      </w:pPr>
    </w:p>
    <w:p>
      <w:pPr>
        <w:jc w:val="both"/>
        <w:ind w:right="20" w:firstLine="574"/>
        <w:spacing w:after="0" w:line="257" w:lineRule="auto"/>
        <w:rPr>
          <w:sz w:val="20"/>
          <w:szCs w:val="20"/>
          <w:color w:val="auto"/>
        </w:rPr>
      </w:pPr>
      <w:r>
        <w:rPr>
          <w:rFonts w:ascii="Times New Roman" w:cs="Times New Roman" w:eastAsia="Times New Roman" w:hAnsi="Times New Roman"/>
          <w:sz w:val="16"/>
          <w:szCs w:val="16"/>
          <w:color w:val="auto"/>
        </w:rPr>
        <w:t>At the Closing, the Company, the Sponsors and Continental Stock Transfer &amp; Trust Company, as warrant agent, will enter into an amended and restated warrant agreement (the “Amended and Restated Warrant Agreement”) to reflect the issuance of the Note Financing Warrants. In addition, the Amended and Restated Warrant Agreement also provides that 900,000 of the Sponsors’ 6,675,000 private placement warrants will be cancelled. Each Note Financing Warrant and each private placement warrant is exercisable for one share of Common Stock at an exercise price of $11.50 per share, and each public warrant is exercisable for one share of Common Stock at an exercise price of $8.21 per share.</w:t>
      </w:r>
    </w:p>
    <w:p>
      <w:pPr>
        <w:spacing w:after="0" w:line="162"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The foregoing description of the Amended and Restated Warrant Agreement does not purport to be complete and is qualified in its entirety by the terms and conditions of the Form of Amended and Restated Warrant Agreement, a copy of which is filed as Exhibit 10.4 hereto, respectively, and is incorporated herein by reference.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Amended and Restated Registration Rights Agreement</w:t>
      </w:r>
    </w:p>
    <w:p>
      <w:pPr>
        <w:spacing w:after="0" w:line="200" w:lineRule="exact"/>
        <w:rPr>
          <w:sz w:val="20"/>
          <w:szCs w:val="20"/>
          <w:color w:val="auto"/>
        </w:rPr>
      </w:pPr>
    </w:p>
    <w:p>
      <w:pPr>
        <w:jc w:val="both"/>
        <w:ind w:right="20" w:firstLine="574"/>
        <w:spacing w:after="0" w:line="257" w:lineRule="auto"/>
        <w:rPr>
          <w:sz w:val="20"/>
          <w:szCs w:val="20"/>
          <w:color w:val="auto"/>
        </w:rPr>
      </w:pPr>
      <w:r>
        <w:rPr>
          <w:rFonts w:ascii="Times New Roman" w:cs="Times New Roman" w:eastAsia="Times New Roman" w:hAnsi="Times New Roman"/>
          <w:sz w:val="16"/>
          <w:szCs w:val="16"/>
          <w:color w:val="auto"/>
        </w:rPr>
        <w:t>At the Closing, the Company, the Sponsors, the Note Investor, certain investors and other holders of Presto capital stock, including Cleveland Avenue (the “Presto Holders” and together with the Sponsors and the investors, the “Holders”) will enter into an amended and restated registration rights agreement (the “Amended and Restated Registration Rights Agreement”). Pursuant to the terms of the Amended and Restated Registration Rights Agreement, the Company will be obligated to file a registration statement to register the resale of certain securities of the Company held by the Holders. The Amended and Restated Registration Rights Agreement also provides the Holders with certain “demand” and “piggy-back” registration rights, subject to certain requirements and customary conditions.</w:t>
      </w:r>
    </w:p>
    <w:p>
      <w:pPr>
        <w:spacing w:after="0" w:line="162"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The foregoing description of the Amended and Restated Registration Rights Agreement does not purport to be complete and is qualified in its entirety by the terms and conditions of the Form of Amended and Restated Registration Rights Agreement, a copy of which is filed as Exhibit 10.5 hereto, respectively, and is incorporated herein by reference.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Governance Agreement</w:t>
      </w:r>
    </w:p>
    <w:p>
      <w:pPr>
        <w:spacing w:after="0" w:line="200"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At the Closing, the Company, Rajat Suri, REMUS Capital, an affiliate of Presto, Cleveland Avenue and certain other parties set forth therein, will enter into a Governance Agreement (the “Governance Agreement”) to provide for certain governance rights and address certain governance matters relating to the Company. The Governance Agreement will provide each of Mr. Suri, Cleveland Avenue and REMUS Capital with the right to nominate one individual to the Company’s board of directors, subject to certain qualifications, requirements and exceptions as set forth therein, including varying equity holding threshold requirements.</w:t>
      </w:r>
    </w:p>
    <w:p>
      <w:pPr>
        <w:spacing w:after="0" w:line="162"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The foregoing description of the Governance Agreement does not purport to be complete and is qualified in its entirety by the terms and conditions of the Governance Agreement, a form of which is attached as Exhibit 10.7 hereto, and the terms of which are incorporated herein by reference.</w:t>
      </w:r>
    </w:p>
    <w:p>
      <w:pPr>
        <w:spacing w:after="0" w:line="14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Item 3.02.</w:t>
      </w:r>
      <w:r>
        <w:rPr>
          <w:sz w:val="20"/>
          <w:szCs w:val="20"/>
          <w:color w:val="auto"/>
        </w:rPr>
        <w:tab/>
      </w:r>
      <w:r>
        <w:rPr>
          <w:rFonts w:ascii="Times New Roman" w:cs="Times New Roman" w:eastAsia="Times New Roman" w:hAnsi="Times New Roman"/>
          <w:sz w:val="15"/>
          <w:szCs w:val="15"/>
          <w:b w:val="1"/>
          <w:bCs w:val="1"/>
          <w:color w:val="auto"/>
        </w:rPr>
        <w:t>Unregistered Sales of Equity Securities.</w:t>
      </w:r>
    </w:p>
    <w:p>
      <w:pPr>
        <w:spacing w:after="0" w:line="200"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The disclosure set forth above in Item 1.01 of this Current Report on Form 8-K under the headings “Amended and Restated Subscription Agreements and Form of Indenture” and “Amended and Restated Warrant Agreement” are incorporated by reference herein. The shares of Common Stock to be issued and sold pursuant to the Subscription Agreements, the Notes and Financing Warrants issued pursuant to the Amended and Restated Convertible Note Subscription Agreement, the shares of Common Stock issuable upon conversion of the Notes and the exercise of the Financing Warrants will not be registered under the Securities Act of 1933, as amended (the “Securities Act”), in reliance on the exemption from registration provided by Section 4(a)(2) of the Securities Act and/or Regulation D promulgated thereunder.</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4" w:name="page5"/>
    <w:bookmarkEnd w:id="4"/>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Item 7.01.</w:t>
      </w:r>
      <w:r>
        <w:rPr>
          <w:sz w:val="20"/>
          <w:szCs w:val="20"/>
          <w:color w:val="auto"/>
        </w:rPr>
        <w:tab/>
      </w:r>
      <w:r>
        <w:rPr>
          <w:rFonts w:ascii="Times New Roman" w:cs="Times New Roman" w:eastAsia="Times New Roman" w:hAnsi="Times New Roman"/>
          <w:sz w:val="15"/>
          <w:szCs w:val="15"/>
          <w:b w:val="1"/>
          <w:bCs w:val="1"/>
          <w:color w:val="auto"/>
        </w:rPr>
        <w:t>Regulation FD Disclosure.</w:t>
      </w:r>
    </w:p>
    <w:p>
      <w:pPr>
        <w:spacing w:after="0" w:line="200"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On July 26, 2022, the Company and Presto together issued a press release announcing the execution of Amendment No.2, matters relating to the Business Combination and certain other matters. The press release is attached hereto as Exhibit 99.1 and incorporated herein by reference.</w:t>
      </w:r>
    </w:p>
    <w:p>
      <w:pPr>
        <w:spacing w:after="0" w:line="144"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Attached as Exhibit 99.2 hereto and incorporated herein by reference is the investor presentation dated July 2022, which will be used by the Company with respect to the Business Combination.</w:t>
      </w:r>
    </w:p>
    <w:p>
      <w:pPr>
        <w:spacing w:after="0" w:line="144" w:lineRule="exact"/>
        <w:rPr>
          <w:sz w:val="20"/>
          <w:szCs w:val="20"/>
          <w:color w:val="auto"/>
        </w:rPr>
      </w:pPr>
    </w:p>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The information in this Item 7.01, including Exhibits 99.1 and 99.2 are furnished and shall not be deemed “filed” for purposes of Section 18 of the Securities Exchange Act of 1934, as amended (the “Exchange Act”), or otherwise subject to liabilities under that section, and shall not be deemed to be incorporated by reference into the filings of the Company under the Securities Act or the Exchange Act, regardless of any general incorporation language in such filings. This Current Report on Form 8-K will not be deemed an admission as to the materiality of any information of the information in this Item 7.01, including Exhibits 99.1 and 99.2.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Additional Information and Where to Find It</w:t>
      </w:r>
    </w:p>
    <w:p>
      <w:pPr>
        <w:spacing w:after="0" w:line="202"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In connection with the proposed business combination involving Ventoux and Presto, Ventoux has filed a registration statement, which includes a preliminary proxy statement/prospectus, with the SEC. The proxy statement/prospectus will be sent to stockholders of Ventoux. This Current Report on Form 8-K is not a substitute for the proxy statement/prospectus. INVESTORS AND SECURITY HOLDERS AND OTHER INTERESTED PARTIES ARE URGED TO READ THE PROXY STATEMENT/PROSPECTUS AND ANY OTHER RELEVANT DOCUMENTS THAT HAVE BEEN FILED OR WILL BE FILED WITH THE SEC, AS WELL AS ANY AMENDMENTS OR SUPPLEMENTS TO THESE DOCUMENTS, CAREFULLY AND IN THEIR ENTIRETY WHEN THEY BECOME AVAILABLE BECAUSE THEY WILL CONTAIN IMPORTANT INFORMATION ABOUT PRESTO, VENTOUX, THE PROPOSED BUSINESS COMBINATION AND RELATED MATTERS. The documents filed or that will be filed with the SEC relating to the proposed business combination (when they are available) can be obtained free of charge from the SEC’s website at www.sec.gov. These documents (when they are available) can also be obtained free of charge from Ventoux upon written request at Ventoux CCM Acquisition Corp., 1 East Putnam Avenue, Floor 4, Greenwich, CT 06830.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No Offer or Solicitation</w:t>
      </w:r>
    </w:p>
    <w:p>
      <w:pPr>
        <w:spacing w:after="0" w:line="202" w:lineRule="exact"/>
        <w:rPr>
          <w:sz w:val="20"/>
          <w:szCs w:val="20"/>
          <w:color w:val="auto"/>
        </w:rPr>
      </w:pPr>
    </w:p>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This communication is for informational purposes only and is not intended to and shall not constitute a proxy statement or the solicitation of a proxy, consent or authorization with respect to any securities in respect of the proposed business combination and shall not constitute an offer to sell or the solicitation of an offer to buy or subscribe for any securities or a solicitation of any vote of approval, nor shall there be any sale, issuance or transfer of securities in any jurisdiction in which such offer, solicitation or sale would be unlawful prior to registration or qualification under the securities laws of any such jurisdiction.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Participants in Solicitation</w:t>
      </w:r>
    </w:p>
    <w:p>
      <w:pPr>
        <w:spacing w:after="0" w:line="202"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This communication is not a solicitation of a proxy from any investor or security holder. However, Ventoux, Presto, and certain of their directors and executive officers may be deemed to be participants in the solicitation of proxies in connection with the proposed business combination under the rules of the SEC. Information about Ventoux’s directors and executive officers and their ownership of Ventoux’s securities is set forth in filings with the SEC, including Ventoux’s annual report on Form 10-K filed with the SEC on February 23, 2022. To the extent that holdings of Ventoux’s securities have changed since the amounts included in Ventoux’s most recent annual report, such changes have been or will be reflected on Statements of Change in Ownership on Form 4 filed with the SEC. Additional information regarding the participants will also be included in the proxy statement/prospectus, when it becomes available. When available, these documents can be obtained free of charge from the sources indicated above.</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5" w:name="page6"/>
    <w:bookmarkEnd w:id="5"/>
    <w:p>
      <w:pPr>
        <w:ind w:left="4"/>
        <w:spacing w:after="0"/>
        <w:rPr>
          <w:sz w:val="20"/>
          <w:szCs w:val="20"/>
          <w:color w:val="auto"/>
        </w:rPr>
      </w:pPr>
      <w:r>
        <w:rPr>
          <w:rFonts w:ascii="Times New Roman" w:cs="Times New Roman" w:eastAsia="Times New Roman" w:hAnsi="Times New Roman"/>
          <w:sz w:val="16"/>
          <w:szCs w:val="16"/>
          <w:b w:val="1"/>
          <w:bCs w:val="1"/>
          <w:i w:val="1"/>
          <w:iCs w:val="1"/>
          <w:color w:val="auto"/>
        </w:rPr>
        <w:t>Forward-Looking Statements</w:t>
      </w:r>
    </w:p>
    <w:p>
      <w:pPr>
        <w:spacing w:after="0" w:line="202" w:lineRule="exact"/>
        <w:rPr>
          <w:sz w:val="20"/>
          <w:szCs w:val="20"/>
          <w:color w:val="auto"/>
        </w:rPr>
      </w:pPr>
    </w:p>
    <w:p>
      <w:pPr>
        <w:jc w:val="both"/>
        <w:ind w:left="4" w:firstLine="574"/>
        <w:spacing w:after="0" w:line="253" w:lineRule="auto"/>
        <w:rPr>
          <w:sz w:val="20"/>
          <w:szCs w:val="20"/>
          <w:color w:val="auto"/>
        </w:rPr>
      </w:pPr>
      <w:r>
        <w:rPr>
          <w:rFonts w:ascii="Times New Roman" w:cs="Times New Roman" w:eastAsia="Times New Roman" w:hAnsi="Times New Roman"/>
          <w:sz w:val="16"/>
          <w:szCs w:val="16"/>
          <w:color w:val="auto"/>
        </w:rPr>
        <w:t>This Current Report on Form 8-K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“will likely result,” “are expected to,” “will continue,” “is anticipated,” “estimated,” “believe,” “intend,” “plan,” “projection,” “outlook” or words of similar meaning. These forward-looking statements include, but are not limited to, statements regarding Presto’s industry and market sizes, future opportunities for VTAQ, Presto and the combined company following the proposed business combination, VTAQ’s and Presto’s estimated future results and the proposed business combination, the expected transaction and ownership structure and the likelihood and ability of the parties to successfully consummate the proposed business combination.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66" w:lineRule="exact"/>
        <w:rPr>
          <w:sz w:val="20"/>
          <w:szCs w:val="20"/>
          <w:color w:val="auto"/>
        </w:rPr>
      </w:pPr>
    </w:p>
    <w:p>
      <w:pPr>
        <w:jc w:val="both"/>
        <w:ind w:left="4" w:firstLine="574"/>
        <w:spacing w:after="0" w:line="250" w:lineRule="auto"/>
        <w:rPr>
          <w:sz w:val="20"/>
          <w:szCs w:val="20"/>
          <w:color w:val="auto"/>
        </w:rPr>
      </w:pPr>
      <w:r>
        <w:rPr>
          <w:rFonts w:ascii="Times New Roman" w:cs="Times New Roman" w:eastAsia="Times New Roman" w:hAnsi="Times New Roman"/>
          <w:sz w:val="16"/>
          <w:szCs w:val="16"/>
          <w:color w:val="auto"/>
        </w:rPr>
        <w:t>In addition to factors previously disclosed or that will be disclosed in Ventoux’s reports filed with the SEC and those identified elsewhere in this communication, the following factors, among others, could cause actual results and the timing of events to differ materially from the anticipated results or other expectations expressed in the forward-looking statements: (1) the occurrence of any event, change or other circumstances that could give rise to the termination of the merger agreement or could otherwise cause the transactions contemplated therein to fail to close; (2) the outcome of any legal proceedings that may be instituted against Ventoux, Presto, the Company or others following the announcement of the proposed business combination and any definitive agreements with respect thereto; (3) the inability to complete the proposed business combination due to the failure to obtain approval of the stockholders of Ventoux or Presto; (4) the inability of Presto to satisfy other conditions to closing; (5) changes to the proposed structure of the proposed business combination that may be required or appropriate as a result of applicable laws or regulations or as a condition to obtaining regulatory approval of the proposed business combination; (6) the ability to meet stock exchange listing standards in connection with and following the consummation of the proposed business combination; (7) the risk that the proposed business combination disrupts current plans and operations of Presto as a result of the announcement and consummation of the proposed business combination; (8) the ability to recognize the anticipated benefits of the proposed business combination, which may be affected by, among other things, competition, the ability of the Company to grow and manage growth profitably, grow its customer base, maintain relationships with customers and suppliers and retain its management and key employees; (9) the impact of the COVID-19 pandemic on the business of Presto and the Company (including the effects of the ongoing global supply chain shortage); (10) Presto’s limited operating history and history of net losses; (11) Presto’s customer concentration and reliance on a limited number of key technology providers and payment processors facilitating payments to and by Presto’s customers; (12) costs related to proposed business combination; (13) changes in applicable laws or regulations; (14) the possibility that Presto or the Company may be adversely affected by other economic, business, regulatory, and/or competitive factors;</w:t>
      </w:r>
    </w:p>
    <w:p>
      <w:pPr>
        <w:spacing w:after="0" w:line="10" w:lineRule="exact"/>
        <w:rPr>
          <w:sz w:val="20"/>
          <w:szCs w:val="20"/>
          <w:color w:val="auto"/>
        </w:rPr>
      </w:pPr>
    </w:p>
    <w:p>
      <w:pPr>
        <w:jc w:val="both"/>
        <w:ind w:left="4" w:hanging="4"/>
        <w:spacing w:after="0" w:line="252" w:lineRule="auto"/>
        <w:tabs>
          <w:tab w:leader="none" w:pos="315"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Presto’s estimates of expenses and profitability; (16) the evolution of the markets in which Presto competes; (17) the ability of Presto to implement its strategic initiatives and continue to innovate its existing products; (18) the ability of Presto to adhere to legal requirements with respect to the protection of personal data and privacy laws; (19) cybersecurity risks, data loss and other breaches of Presto’s network security and the disclosure of personal information; and (20) the risk of regulatory lawsuits or proceedings relating to Presto’s products or services.</w:t>
      </w:r>
    </w:p>
    <w:p>
      <w:pPr>
        <w:spacing w:after="0" w:line="167" w:lineRule="exact"/>
        <w:rPr>
          <w:sz w:val="20"/>
          <w:szCs w:val="20"/>
          <w:color w:val="auto"/>
        </w:rPr>
      </w:pPr>
    </w:p>
    <w:p>
      <w:pPr>
        <w:jc w:val="both"/>
        <w:ind w:left="4" w:firstLine="574"/>
        <w:spacing w:after="0" w:line="253" w:lineRule="auto"/>
        <w:rPr>
          <w:sz w:val="20"/>
          <w:szCs w:val="20"/>
          <w:color w:val="auto"/>
        </w:rPr>
      </w:pPr>
      <w:r>
        <w:rPr>
          <w:rFonts w:ascii="Times New Roman" w:cs="Times New Roman" w:eastAsia="Times New Roman" w:hAnsi="Times New Roman"/>
          <w:sz w:val="16"/>
          <w:szCs w:val="16"/>
          <w:color w:val="auto"/>
        </w:rPr>
        <w:t>Actual results, performance or achievements may differ materially, and potentially adversely, from any projections and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 All information set forth herein speaks only as of the date hereof in the case of information about Ventoux and Presto or the date of such information in the case of information from persons other than Ventoux and Presto, and we disclaim any intention or obligation to update any forward-looking statements as a result of developments occurring after the date of this communication. Forecasts and estimates regarding Presto’s industry and end markets are based on sources we believe to be reliable, however there can be no assurance these forecasts and estimates will prove accurate in whole or in part. Annualized, pro forma, projected and estimated numbers are used for illustrative purposes only, are not forecasts and may not reflect actual results.</w:t>
      </w:r>
    </w:p>
    <w:p>
      <w:pPr>
        <w:spacing w:after="0" w:line="3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2" w:right="319" w:bottom="1440" w:gutter="0" w:footer="0" w:header="0"/>
        </w:sectPr>
      </w:pPr>
    </w:p>
    <w:bookmarkStart w:id="6" w:name="page7"/>
    <w:bookmarkEnd w:id="6"/>
    <w:p>
      <w:pPr>
        <w:ind w:left="4"/>
        <w:spacing w:after="0"/>
        <w:tabs>
          <w:tab w:leader="none" w:pos="884" w:val="left"/>
        </w:tabs>
        <w:rPr>
          <w:sz w:val="20"/>
          <w:szCs w:val="20"/>
          <w:color w:val="auto"/>
        </w:rPr>
      </w:pPr>
      <w:r>
        <w:rPr>
          <w:rFonts w:ascii="Times New Roman" w:cs="Times New Roman" w:eastAsia="Times New Roman" w:hAnsi="Times New Roman"/>
          <w:sz w:val="16"/>
          <w:szCs w:val="16"/>
          <w:b w:val="1"/>
          <w:bCs w:val="1"/>
          <w:color w:val="auto"/>
        </w:rPr>
        <w:t>Item 9.01.</w:t>
      </w:r>
      <w:r>
        <w:rPr>
          <w:sz w:val="20"/>
          <w:szCs w:val="20"/>
          <w:color w:val="auto"/>
        </w:rPr>
        <w:tab/>
      </w:r>
      <w:r>
        <w:rPr>
          <w:rFonts w:ascii="Times New Roman" w:cs="Times New Roman" w:eastAsia="Times New Roman" w:hAnsi="Times New Roman"/>
          <w:sz w:val="15"/>
          <w:szCs w:val="15"/>
          <w:b w:val="1"/>
          <w:bCs w:val="1"/>
          <w:color w:val="auto"/>
        </w:rPr>
        <w:t>Financial Statements and Exhibits.</w:t>
      </w:r>
    </w:p>
    <w:p>
      <w:pPr>
        <w:spacing w:after="0" w:line="200" w:lineRule="exact"/>
        <w:rPr>
          <w:sz w:val="20"/>
          <w:szCs w:val="20"/>
          <w:color w:val="auto"/>
        </w:rPr>
      </w:pPr>
    </w:p>
    <w:p>
      <w:pPr>
        <w:ind w:left="904" w:hanging="543"/>
        <w:spacing w:after="0"/>
        <w:tabs>
          <w:tab w:leader="none" w:pos="904"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Exhibits.</w:t>
      </w:r>
    </w:p>
    <w:p>
      <w:pPr>
        <w:spacing w:after="0" w:line="196" w:lineRule="exact"/>
        <w:rPr>
          <w:sz w:val="20"/>
          <w:szCs w:val="20"/>
          <w:color w:val="auto"/>
        </w:rPr>
      </w:pPr>
    </w:p>
    <w:tbl>
      <w:tblPr>
        <w:tblLayout w:type="fixed"/>
        <w:tblInd w:w="4" w:type="dxa"/>
        <w:tblCellMar>
          <w:top w:w="0" w:type="dxa"/>
          <w:left w:w="0" w:type="dxa"/>
          <w:bottom w:w="0" w:type="dxa"/>
          <w:right w:w="0" w:type="dxa"/>
        </w:tblCellMar>
      </w:tblPr>
      <w:tr>
        <w:trPr>
          <w:trHeight w:val="191"/>
        </w:trPr>
        <w:tc>
          <w:tcPr>
            <w:tcW w:w="1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4"/>
        </w:trPr>
        <w:tc>
          <w:tcPr>
            <w:tcW w:w="1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40" w:type="dxa"/>
            <w:vAlign w:val="bottom"/>
          </w:tcPr>
          <w:p>
            <w:pPr>
              <w:spacing w:after="0"/>
              <w:rPr>
                <w:sz w:val="18"/>
                <w:szCs w:val="18"/>
                <w:color w:val="auto"/>
              </w:rPr>
            </w:pPr>
          </w:p>
        </w:tc>
        <w:tc>
          <w:tcPr>
            <w:tcW w:w="10100" w:type="dxa"/>
            <w:vAlign w:val="bottom"/>
            <w:gridSpan w:val="11"/>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55"/>
        </w:trPr>
        <w:tc>
          <w:tcPr>
            <w:tcW w:w="1020" w:type="dxa"/>
            <w:vAlign w:val="bottom"/>
            <w:tcBorders>
              <w:top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2.1†</w:t>
            </w:r>
          </w:p>
        </w:tc>
        <w:tc>
          <w:tcPr>
            <w:tcW w:w="140" w:type="dxa"/>
            <w:vAlign w:val="bottom"/>
            <w:tcBorders>
              <w:top w:val="single" w:sz="8" w:color="CCEEFF"/>
              <w:right w:val="single" w:sz="8" w:color="CCEEFF"/>
            </w:tcBorders>
            <w:shd w:val="clear" w:color="auto" w:fill="CCEEFF"/>
          </w:tcPr>
          <w:p>
            <w:pPr>
              <w:spacing w:after="0"/>
              <w:rPr>
                <w:sz w:val="13"/>
                <w:szCs w:val="13"/>
                <w:color w:val="auto"/>
              </w:rPr>
            </w:pPr>
          </w:p>
        </w:tc>
        <w:tc>
          <w:tcPr>
            <w:tcW w:w="10100" w:type="dxa"/>
            <w:vAlign w:val="bottom"/>
            <w:tcBorders>
              <w:top w:val="single" w:sz="8" w:color="auto"/>
            </w:tcBorders>
            <w:gridSpan w:val="11"/>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EE"/>
              </w:rPr>
              <w:t>Second Amendment to the Merger Agreement, dated as of July 25, 2022, by and among VTAQ, Ventoux Merger Sub Inc., Ventoux Merger Sub II, LLC and</w:t>
            </w:r>
          </w:p>
        </w:tc>
      </w:tr>
      <w:tr>
        <w:trPr>
          <w:trHeight w:val="171"/>
        </w:trPr>
        <w:tc>
          <w:tcPr>
            <w:tcW w:w="10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right w:val="single" w:sz="8" w:color="CCEEFF"/>
            </w:tcBorders>
            <w:shd w:val="clear" w:color="auto" w:fill="CCEEFF"/>
          </w:tcPr>
          <w:p>
            <w:pPr>
              <w:spacing w:after="0"/>
              <w:rPr>
                <w:sz w:val="14"/>
                <w:szCs w:val="14"/>
                <w:color w:val="auto"/>
              </w:rPr>
            </w:pPr>
          </w:p>
        </w:tc>
        <w:tc>
          <w:tcPr>
            <w:tcW w:w="10080" w:type="dxa"/>
            <w:vAlign w:val="bottom"/>
            <w:tcBorders>
              <w:top w:val="single" w:sz="8" w:color="0000EE"/>
            </w:tcBorders>
            <w:gridSpan w:val="10"/>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rPr>
              <w:t>Presto.</w:t>
            </w:r>
          </w:p>
        </w:tc>
        <w:tc>
          <w:tcPr>
            <w:tcW w:w="20" w:type="dxa"/>
            <w:vAlign w:val="bottom"/>
            <w:tcBorders>
              <w:top w:val="single" w:sz="8" w:color="CCEEFF"/>
            </w:tcBorders>
            <w:shd w:val="clear" w:color="auto" w:fill="CCEEFF"/>
          </w:tcPr>
          <w:p>
            <w:pPr>
              <w:spacing w:after="0"/>
              <w:rPr>
                <w:sz w:val="14"/>
                <w:szCs w:val="14"/>
                <w:color w:val="auto"/>
              </w:rPr>
            </w:pPr>
          </w:p>
        </w:tc>
      </w:tr>
      <w:tr>
        <w:trPr>
          <w:trHeight w:val="36"/>
        </w:trPr>
        <w:tc>
          <w:tcPr>
            <w:tcW w:w="10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600" w:type="dxa"/>
            <w:vAlign w:val="bottom"/>
            <w:tcBorders>
              <w:left w:val="single" w:sz="8" w:color="CCEEFF"/>
            </w:tcBorders>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2100" w:type="dxa"/>
            <w:vAlign w:val="bottom"/>
            <w:shd w:val="clear" w:color="auto" w:fill="CCEEFF"/>
          </w:tcPr>
          <w:p>
            <w:pPr>
              <w:spacing w:after="0"/>
              <w:rPr>
                <w:sz w:val="3"/>
                <w:szCs w:val="3"/>
                <w:color w:val="auto"/>
              </w:rPr>
            </w:pPr>
          </w:p>
        </w:tc>
        <w:tc>
          <w:tcPr>
            <w:tcW w:w="132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55"/>
        </w:trPr>
        <w:tc>
          <w:tcPr>
            <w:tcW w:w="102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4.1</w:t>
            </w:r>
          </w:p>
        </w:tc>
        <w:tc>
          <w:tcPr>
            <w:tcW w:w="140" w:type="dxa"/>
            <w:vAlign w:val="bottom"/>
          </w:tcPr>
          <w:p>
            <w:pPr>
              <w:spacing w:after="0"/>
              <w:rPr>
                <w:sz w:val="13"/>
                <w:szCs w:val="13"/>
                <w:color w:val="auto"/>
              </w:rPr>
            </w:pPr>
          </w:p>
        </w:tc>
        <w:tc>
          <w:tcPr>
            <w:tcW w:w="10100" w:type="dxa"/>
            <w:vAlign w:val="bottom"/>
            <w:gridSpan w:val="11"/>
          </w:tcPr>
          <w:p>
            <w:pPr>
              <w:spacing w:after="0" w:line="155" w:lineRule="exact"/>
              <w:rPr>
                <w:sz w:val="20"/>
                <w:szCs w:val="20"/>
                <w:color w:val="auto"/>
              </w:rPr>
            </w:pPr>
            <w:r>
              <w:rPr>
                <w:rFonts w:ascii="Times New Roman" w:cs="Times New Roman" w:eastAsia="Times New Roman" w:hAnsi="Times New Roman"/>
                <w:sz w:val="16"/>
                <w:szCs w:val="16"/>
                <w:color w:val="0000EE"/>
              </w:rPr>
              <w:t>Form of Indenture, by and among VTAQ, the guarantors from time to time party thereto and U.S. Bank, National Association, as trustee.</w:t>
            </w:r>
          </w:p>
        </w:tc>
      </w:tr>
      <w:tr>
        <w:trPr>
          <w:trHeight w:val="28"/>
        </w:trPr>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6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90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1600" w:type="dxa"/>
            <w:vAlign w:val="bottom"/>
            <w:tcBorders>
              <w:left w:val="single" w:sz="8" w:color="0000EE"/>
            </w:tcBorders>
            <w:shd w:val="clear" w:color="auto" w:fill="0000EE"/>
          </w:tcPr>
          <w:p>
            <w:pPr>
              <w:spacing w:after="0"/>
              <w:rPr>
                <w:sz w:val="2"/>
                <w:szCs w:val="2"/>
                <w:color w:val="auto"/>
              </w:rPr>
            </w:pPr>
          </w:p>
        </w:tc>
        <w:tc>
          <w:tcPr>
            <w:tcW w:w="1000" w:type="dxa"/>
            <w:vAlign w:val="bottom"/>
            <w:shd w:val="clear" w:color="auto" w:fill="0000EE"/>
          </w:tcPr>
          <w:p>
            <w:pPr>
              <w:spacing w:after="0"/>
              <w:rPr>
                <w:sz w:val="2"/>
                <w:szCs w:val="2"/>
                <w:color w:val="auto"/>
              </w:rPr>
            </w:pPr>
          </w:p>
        </w:tc>
        <w:tc>
          <w:tcPr>
            <w:tcW w:w="2100" w:type="dxa"/>
            <w:vAlign w:val="bottom"/>
            <w:shd w:val="clear" w:color="auto" w:fill="0000EE"/>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3"/>
        </w:trPr>
        <w:tc>
          <w:tcPr>
            <w:tcW w:w="1020" w:type="dxa"/>
            <w:vAlign w:val="bottom"/>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auto"/>
              </w:rPr>
              <w:t>4.2</w:t>
            </w:r>
          </w:p>
        </w:tc>
        <w:tc>
          <w:tcPr>
            <w:tcW w:w="140" w:type="dxa"/>
            <w:vAlign w:val="bottom"/>
            <w:tcBorders>
              <w:right w:val="single" w:sz="8" w:color="CCEEFF"/>
            </w:tcBorders>
            <w:shd w:val="clear" w:color="auto" w:fill="CCEEFF"/>
          </w:tcPr>
          <w:p>
            <w:pPr>
              <w:spacing w:after="0"/>
              <w:rPr>
                <w:sz w:val="14"/>
                <w:szCs w:val="14"/>
                <w:color w:val="auto"/>
              </w:rPr>
            </w:pPr>
          </w:p>
        </w:tc>
        <w:tc>
          <w:tcPr>
            <w:tcW w:w="10100" w:type="dxa"/>
            <w:vAlign w:val="bottom"/>
            <w:gridSpan w:val="11"/>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0000EE"/>
              </w:rPr>
              <w:t>Form of 15.0% Cash + 5.0% PIK Note due 2026 (included as Exhibit A to Exhibit 4.1 of this Form 8-K).</w:t>
            </w:r>
          </w:p>
        </w:tc>
      </w:tr>
      <w:tr>
        <w:trPr>
          <w:trHeight w:val="36"/>
        </w:trPr>
        <w:tc>
          <w:tcPr>
            <w:tcW w:w="10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16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900" w:type="dxa"/>
            <w:vAlign w:val="bottom"/>
            <w:shd w:val="clear" w:color="auto" w:fill="0000EE"/>
          </w:tcPr>
          <w:p>
            <w:pPr>
              <w:spacing w:after="0"/>
              <w:rPr>
                <w:sz w:val="3"/>
                <w:szCs w:val="3"/>
                <w:color w:val="auto"/>
              </w:rPr>
            </w:pPr>
          </w:p>
        </w:tc>
        <w:tc>
          <w:tcPr>
            <w:tcW w:w="720" w:type="dxa"/>
            <w:vAlign w:val="bottom"/>
            <w:shd w:val="clear" w:color="auto" w:fill="0000EE"/>
          </w:tcPr>
          <w:p>
            <w:pPr>
              <w:spacing w:after="0"/>
              <w:rPr>
                <w:sz w:val="3"/>
                <w:szCs w:val="3"/>
                <w:color w:val="auto"/>
              </w:rPr>
            </w:pPr>
          </w:p>
        </w:tc>
        <w:tc>
          <w:tcPr>
            <w:tcW w:w="1600" w:type="dxa"/>
            <w:vAlign w:val="bottom"/>
            <w:tcBorders>
              <w:left w:val="single" w:sz="8" w:color="0000EE"/>
            </w:tcBorders>
            <w:shd w:val="clear" w:color="auto" w:fill="0000EE"/>
          </w:tcPr>
          <w:p>
            <w:pPr>
              <w:spacing w:after="0"/>
              <w:rPr>
                <w:sz w:val="3"/>
                <w:szCs w:val="3"/>
                <w:color w:val="auto"/>
              </w:rPr>
            </w:pPr>
          </w:p>
        </w:tc>
        <w:tc>
          <w:tcPr>
            <w:tcW w:w="1000" w:type="dxa"/>
            <w:vAlign w:val="bottom"/>
            <w:shd w:val="clear" w:color="auto" w:fill="0000EE"/>
          </w:tcPr>
          <w:p>
            <w:pPr>
              <w:spacing w:after="0"/>
              <w:rPr>
                <w:sz w:val="3"/>
                <w:szCs w:val="3"/>
                <w:color w:val="auto"/>
              </w:rPr>
            </w:pPr>
          </w:p>
        </w:tc>
        <w:tc>
          <w:tcPr>
            <w:tcW w:w="2100" w:type="dxa"/>
            <w:vAlign w:val="bottom"/>
            <w:shd w:val="clear" w:color="auto" w:fill="CCEEFF"/>
          </w:tcPr>
          <w:p>
            <w:pPr>
              <w:spacing w:after="0"/>
              <w:rPr>
                <w:sz w:val="3"/>
                <w:szCs w:val="3"/>
                <w:color w:val="auto"/>
              </w:rPr>
            </w:pPr>
          </w:p>
        </w:tc>
        <w:tc>
          <w:tcPr>
            <w:tcW w:w="132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55"/>
        </w:trPr>
        <w:tc>
          <w:tcPr>
            <w:tcW w:w="102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10.1</w:t>
            </w:r>
          </w:p>
        </w:tc>
        <w:tc>
          <w:tcPr>
            <w:tcW w:w="140" w:type="dxa"/>
            <w:vAlign w:val="bottom"/>
          </w:tcPr>
          <w:p>
            <w:pPr>
              <w:spacing w:after="0"/>
              <w:rPr>
                <w:sz w:val="13"/>
                <w:szCs w:val="13"/>
                <w:color w:val="auto"/>
              </w:rPr>
            </w:pPr>
          </w:p>
        </w:tc>
        <w:tc>
          <w:tcPr>
            <w:tcW w:w="10100" w:type="dxa"/>
            <w:vAlign w:val="bottom"/>
            <w:gridSpan w:val="11"/>
          </w:tcPr>
          <w:p>
            <w:pPr>
              <w:spacing w:after="0" w:line="155" w:lineRule="exact"/>
              <w:rPr>
                <w:sz w:val="20"/>
                <w:szCs w:val="20"/>
                <w:color w:val="auto"/>
              </w:rPr>
            </w:pPr>
            <w:r>
              <w:rPr>
                <w:rFonts w:ascii="Times New Roman" w:cs="Times New Roman" w:eastAsia="Times New Roman" w:hAnsi="Times New Roman"/>
                <w:sz w:val="16"/>
                <w:szCs w:val="16"/>
                <w:color w:val="0000EE"/>
              </w:rPr>
              <w:t>Amended and Restated Convertible Note Subscription Agreement, by and among VTAQ and affiliates of Silver Rock Capital Partners LP.</w:t>
            </w:r>
          </w:p>
        </w:tc>
      </w:tr>
      <w:tr>
        <w:trPr>
          <w:trHeight w:val="28"/>
        </w:trPr>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6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90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1600" w:type="dxa"/>
            <w:vAlign w:val="bottom"/>
            <w:tcBorders>
              <w:left w:val="single" w:sz="8" w:color="0000EE"/>
            </w:tcBorders>
            <w:shd w:val="clear" w:color="auto" w:fill="0000EE"/>
          </w:tcPr>
          <w:p>
            <w:pPr>
              <w:spacing w:after="0"/>
              <w:rPr>
                <w:sz w:val="2"/>
                <w:szCs w:val="2"/>
                <w:color w:val="auto"/>
              </w:rPr>
            </w:pPr>
          </w:p>
        </w:tc>
        <w:tc>
          <w:tcPr>
            <w:tcW w:w="1000" w:type="dxa"/>
            <w:vAlign w:val="bottom"/>
            <w:shd w:val="clear" w:color="auto" w:fill="0000EE"/>
          </w:tcPr>
          <w:p>
            <w:pPr>
              <w:spacing w:after="0"/>
              <w:rPr>
                <w:sz w:val="2"/>
                <w:szCs w:val="2"/>
                <w:color w:val="auto"/>
              </w:rPr>
            </w:pPr>
          </w:p>
        </w:tc>
        <w:tc>
          <w:tcPr>
            <w:tcW w:w="2100" w:type="dxa"/>
            <w:vAlign w:val="bottom"/>
            <w:shd w:val="clear" w:color="auto" w:fill="0000EE"/>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3"/>
        </w:trPr>
        <w:tc>
          <w:tcPr>
            <w:tcW w:w="1020" w:type="dxa"/>
            <w:vAlign w:val="bottom"/>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auto"/>
              </w:rPr>
              <w:t>10.2</w:t>
            </w:r>
          </w:p>
        </w:tc>
        <w:tc>
          <w:tcPr>
            <w:tcW w:w="140" w:type="dxa"/>
            <w:vAlign w:val="bottom"/>
            <w:tcBorders>
              <w:right w:val="single" w:sz="8" w:color="CCEEFF"/>
            </w:tcBorders>
            <w:shd w:val="clear" w:color="auto" w:fill="CCEEFF"/>
          </w:tcPr>
          <w:p>
            <w:pPr>
              <w:spacing w:after="0"/>
              <w:rPr>
                <w:sz w:val="14"/>
                <w:szCs w:val="14"/>
                <w:color w:val="auto"/>
              </w:rPr>
            </w:pPr>
          </w:p>
        </w:tc>
        <w:tc>
          <w:tcPr>
            <w:tcW w:w="10100" w:type="dxa"/>
            <w:vAlign w:val="bottom"/>
            <w:gridSpan w:val="11"/>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0000EE"/>
              </w:rPr>
              <w:t>Cleveland Avenue Subscription Agreement, by and between VTAQ and Presto CA, LLC.</w:t>
            </w:r>
          </w:p>
        </w:tc>
      </w:tr>
      <w:tr>
        <w:trPr>
          <w:trHeight w:val="36"/>
        </w:trPr>
        <w:tc>
          <w:tcPr>
            <w:tcW w:w="10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16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900" w:type="dxa"/>
            <w:vAlign w:val="bottom"/>
            <w:shd w:val="clear" w:color="auto" w:fill="0000EE"/>
          </w:tcPr>
          <w:p>
            <w:pPr>
              <w:spacing w:after="0"/>
              <w:rPr>
                <w:sz w:val="3"/>
                <w:szCs w:val="3"/>
                <w:color w:val="auto"/>
              </w:rPr>
            </w:pPr>
          </w:p>
        </w:tc>
        <w:tc>
          <w:tcPr>
            <w:tcW w:w="720" w:type="dxa"/>
            <w:vAlign w:val="bottom"/>
            <w:shd w:val="clear" w:color="auto" w:fill="0000EE"/>
          </w:tcPr>
          <w:p>
            <w:pPr>
              <w:spacing w:after="0"/>
              <w:rPr>
                <w:sz w:val="3"/>
                <w:szCs w:val="3"/>
                <w:color w:val="auto"/>
              </w:rPr>
            </w:pPr>
          </w:p>
        </w:tc>
        <w:tc>
          <w:tcPr>
            <w:tcW w:w="1600" w:type="dxa"/>
            <w:vAlign w:val="bottom"/>
            <w:tcBorders>
              <w:left w:val="single" w:sz="8" w:color="0000EE"/>
            </w:tcBorders>
            <w:shd w:val="clear" w:color="auto" w:fill="0000EE"/>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2100" w:type="dxa"/>
            <w:vAlign w:val="bottom"/>
            <w:shd w:val="clear" w:color="auto" w:fill="CCEEFF"/>
          </w:tcPr>
          <w:p>
            <w:pPr>
              <w:spacing w:after="0"/>
              <w:rPr>
                <w:sz w:val="3"/>
                <w:szCs w:val="3"/>
                <w:color w:val="auto"/>
              </w:rPr>
            </w:pPr>
          </w:p>
        </w:tc>
        <w:tc>
          <w:tcPr>
            <w:tcW w:w="132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55"/>
        </w:trPr>
        <w:tc>
          <w:tcPr>
            <w:tcW w:w="102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10.3</w:t>
            </w:r>
          </w:p>
        </w:tc>
        <w:tc>
          <w:tcPr>
            <w:tcW w:w="140" w:type="dxa"/>
            <w:vAlign w:val="bottom"/>
          </w:tcPr>
          <w:p>
            <w:pPr>
              <w:spacing w:after="0"/>
              <w:rPr>
                <w:sz w:val="13"/>
                <w:szCs w:val="13"/>
                <w:color w:val="auto"/>
              </w:rPr>
            </w:pPr>
          </w:p>
        </w:tc>
        <w:tc>
          <w:tcPr>
            <w:tcW w:w="10100" w:type="dxa"/>
            <w:vAlign w:val="bottom"/>
            <w:gridSpan w:val="11"/>
          </w:tcPr>
          <w:p>
            <w:pPr>
              <w:spacing w:after="0" w:line="155" w:lineRule="exact"/>
              <w:rPr>
                <w:sz w:val="20"/>
                <w:szCs w:val="20"/>
                <w:color w:val="auto"/>
              </w:rPr>
            </w:pPr>
            <w:r>
              <w:rPr>
                <w:rFonts w:ascii="Times New Roman" w:cs="Times New Roman" w:eastAsia="Times New Roman" w:hAnsi="Times New Roman"/>
                <w:sz w:val="16"/>
                <w:szCs w:val="16"/>
                <w:color w:val="0000EE"/>
              </w:rPr>
              <w:t>Form of Amended and Restated Equity Subscription Agreement.</w:t>
            </w:r>
          </w:p>
        </w:tc>
      </w:tr>
      <w:tr>
        <w:trPr>
          <w:trHeight w:val="28"/>
        </w:trPr>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6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90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1600" w:type="dxa"/>
            <w:vAlign w:val="bottom"/>
            <w:tcBorders>
              <w:left w:val="single" w:sz="8" w:color="0000EE"/>
            </w:tcBorders>
          </w:tcPr>
          <w:p>
            <w:pPr>
              <w:spacing w:after="0"/>
              <w:rPr>
                <w:sz w:val="2"/>
                <w:szCs w:val="2"/>
                <w:color w:val="auto"/>
              </w:rPr>
            </w:pPr>
          </w:p>
        </w:tc>
        <w:tc>
          <w:tcPr>
            <w:tcW w:w="10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3"/>
        </w:trPr>
        <w:tc>
          <w:tcPr>
            <w:tcW w:w="1020" w:type="dxa"/>
            <w:vAlign w:val="bottom"/>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auto"/>
              </w:rPr>
              <w:t>10.4</w:t>
            </w:r>
          </w:p>
        </w:tc>
        <w:tc>
          <w:tcPr>
            <w:tcW w:w="140" w:type="dxa"/>
            <w:vAlign w:val="bottom"/>
            <w:tcBorders>
              <w:right w:val="single" w:sz="8" w:color="CCEEFF"/>
            </w:tcBorders>
            <w:shd w:val="clear" w:color="auto" w:fill="CCEEFF"/>
          </w:tcPr>
          <w:p>
            <w:pPr>
              <w:spacing w:after="0"/>
              <w:rPr>
                <w:sz w:val="14"/>
                <w:szCs w:val="14"/>
                <w:color w:val="auto"/>
              </w:rPr>
            </w:pPr>
          </w:p>
        </w:tc>
        <w:tc>
          <w:tcPr>
            <w:tcW w:w="10100" w:type="dxa"/>
            <w:vAlign w:val="bottom"/>
            <w:gridSpan w:val="11"/>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0000EE"/>
              </w:rPr>
              <w:t>Form of Amended and Restated Warrant Agreement.</w:t>
            </w:r>
          </w:p>
        </w:tc>
      </w:tr>
      <w:tr>
        <w:trPr>
          <w:trHeight w:val="36"/>
        </w:trPr>
        <w:tc>
          <w:tcPr>
            <w:tcW w:w="10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16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900" w:type="dxa"/>
            <w:vAlign w:val="bottom"/>
            <w:shd w:val="clear" w:color="auto" w:fill="0000EE"/>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600" w:type="dxa"/>
            <w:vAlign w:val="bottom"/>
            <w:tcBorders>
              <w:left w:val="single" w:sz="8" w:color="CCEEFF"/>
            </w:tcBorders>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2100" w:type="dxa"/>
            <w:vAlign w:val="bottom"/>
            <w:shd w:val="clear" w:color="auto" w:fill="CCEEFF"/>
          </w:tcPr>
          <w:p>
            <w:pPr>
              <w:spacing w:after="0"/>
              <w:rPr>
                <w:sz w:val="3"/>
                <w:szCs w:val="3"/>
                <w:color w:val="auto"/>
              </w:rPr>
            </w:pPr>
          </w:p>
        </w:tc>
        <w:tc>
          <w:tcPr>
            <w:tcW w:w="132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55"/>
        </w:trPr>
        <w:tc>
          <w:tcPr>
            <w:tcW w:w="102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10.5</w:t>
            </w:r>
          </w:p>
        </w:tc>
        <w:tc>
          <w:tcPr>
            <w:tcW w:w="140" w:type="dxa"/>
            <w:vAlign w:val="bottom"/>
          </w:tcPr>
          <w:p>
            <w:pPr>
              <w:spacing w:after="0"/>
              <w:rPr>
                <w:sz w:val="13"/>
                <w:szCs w:val="13"/>
                <w:color w:val="auto"/>
              </w:rPr>
            </w:pPr>
          </w:p>
        </w:tc>
        <w:tc>
          <w:tcPr>
            <w:tcW w:w="10100" w:type="dxa"/>
            <w:vAlign w:val="bottom"/>
            <w:gridSpan w:val="11"/>
          </w:tcPr>
          <w:p>
            <w:pPr>
              <w:spacing w:after="0" w:line="155" w:lineRule="exact"/>
              <w:rPr>
                <w:sz w:val="20"/>
                <w:szCs w:val="20"/>
                <w:color w:val="auto"/>
              </w:rPr>
            </w:pPr>
            <w:r>
              <w:rPr>
                <w:rFonts w:ascii="Times New Roman" w:cs="Times New Roman" w:eastAsia="Times New Roman" w:hAnsi="Times New Roman"/>
                <w:sz w:val="16"/>
                <w:szCs w:val="16"/>
                <w:color w:val="0000EE"/>
              </w:rPr>
              <w:t>Form of Amended and Restated Registration Rights Agreement.</w:t>
            </w:r>
          </w:p>
        </w:tc>
      </w:tr>
      <w:tr>
        <w:trPr>
          <w:trHeight w:val="28"/>
        </w:trPr>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6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90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1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3"/>
        </w:trPr>
        <w:tc>
          <w:tcPr>
            <w:tcW w:w="1020" w:type="dxa"/>
            <w:vAlign w:val="bottom"/>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auto"/>
              </w:rPr>
              <w:t>10.6</w:t>
            </w:r>
          </w:p>
        </w:tc>
        <w:tc>
          <w:tcPr>
            <w:tcW w:w="140" w:type="dxa"/>
            <w:vAlign w:val="bottom"/>
            <w:tcBorders>
              <w:right w:val="single" w:sz="8" w:color="CCEEFF"/>
            </w:tcBorders>
            <w:shd w:val="clear" w:color="auto" w:fill="CCEEFF"/>
          </w:tcPr>
          <w:p>
            <w:pPr>
              <w:spacing w:after="0"/>
              <w:rPr>
                <w:sz w:val="14"/>
                <w:szCs w:val="14"/>
                <w:color w:val="auto"/>
              </w:rPr>
            </w:pPr>
          </w:p>
        </w:tc>
        <w:tc>
          <w:tcPr>
            <w:tcW w:w="10100" w:type="dxa"/>
            <w:vAlign w:val="bottom"/>
            <w:gridSpan w:val="11"/>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0000EE"/>
              </w:rPr>
              <w:t>Amended and Restated Sponsor Support Agreement, dated as of July 25, 2022, by and among Ventoux CCM Sponsor LLC, Chardan International</w:t>
            </w:r>
          </w:p>
        </w:tc>
      </w:tr>
      <w:tr>
        <w:trPr>
          <w:trHeight w:val="171"/>
        </w:trPr>
        <w:tc>
          <w:tcPr>
            <w:tcW w:w="10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right w:val="single" w:sz="8" w:color="CCEEFF"/>
            </w:tcBorders>
            <w:shd w:val="clear" w:color="auto" w:fill="CCEEFF"/>
          </w:tcPr>
          <w:p>
            <w:pPr>
              <w:spacing w:after="0"/>
              <w:rPr>
                <w:sz w:val="14"/>
                <w:szCs w:val="14"/>
                <w:color w:val="auto"/>
              </w:rPr>
            </w:pPr>
          </w:p>
        </w:tc>
        <w:tc>
          <w:tcPr>
            <w:tcW w:w="10080" w:type="dxa"/>
            <w:vAlign w:val="bottom"/>
            <w:tcBorders>
              <w:top w:val="single" w:sz="8" w:color="0000EE"/>
            </w:tcBorders>
            <w:gridSpan w:val="10"/>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rPr>
              <w:t>Investments, LLC, VTAQ and Presto.</w:t>
            </w:r>
          </w:p>
        </w:tc>
        <w:tc>
          <w:tcPr>
            <w:tcW w:w="20" w:type="dxa"/>
            <w:vAlign w:val="bottom"/>
            <w:tcBorders>
              <w:top w:val="single" w:sz="8" w:color="CCEEFF"/>
            </w:tcBorders>
            <w:shd w:val="clear" w:color="auto" w:fill="CCEEFF"/>
          </w:tcPr>
          <w:p>
            <w:pPr>
              <w:spacing w:after="0"/>
              <w:rPr>
                <w:sz w:val="14"/>
                <w:szCs w:val="14"/>
                <w:color w:val="auto"/>
              </w:rPr>
            </w:pPr>
          </w:p>
        </w:tc>
      </w:tr>
      <w:tr>
        <w:trPr>
          <w:trHeight w:val="36"/>
        </w:trPr>
        <w:tc>
          <w:tcPr>
            <w:tcW w:w="10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16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40" w:type="dxa"/>
            <w:vAlign w:val="bottom"/>
            <w:tcBorders>
              <w:right w:val="single" w:sz="8" w:color="CCEEFF"/>
            </w:tcBorders>
            <w:shd w:val="clear" w:color="auto" w:fill="0000EE"/>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600" w:type="dxa"/>
            <w:vAlign w:val="bottom"/>
            <w:tcBorders>
              <w:left w:val="single" w:sz="8" w:color="CCEEFF"/>
            </w:tcBorders>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2100" w:type="dxa"/>
            <w:vAlign w:val="bottom"/>
            <w:shd w:val="clear" w:color="auto" w:fill="CCEEFF"/>
          </w:tcPr>
          <w:p>
            <w:pPr>
              <w:spacing w:after="0"/>
              <w:rPr>
                <w:sz w:val="3"/>
                <w:szCs w:val="3"/>
                <w:color w:val="auto"/>
              </w:rPr>
            </w:pPr>
          </w:p>
        </w:tc>
        <w:tc>
          <w:tcPr>
            <w:tcW w:w="132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55"/>
        </w:trPr>
        <w:tc>
          <w:tcPr>
            <w:tcW w:w="102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10.7</w:t>
            </w:r>
          </w:p>
        </w:tc>
        <w:tc>
          <w:tcPr>
            <w:tcW w:w="140" w:type="dxa"/>
            <w:vAlign w:val="bottom"/>
          </w:tcPr>
          <w:p>
            <w:pPr>
              <w:spacing w:after="0"/>
              <w:rPr>
                <w:sz w:val="13"/>
                <w:szCs w:val="13"/>
                <w:color w:val="auto"/>
              </w:rPr>
            </w:pPr>
          </w:p>
        </w:tc>
        <w:tc>
          <w:tcPr>
            <w:tcW w:w="10100" w:type="dxa"/>
            <w:vAlign w:val="bottom"/>
            <w:gridSpan w:val="11"/>
          </w:tcPr>
          <w:p>
            <w:pPr>
              <w:spacing w:after="0" w:line="155" w:lineRule="exact"/>
              <w:rPr>
                <w:sz w:val="20"/>
                <w:szCs w:val="20"/>
                <w:color w:val="auto"/>
              </w:rPr>
            </w:pPr>
            <w:r>
              <w:rPr>
                <w:rFonts w:ascii="Times New Roman" w:cs="Times New Roman" w:eastAsia="Times New Roman" w:hAnsi="Times New Roman"/>
                <w:sz w:val="16"/>
                <w:szCs w:val="16"/>
                <w:color w:val="0000EE"/>
              </w:rPr>
              <w:t>Form of Governance Agreement.</w:t>
            </w:r>
          </w:p>
        </w:tc>
      </w:tr>
      <w:tr>
        <w:trPr>
          <w:trHeight w:val="28"/>
        </w:trPr>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68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3"/>
        </w:trPr>
        <w:tc>
          <w:tcPr>
            <w:tcW w:w="1020" w:type="dxa"/>
            <w:vAlign w:val="bottom"/>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auto"/>
              </w:rPr>
              <w:t>10.8</w:t>
            </w:r>
          </w:p>
        </w:tc>
        <w:tc>
          <w:tcPr>
            <w:tcW w:w="140" w:type="dxa"/>
            <w:vAlign w:val="bottom"/>
            <w:tcBorders>
              <w:right w:val="single" w:sz="8" w:color="CCEEFF"/>
            </w:tcBorders>
            <w:shd w:val="clear" w:color="auto" w:fill="CCEEFF"/>
          </w:tcPr>
          <w:p>
            <w:pPr>
              <w:spacing w:after="0"/>
              <w:rPr>
                <w:sz w:val="14"/>
                <w:szCs w:val="14"/>
                <w:color w:val="auto"/>
              </w:rPr>
            </w:pPr>
          </w:p>
        </w:tc>
        <w:tc>
          <w:tcPr>
            <w:tcW w:w="10100" w:type="dxa"/>
            <w:vAlign w:val="bottom"/>
            <w:gridSpan w:val="11"/>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0000EE"/>
              </w:rPr>
              <w:t>Form of Presto Stockholder Support Agreement, dated as of July 25, 2022, by and among certain stockholders of Presto, VTAQ and Presto</w:t>
            </w:r>
          </w:p>
        </w:tc>
      </w:tr>
      <w:tr>
        <w:trPr>
          <w:trHeight w:val="36"/>
        </w:trPr>
        <w:tc>
          <w:tcPr>
            <w:tcW w:w="10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16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900" w:type="dxa"/>
            <w:vAlign w:val="bottom"/>
            <w:shd w:val="clear" w:color="auto" w:fill="0000EE"/>
          </w:tcPr>
          <w:p>
            <w:pPr>
              <w:spacing w:after="0"/>
              <w:rPr>
                <w:sz w:val="3"/>
                <w:szCs w:val="3"/>
                <w:color w:val="auto"/>
              </w:rPr>
            </w:pPr>
          </w:p>
        </w:tc>
        <w:tc>
          <w:tcPr>
            <w:tcW w:w="720" w:type="dxa"/>
            <w:vAlign w:val="bottom"/>
            <w:shd w:val="clear" w:color="auto" w:fill="0000EE"/>
          </w:tcPr>
          <w:p>
            <w:pPr>
              <w:spacing w:after="0"/>
              <w:rPr>
                <w:sz w:val="3"/>
                <w:szCs w:val="3"/>
                <w:color w:val="auto"/>
              </w:rPr>
            </w:pPr>
          </w:p>
        </w:tc>
        <w:tc>
          <w:tcPr>
            <w:tcW w:w="1600" w:type="dxa"/>
            <w:vAlign w:val="bottom"/>
            <w:tcBorders>
              <w:left w:val="single" w:sz="8" w:color="0000EE"/>
            </w:tcBorders>
            <w:shd w:val="clear" w:color="auto" w:fill="0000EE"/>
          </w:tcPr>
          <w:p>
            <w:pPr>
              <w:spacing w:after="0"/>
              <w:rPr>
                <w:sz w:val="3"/>
                <w:szCs w:val="3"/>
                <w:color w:val="auto"/>
              </w:rPr>
            </w:pPr>
          </w:p>
        </w:tc>
        <w:tc>
          <w:tcPr>
            <w:tcW w:w="1000" w:type="dxa"/>
            <w:vAlign w:val="bottom"/>
            <w:shd w:val="clear" w:color="auto" w:fill="0000EE"/>
          </w:tcPr>
          <w:p>
            <w:pPr>
              <w:spacing w:after="0"/>
              <w:rPr>
                <w:sz w:val="3"/>
                <w:szCs w:val="3"/>
                <w:color w:val="auto"/>
              </w:rPr>
            </w:pPr>
          </w:p>
        </w:tc>
        <w:tc>
          <w:tcPr>
            <w:tcW w:w="2100" w:type="dxa"/>
            <w:vAlign w:val="bottom"/>
            <w:shd w:val="clear" w:color="auto" w:fill="0000EE"/>
          </w:tcPr>
          <w:p>
            <w:pPr>
              <w:spacing w:after="0"/>
              <w:rPr>
                <w:sz w:val="3"/>
                <w:szCs w:val="3"/>
                <w:color w:val="auto"/>
              </w:rPr>
            </w:pPr>
          </w:p>
        </w:tc>
        <w:tc>
          <w:tcPr>
            <w:tcW w:w="1320" w:type="dxa"/>
            <w:vAlign w:val="bottom"/>
            <w:tcBorders>
              <w:left w:val="single" w:sz="8" w:color="0000EE"/>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55"/>
        </w:trPr>
        <w:tc>
          <w:tcPr>
            <w:tcW w:w="102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99.1</w:t>
            </w:r>
          </w:p>
        </w:tc>
        <w:tc>
          <w:tcPr>
            <w:tcW w:w="140" w:type="dxa"/>
            <w:vAlign w:val="bottom"/>
          </w:tcPr>
          <w:p>
            <w:pPr>
              <w:spacing w:after="0"/>
              <w:rPr>
                <w:sz w:val="13"/>
                <w:szCs w:val="13"/>
                <w:color w:val="auto"/>
              </w:rPr>
            </w:pPr>
          </w:p>
        </w:tc>
        <w:tc>
          <w:tcPr>
            <w:tcW w:w="10100" w:type="dxa"/>
            <w:vAlign w:val="bottom"/>
            <w:gridSpan w:val="11"/>
          </w:tcPr>
          <w:p>
            <w:pPr>
              <w:spacing w:after="0" w:line="155" w:lineRule="exact"/>
              <w:rPr>
                <w:sz w:val="20"/>
                <w:szCs w:val="20"/>
                <w:color w:val="auto"/>
              </w:rPr>
            </w:pPr>
            <w:r>
              <w:rPr>
                <w:rFonts w:ascii="Times New Roman" w:cs="Times New Roman" w:eastAsia="Times New Roman" w:hAnsi="Times New Roman"/>
                <w:sz w:val="16"/>
                <w:szCs w:val="16"/>
                <w:color w:val="0000EE"/>
              </w:rPr>
              <w:t>Press Release, dated July 26, 2022.</w:t>
            </w:r>
          </w:p>
        </w:tc>
      </w:tr>
      <w:tr>
        <w:trPr>
          <w:trHeight w:val="28"/>
        </w:trPr>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6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3"/>
        </w:trPr>
        <w:tc>
          <w:tcPr>
            <w:tcW w:w="1020" w:type="dxa"/>
            <w:vAlign w:val="bottom"/>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auto"/>
              </w:rPr>
              <w:t>99.2</w:t>
            </w:r>
          </w:p>
        </w:tc>
        <w:tc>
          <w:tcPr>
            <w:tcW w:w="140" w:type="dxa"/>
            <w:vAlign w:val="bottom"/>
            <w:tcBorders>
              <w:right w:val="single" w:sz="8" w:color="CCEEFF"/>
            </w:tcBorders>
            <w:shd w:val="clear" w:color="auto" w:fill="CCEEFF"/>
          </w:tcPr>
          <w:p>
            <w:pPr>
              <w:spacing w:after="0"/>
              <w:rPr>
                <w:sz w:val="14"/>
                <w:szCs w:val="14"/>
                <w:color w:val="auto"/>
              </w:rPr>
            </w:pPr>
          </w:p>
        </w:tc>
        <w:tc>
          <w:tcPr>
            <w:tcW w:w="10100" w:type="dxa"/>
            <w:vAlign w:val="bottom"/>
            <w:gridSpan w:val="11"/>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0000EE"/>
              </w:rPr>
              <w:t>Investor Presentation, dated July 2022.</w:t>
            </w:r>
          </w:p>
        </w:tc>
      </w:tr>
      <w:tr>
        <w:trPr>
          <w:trHeight w:val="36"/>
        </w:trPr>
        <w:tc>
          <w:tcPr>
            <w:tcW w:w="10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16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600" w:type="dxa"/>
            <w:vAlign w:val="bottom"/>
            <w:tcBorders>
              <w:left w:val="single" w:sz="8" w:color="CCEEFF"/>
            </w:tcBorders>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2100" w:type="dxa"/>
            <w:vAlign w:val="bottom"/>
            <w:shd w:val="clear" w:color="auto" w:fill="CCEEFF"/>
          </w:tcPr>
          <w:p>
            <w:pPr>
              <w:spacing w:after="0"/>
              <w:rPr>
                <w:sz w:val="3"/>
                <w:szCs w:val="3"/>
                <w:color w:val="auto"/>
              </w:rPr>
            </w:pPr>
          </w:p>
        </w:tc>
        <w:tc>
          <w:tcPr>
            <w:tcW w:w="132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208"/>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140" w:type="dxa"/>
            <w:vAlign w:val="bottom"/>
          </w:tcPr>
          <w:p>
            <w:pPr>
              <w:spacing w:after="0"/>
              <w:rPr>
                <w:sz w:val="18"/>
                <w:szCs w:val="18"/>
                <w:color w:val="auto"/>
              </w:rPr>
            </w:pPr>
          </w:p>
        </w:tc>
        <w:tc>
          <w:tcPr>
            <w:tcW w:w="1010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bl>
    <w:p>
      <w:pPr>
        <w:spacing w:after="0" w:line="194" w:lineRule="exact"/>
        <w:rPr>
          <w:sz w:val="20"/>
          <w:szCs w:val="20"/>
          <w:color w:val="auto"/>
        </w:rPr>
      </w:pPr>
    </w:p>
    <w:p>
      <w:pPr>
        <w:ind w:left="4" w:right="20" w:hanging="4"/>
        <w:spacing w:after="0" w:line="193" w:lineRule="auto"/>
        <w:tabs>
          <w:tab w:leader="none" w:pos="138" w:val="left"/>
        </w:tabs>
        <w:numPr>
          <w:ilvl w:val="0"/>
          <w:numId w:val="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Certain of the exhibits and schedules to this Exhibit have been omitted in accordance with Regulation S-K Item 601(a)(5). The Registrant agrees to furnish a copy of all omitted exhibits and schedules to the SEC upon its request.</w:t>
      </w:r>
    </w:p>
    <w:p>
      <w:pPr>
        <w:spacing w:after="0" w:line="36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4" w:right="3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00" w:lineRule="exact"/>
        <w:rPr>
          <w:sz w:val="20"/>
          <w:szCs w:val="20"/>
          <w:color w:val="auto"/>
        </w:rPr>
      </w:pPr>
    </w:p>
    <w:p>
      <w:pPr>
        <w:ind w:firstLine="574"/>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Ventoux CCM Acquisition Corp. has duly caused this report to be signed on its behalf by the undersigned hereunto duly authorized.</w:t>
      </w:r>
    </w:p>
    <w:p>
      <w:pPr>
        <w:spacing w:after="0" w:line="14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VENTOUX CCM ACQUISITION CORP.</w:t>
      </w:r>
    </w:p>
    <w:p>
      <w:pPr>
        <w:spacing w:after="0" w:line="200"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6"/>
          <w:szCs w:val="16"/>
          <w:color w:val="auto"/>
        </w:rPr>
        <w:t>Date: July 26, 2022</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15240</wp:posOffset>
            </wp:positionV>
            <wp:extent cx="2572385"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6"/>
          <w:szCs w:val="16"/>
          <w:color w:val="auto"/>
        </w:rPr>
        <w:t>Edward Scheetz</w:t>
      </w:r>
    </w:p>
    <w:p>
      <w:pPr>
        <w:spacing w:after="0" w:line="1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9"/>
          <w:szCs w:val="19"/>
          <w:b w:val="1"/>
          <w:bCs w:val="1"/>
          <w:color w:val="auto"/>
        </w:rPr>
        <w:t>Exhibit 2.1</w:t>
      </w: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Execution Version</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AMENDMENT TO AGREEMENT AND PLAN OF MERGER</w:t>
      </w:r>
    </w:p>
    <w:p>
      <w:pPr>
        <w:spacing w:after="0" w:line="200" w:lineRule="exact"/>
        <w:rPr>
          <w:sz w:val="20"/>
          <w:szCs w:val="20"/>
          <w:color w:val="auto"/>
        </w:rPr>
      </w:pPr>
    </w:p>
    <w:p>
      <w:pPr>
        <w:jc w:val="both"/>
        <w:ind w:firstLine="382"/>
        <w:spacing w:after="0" w:line="255" w:lineRule="auto"/>
        <w:rPr>
          <w:sz w:val="20"/>
          <w:szCs w:val="20"/>
          <w:color w:val="auto"/>
        </w:rPr>
      </w:pPr>
      <w:r>
        <w:rPr>
          <w:rFonts w:ascii="Times New Roman" w:cs="Times New Roman" w:eastAsia="Times New Roman" w:hAnsi="Times New Roman"/>
          <w:sz w:val="16"/>
          <w:szCs w:val="16"/>
          <w:color w:val="auto"/>
        </w:rPr>
        <w:t>This Second Amendment to Agreement and Plan of Merger (this “</w:t>
      </w:r>
      <w:r>
        <w:rPr>
          <w:rFonts w:ascii="Times New Roman" w:cs="Times New Roman" w:eastAsia="Times New Roman" w:hAnsi="Times New Roman"/>
          <w:sz w:val="16"/>
          <w:szCs w:val="16"/>
          <w:u w:val="single" w:color="auto"/>
          <w:color w:val="auto"/>
        </w:rPr>
        <w:t>Amendment</w:t>
      </w:r>
      <w:r>
        <w:rPr>
          <w:rFonts w:ascii="Times New Roman" w:cs="Times New Roman" w:eastAsia="Times New Roman" w:hAnsi="Times New Roman"/>
          <w:sz w:val="16"/>
          <w:szCs w:val="16"/>
          <w:color w:val="auto"/>
        </w:rPr>
        <w:t>”), dated as of July 25, 2022, is made by and among (a) Ventoux CCM Acquisition Corp., a Delaware corporation (“</w:t>
      </w:r>
      <w:r>
        <w:rPr>
          <w:rFonts w:ascii="Times New Roman" w:cs="Times New Roman" w:eastAsia="Times New Roman" w:hAnsi="Times New Roman"/>
          <w:sz w:val="16"/>
          <w:szCs w:val="16"/>
          <w:u w:val="single" w:color="auto"/>
          <w:color w:val="auto"/>
        </w:rPr>
        <w:t>Acquiror</w:t>
      </w:r>
      <w:r>
        <w:rPr>
          <w:rFonts w:ascii="Times New Roman" w:cs="Times New Roman" w:eastAsia="Times New Roman" w:hAnsi="Times New Roman"/>
          <w:sz w:val="16"/>
          <w:szCs w:val="16"/>
          <w:color w:val="auto"/>
        </w:rPr>
        <w:t>”), Ventoux Merger Sub I Inc., a Delaware corporation (“</w:t>
      </w:r>
      <w:r>
        <w:rPr>
          <w:rFonts w:ascii="Times New Roman" w:cs="Times New Roman" w:eastAsia="Times New Roman" w:hAnsi="Times New Roman"/>
          <w:sz w:val="16"/>
          <w:szCs w:val="16"/>
          <w:u w:val="single" w:color="auto"/>
          <w:color w:val="auto"/>
        </w:rPr>
        <w:t>First Merger Sub</w:t>
      </w:r>
      <w:r>
        <w:rPr>
          <w:rFonts w:ascii="Times New Roman" w:cs="Times New Roman" w:eastAsia="Times New Roman" w:hAnsi="Times New Roman"/>
          <w:sz w:val="16"/>
          <w:szCs w:val="16"/>
          <w:color w:val="auto"/>
        </w:rPr>
        <w:t>”), Ventoux Merger Sub II LLC, a Delaware limited liability company (“</w:t>
      </w:r>
      <w:r>
        <w:rPr>
          <w:rFonts w:ascii="Times New Roman" w:cs="Times New Roman" w:eastAsia="Times New Roman" w:hAnsi="Times New Roman"/>
          <w:sz w:val="16"/>
          <w:szCs w:val="16"/>
          <w:u w:val="single" w:color="auto"/>
          <w:color w:val="auto"/>
        </w:rPr>
        <w:t>Second Merger Sub</w:t>
      </w:r>
      <w:r>
        <w:rPr>
          <w:rFonts w:ascii="Times New Roman" w:cs="Times New Roman" w:eastAsia="Times New Roman" w:hAnsi="Times New Roman"/>
          <w:sz w:val="16"/>
          <w:szCs w:val="16"/>
          <w:color w:val="auto"/>
        </w:rPr>
        <w:t>”) and E La Carte, Inc., a Delaware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and amends that certain Agreement and Plan of Merger dated as of November 10, 2021, as amended by that certain amendment to agreement and plan of merger dated as of April 1, 2022, by and among Acquiror, First Merger Sub, Second Merger Sub and the Company (the “</w:t>
      </w:r>
      <w:r>
        <w:rPr>
          <w:rFonts w:ascii="Times New Roman" w:cs="Times New Roman" w:eastAsia="Times New Roman" w:hAnsi="Times New Roman"/>
          <w:sz w:val="16"/>
          <w:szCs w:val="16"/>
          <w:u w:val="single" w:color="auto"/>
          <w:color w:val="auto"/>
        </w:rPr>
        <w:t>Merger Agreement</w:t>
      </w:r>
      <w:r>
        <w:rPr>
          <w:rFonts w:ascii="Times New Roman" w:cs="Times New Roman" w:eastAsia="Times New Roman" w:hAnsi="Times New Roman"/>
          <w:sz w:val="16"/>
          <w:szCs w:val="16"/>
          <w:color w:val="auto"/>
        </w:rPr>
        <w:t>”). Capitalized terms used and not defined in this Amendment have the respective meanings given to such terms in the Merger Agreement.</w:t>
      </w:r>
    </w:p>
    <w:p>
      <w:pPr>
        <w:spacing w:after="0" w:line="165" w:lineRule="exact"/>
        <w:rPr>
          <w:sz w:val="20"/>
          <w:szCs w:val="20"/>
          <w:color w:val="auto"/>
        </w:rPr>
      </w:pPr>
    </w:p>
    <w:p>
      <w:pPr>
        <w:jc w:val="both"/>
        <w:ind w:firstLine="382"/>
        <w:spacing w:after="0" w:line="280" w:lineRule="auto"/>
        <w:rPr>
          <w:sz w:val="20"/>
          <w:szCs w:val="20"/>
          <w:color w:val="auto"/>
        </w:rPr>
      </w:pPr>
      <w:r>
        <w:rPr>
          <w:rFonts w:ascii="Times New Roman" w:cs="Times New Roman" w:eastAsia="Times New Roman" w:hAnsi="Times New Roman"/>
          <w:sz w:val="16"/>
          <w:szCs w:val="16"/>
          <w:color w:val="auto"/>
        </w:rPr>
        <w:t>WHEREAS, pursuant to Section 11.10 of the Merger Agreement, the Merger Agreement may be amended or modified in whole or in part, only by a duly authorized agreement in writing executed in the same manner as the Merger Agreement which makes reference to the Merger Agreement; and</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WHEREAS, the parties wish to amend the Merger Agreement as described herein.</w:t>
      </w:r>
    </w:p>
    <w:p>
      <w:pPr>
        <w:spacing w:after="0" w:line="1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b w:val="1"/>
          <w:bCs w:val="1"/>
          <w:color w:val="auto"/>
        </w:rPr>
        <w:t xml:space="preserve">NOW THEREFORE, </w:t>
      </w:r>
      <w:r>
        <w:rPr>
          <w:rFonts w:ascii="Times New Roman" w:cs="Times New Roman" w:eastAsia="Times New Roman" w:hAnsi="Times New Roman"/>
          <w:sz w:val="16"/>
          <w:szCs w:val="16"/>
          <w:color w:val="auto"/>
        </w:rPr>
        <w:t>for good and valuable consideration, the receipt and sufficiency of which are hereby acknowledged, the parties agree as follows:</w:t>
      </w:r>
    </w:p>
    <w:p>
      <w:pPr>
        <w:spacing w:after="0" w:line="200" w:lineRule="exact"/>
        <w:rPr>
          <w:sz w:val="20"/>
          <w:szCs w:val="20"/>
          <w:color w:val="auto"/>
        </w:rPr>
      </w:pPr>
    </w:p>
    <w:p>
      <w:pPr>
        <w:ind w:left="920" w:hanging="160"/>
        <w:spacing w:after="0"/>
        <w:tabs>
          <w:tab w:leader="none" w:pos="9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 of Recitals</w:t>
      </w:r>
      <w:r>
        <w:rPr>
          <w:rFonts w:ascii="Times New Roman" w:cs="Times New Roman" w:eastAsia="Times New Roman" w:hAnsi="Times New Roman"/>
          <w:sz w:val="16"/>
          <w:szCs w:val="16"/>
          <w:color w:val="auto"/>
        </w:rPr>
        <w:t>. Recital number five (5) is hereby amended by deleting “$70,000,000” and replacing it with “$85,000,000”.</w:t>
      </w:r>
    </w:p>
    <w:p>
      <w:pPr>
        <w:spacing w:after="0" w:line="198" w:lineRule="exact"/>
        <w:rPr>
          <w:rFonts w:ascii="Times New Roman" w:cs="Times New Roman" w:eastAsia="Times New Roman" w:hAnsi="Times New Roman"/>
          <w:sz w:val="16"/>
          <w:szCs w:val="16"/>
          <w:color w:val="auto"/>
        </w:rPr>
      </w:pPr>
    </w:p>
    <w:p>
      <w:pPr>
        <w:ind w:left="920" w:hanging="160"/>
        <w:spacing w:after="0"/>
        <w:tabs>
          <w:tab w:leader="none" w:pos="9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 of Recitals</w:t>
      </w:r>
      <w:r>
        <w:rPr>
          <w:rFonts w:ascii="Times New Roman" w:cs="Times New Roman" w:eastAsia="Times New Roman" w:hAnsi="Times New Roman"/>
          <w:sz w:val="16"/>
          <w:szCs w:val="16"/>
          <w:color w:val="auto"/>
        </w:rPr>
        <w:t>. Recital number fourteen (14) is hereby amended and restated in its entirety as follows:</w:t>
      </w:r>
    </w:p>
    <w:p>
      <w:pPr>
        <w:spacing w:after="0" w:line="198" w:lineRule="exact"/>
        <w:rPr>
          <w:sz w:val="20"/>
          <w:szCs w:val="20"/>
          <w:color w:val="auto"/>
        </w:rPr>
      </w:pPr>
    </w:p>
    <w:p>
      <w:pPr>
        <w:jc w:val="both"/>
        <w:ind w:left="760" w:right="20"/>
        <w:spacing w:after="0" w:line="265" w:lineRule="auto"/>
        <w:rPr>
          <w:sz w:val="20"/>
          <w:szCs w:val="20"/>
          <w:color w:val="auto"/>
        </w:rPr>
      </w:pPr>
      <w:r>
        <w:rPr>
          <w:rFonts w:ascii="Times New Roman" w:cs="Times New Roman" w:eastAsia="Times New Roman" w:hAnsi="Times New Roman"/>
          <w:sz w:val="16"/>
          <w:szCs w:val="16"/>
          <w:color w:val="auto"/>
        </w:rPr>
        <w:t>“WHEREAS, prior to the consummation of the Transactions, the Acquiror, the Sponsors, certain of the members of the Sponsors and certain former stockholders of the Company shall enter into an Amended and Restated Registration Rights Agreement in substantially the form set forth on Exhibit C (with such changes as may be agreed in writing by Acquiror and the Company) (the “Registration Rights Agreement”); and”</w:t>
      </w:r>
    </w:p>
    <w:p>
      <w:pPr>
        <w:spacing w:after="0" w:line="155" w:lineRule="exact"/>
        <w:rPr>
          <w:sz w:val="20"/>
          <w:szCs w:val="20"/>
          <w:color w:val="auto"/>
        </w:rPr>
      </w:pPr>
    </w:p>
    <w:p>
      <w:pPr>
        <w:ind w:right="20" w:firstLine="760"/>
        <w:spacing w:after="0" w:line="280" w:lineRule="auto"/>
        <w:tabs>
          <w:tab w:leader="none" w:pos="936"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 of Section 1.01. “Company Equity Awards”</w:t>
      </w:r>
      <w:r>
        <w:rPr>
          <w:rFonts w:ascii="Times New Roman" w:cs="Times New Roman" w:eastAsia="Times New Roman" w:hAnsi="Times New Roman"/>
          <w:sz w:val="16"/>
          <w:szCs w:val="16"/>
          <w:color w:val="auto"/>
        </w:rPr>
        <w:t>. The defined term “Company Equity Awards” in Section 1.01 of the Merger Agreement is hereby amended as follows:</w:t>
      </w:r>
    </w:p>
    <w:p>
      <w:pPr>
        <w:spacing w:after="0" w:line="14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Equity Awards</w:t>
      </w:r>
      <w:r>
        <w:rPr>
          <w:rFonts w:ascii="Times New Roman" w:cs="Times New Roman" w:eastAsia="Times New Roman" w:hAnsi="Times New Roman"/>
          <w:sz w:val="16"/>
          <w:szCs w:val="16"/>
          <w:color w:val="auto"/>
        </w:rPr>
        <w:t>” means Company Options, Company RSUs and any other awards granted under the Company Stock Plans.”</w:t>
      </w:r>
    </w:p>
    <w:p>
      <w:pPr>
        <w:spacing w:after="0" w:line="198" w:lineRule="exact"/>
        <w:rPr>
          <w:sz w:val="20"/>
          <w:szCs w:val="20"/>
          <w:color w:val="auto"/>
        </w:rPr>
      </w:pPr>
    </w:p>
    <w:p>
      <w:pPr>
        <w:ind w:right="20" w:firstLine="760"/>
        <w:spacing w:after="0" w:line="280" w:lineRule="auto"/>
        <w:tabs>
          <w:tab w:leader="none" w:pos="924"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 of Section 1.01. “Company Outstanding Shares”</w:t>
      </w:r>
      <w:r>
        <w:rPr>
          <w:rFonts w:ascii="Times New Roman" w:cs="Times New Roman" w:eastAsia="Times New Roman" w:hAnsi="Times New Roman"/>
          <w:sz w:val="16"/>
          <w:szCs w:val="16"/>
          <w:color w:val="auto"/>
        </w:rPr>
        <w:t>. The defined term “Company Equity Awards” in Section 1.01 of the Merger Agreement is hereby amended and restated in its entirety as follows:</w:t>
      </w:r>
    </w:p>
    <w:p>
      <w:pPr>
        <w:spacing w:after="0" w:line="144" w:lineRule="exact"/>
        <w:rPr>
          <w:sz w:val="20"/>
          <w:szCs w:val="20"/>
          <w:color w:val="auto"/>
        </w:rPr>
      </w:pPr>
    </w:p>
    <w:p>
      <w:pPr>
        <w:jc w:val="both"/>
        <w:ind w:left="760" w:right="20"/>
        <w:spacing w:after="0" w:line="25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Outstanding Shares</w:t>
      </w:r>
      <w:r>
        <w:rPr>
          <w:rFonts w:ascii="Times New Roman" w:cs="Times New Roman" w:eastAsia="Times New Roman" w:hAnsi="Times New Roman"/>
          <w:sz w:val="16"/>
          <w:szCs w:val="16"/>
          <w:color w:val="auto"/>
        </w:rPr>
        <w:t xml:space="preserve">” means, without duplication, (a) the total number of shares of Company Common Stock outstanding immediately prior to the Effective Time, expressed on a fully-diluted and as-converted to Company Common Stock basis, and including, without limitation, (i) the number of shares of Company Common Stock issuable upon conversion of the Company Preferred Stock and Company Convertible Notes pursuant to </w:t>
      </w:r>
      <w:r>
        <w:rPr>
          <w:rFonts w:ascii="Times New Roman" w:cs="Times New Roman" w:eastAsia="Times New Roman" w:hAnsi="Times New Roman"/>
          <w:sz w:val="16"/>
          <w:szCs w:val="16"/>
          <w:u w:val="single" w:color="auto"/>
          <w:color w:val="auto"/>
        </w:rPr>
        <w:t>Section 3.01(a)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3.01(b)</w:t>
      </w:r>
      <w:r>
        <w:rPr>
          <w:rFonts w:ascii="Times New Roman" w:cs="Times New Roman" w:eastAsia="Times New Roman" w:hAnsi="Times New Roman"/>
          <w:sz w:val="16"/>
          <w:szCs w:val="16"/>
          <w:color w:val="auto"/>
        </w:rPr>
        <w:t>, and the exercise of Company Warrants, respectively, and (ii) the number of shares of Company Common Stock subject to unexpired, issued and outstanding Company Options and Company RSUs, in each case, as of immediately prior to the Effective Time, minus (b) (i) the total number of shares of Company Common Stock, issued or issuable in connection with the Permitted Acquisitions, (ii) Excluded Shares outstanding immediately prior to the Effective Time and (iii) the Dissenting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374015</wp:posOffset>
            </wp:positionV>
            <wp:extent cx="7148195"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9" w:name="page10"/>
    <w:bookmarkEnd w:id="9"/>
    <w:p>
      <w:pPr>
        <w:ind w:left="920" w:hanging="160"/>
        <w:spacing w:after="0"/>
        <w:tabs>
          <w:tab w:leader="none" w:pos="9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 of Section 1.01.</w:t>
      </w:r>
      <w:r>
        <w:rPr>
          <w:rFonts w:ascii="Times New Roman" w:cs="Times New Roman" w:eastAsia="Times New Roman" w:hAnsi="Times New Roman"/>
          <w:sz w:val="16"/>
          <w:szCs w:val="16"/>
          <w:color w:val="auto"/>
        </w:rPr>
        <w:t xml:space="preserve"> Section 1.01 of the Merger Agreement is amended to include the following new definitions:</w:t>
      </w:r>
    </w:p>
    <w:p>
      <w:pPr>
        <w:spacing w:after="0" w:line="198"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RSUs</w:t>
      </w:r>
      <w:r>
        <w:rPr>
          <w:rFonts w:ascii="Times New Roman" w:cs="Times New Roman" w:eastAsia="Times New Roman" w:hAnsi="Times New Roman"/>
          <w:sz w:val="16"/>
          <w:szCs w:val="16"/>
          <w:color w:val="auto"/>
        </w:rPr>
        <w:t xml:space="preserve">” has the meaning specified in </w:t>
      </w:r>
      <w:r>
        <w:rPr>
          <w:rFonts w:ascii="Times New Roman" w:cs="Times New Roman" w:eastAsia="Times New Roman" w:hAnsi="Times New Roman"/>
          <w:sz w:val="16"/>
          <w:szCs w:val="16"/>
          <w:u w:val="single" w:color="auto"/>
          <w:color w:val="auto"/>
        </w:rPr>
        <w:t>Section 3.02(c)</w:t>
      </w:r>
      <w:r>
        <w:rPr>
          <w:rFonts w:ascii="Times New Roman" w:cs="Times New Roman" w:eastAsia="Times New Roman" w:hAnsi="Times New Roman"/>
          <w:sz w:val="16"/>
          <w:szCs w:val="16"/>
          <w:color w:val="auto"/>
        </w:rPr>
        <w:t>.</w:t>
      </w:r>
    </w:p>
    <w:p>
      <w:pPr>
        <w:spacing w:after="0" w:line="198"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Exchanged RSU</w:t>
      </w:r>
      <w:r>
        <w:rPr>
          <w:rFonts w:ascii="Times New Roman" w:cs="Times New Roman" w:eastAsia="Times New Roman" w:hAnsi="Times New Roman"/>
          <w:sz w:val="16"/>
          <w:szCs w:val="16"/>
          <w:color w:val="auto"/>
        </w:rPr>
        <w:t xml:space="preserve">” has the meaning specified in </w:t>
      </w:r>
      <w:r>
        <w:rPr>
          <w:rFonts w:ascii="Times New Roman" w:cs="Times New Roman" w:eastAsia="Times New Roman" w:hAnsi="Times New Roman"/>
          <w:sz w:val="16"/>
          <w:szCs w:val="16"/>
          <w:u w:val="single" w:color="auto"/>
          <w:color w:val="auto"/>
        </w:rPr>
        <w:t>Section 3.02(c)</w:t>
      </w:r>
      <w:r>
        <w:rPr>
          <w:rFonts w:ascii="Times New Roman" w:cs="Times New Roman" w:eastAsia="Times New Roman" w:hAnsi="Times New Roman"/>
          <w:sz w:val="16"/>
          <w:szCs w:val="16"/>
          <w:color w:val="auto"/>
        </w:rPr>
        <w:t>.</w:t>
      </w:r>
    </w:p>
    <w:p>
      <w:pPr>
        <w:spacing w:after="0" w:line="198"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RSU Earnout Shares</w:t>
      </w:r>
      <w:r>
        <w:rPr>
          <w:rFonts w:ascii="Times New Roman" w:cs="Times New Roman" w:eastAsia="Times New Roman" w:hAnsi="Times New Roman"/>
          <w:sz w:val="16"/>
          <w:szCs w:val="16"/>
          <w:color w:val="auto"/>
        </w:rPr>
        <w:t xml:space="preserve">” has the meaning specified in </w:t>
      </w:r>
      <w:r>
        <w:rPr>
          <w:rFonts w:ascii="Times New Roman" w:cs="Times New Roman" w:eastAsia="Times New Roman" w:hAnsi="Times New Roman"/>
          <w:sz w:val="16"/>
          <w:szCs w:val="16"/>
          <w:u w:val="single" w:color="auto"/>
          <w:color w:val="auto"/>
        </w:rPr>
        <w:t>Section 3.02(c)</w:t>
      </w:r>
      <w:r>
        <w:rPr>
          <w:rFonts w:ascii="Times New Roman" w:cs="Times New Roman" w:eastAsia="Times New Roman" w:hAnsi="Times New Roman"/>
          <w:sz w:val="16"/>
          <w:szCs w:val="16"/>
          <w:color w:val="auto"/>
        </w:rPr>
        <w:t>.</w:t>
      </w:r>
    </w:p>
    <w:p>
      <w:pPr>
        <w:spacing w:after="0" w:line="198" w:lineRule="exact"/>
        <w:rPr>
          <w:rFonts w:ascii="Times New Roman" w:cs="Times New Roman" w:eastAsia="Times New Roman" w:hAnsi="Times New Roman"/>
          <w:sz w:val="16"/>
          <w:szCs w:val="16"/>
          <w:color w:val="auto"/>
        </w:rPr>
      </w:pPr>
    </w:p>
    <w:p>
      <w:pPr>
        <w:ind w:right="20" w:firstLine="760"/>
        <w:spacing w:after="0" w:line="280" w:lineRule="auto"/>
        <w:tabs>
          <w:tab w:leader="none" w:pos="936"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 of Section 1.01. “Company Valuation”</w:t>
      </w:r>
      <w:r>
        <w:rPr>
          <w:rFonts w:ascii="Times New Roman" w:cs="Times New Roman" w:eastAsia="Times New Roman" w:hAnsi="Times New Roman"/>
          <w:sz w:val="16"/>
          <w:szCs w:val="16"/>
          <w:color w:val="auto"/>
        </w:rPr>
        <w:t>. The defined term “Company Valuation” in Section 1.01 of the Merger Agreement is hereby amended by deleting “$800,000,000” and replacing it with “$525,000,000”.</w:t>
      </w:r>
    </w:p>
    <w:p>
      <w:pPr>
        <w:spacing w:after="0" w:line="144" w:lineRule="exact"/>
        <w:rPr>
          <w:rFonts w:ascii="Times New Roman" w:cs="Times New Roman" w:eastAsia="Times New Roman" w:hAnsi="Times New Roman"/>
          <w:sz w:val="16"/>
          <w:szCs w:val="16"/>
          <w:color w:val="auto"/>
        </w:rPr>
      </w:pPr>
    </w:p>
    <w:p>
      <w:pPr>
        <w:ind w:firstLine="760"/>
        <w:spacing w:after="0" w:line="280" w:lineRule="auto"/>
        <w:tabs>
          <w:tab w:leader="none" w:pos="936"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 of Section 1.01. “Earnout Pro Rata Portion”. T</w:t>
      </w:r>
      <w:r>
        <w:rPr>
          <w:rFonts w:ascii="Times New Roman" w:cs="Times New Roman" w:eastAsia="Times New Roman" w:hAnsi="Times New Roman"/>
          <w:sz w:val="16"/>
          <w:szCs w:val="16"/>
          <w:color w:val="auto"/>
        </w:rPr>
        <w:t>he defined term “Earnout Pro Rata Portion” in Section 1.01 of the Merger Agreement is hereby amended and restated in its entirety as follows:</w:t>
      </w:r>
    </w:p>
    <w:p>
      <w:pPr>
        <w:spacing w:after="0" w:line="144" w:lineRule="exact"/>
        <w:rPr>
          <w:sz w:val="20"/>
          <w:szCs w:val="20"/>
          <w:color w:val="auto"/>
        </w:rPr>
      </w:pPr>
    </w:p>
    <w:p>
      <w:pPr>
        <w:jc w:val="both"/>
        <w:ind w:left="1140" w:right="20"/>
        <w:spacing w:after="0" w:line="256" w:lineRule="auto"/>
        <w:rPr>
          <w:sz w:val="20"/>
          <w:szCs w:val="20"/>
          <w:color w:val="auto"/>
        </w:rPr>
      </w:pPr>
      <w:r>
        <w:rPr>
          <w:rFonts w:ascii="Times New Roman" w:cs="Times New Roman" w:eastAsia="Times New Roman" w:hAnsi="Times New Roman"/>
          <w:sz w:val="16"/>
          <w:szCs w:val="16"/>
          <w:color w:val="auto"/>
        </w:rPr>
        <w:t xml:space="preserve">“(a) in the case of a holder of outstanding shares of Company Common Stock as of immediately prior to the Effective Time, a fraction expressed as a percentage equal to (i) the number of shares of Acquiror Common Stock into which such holder’s shares of Company Common Stock are converted into in accordance with </w:t>
      </w:r>
      <w:r>
        <w:rPr>
          <w:rFonts w:ascii="Times New Roman" w:cs="Times New Roman" w:eastAsia="Times New Roman" w:hAnsi="Times New Roman"/>
          <w:sz w:val="16"/>
          <w:szCs w:val="16"/>
          <w:u w:val="single" w:color="auto"/>
          <w:color w:val="auto"/>
        </w:rPr>
        <w:t>Section 3.01(c)(i)</w:t>
      </w:r>
      <w:r>
        <w:rPr>
          <w:rFonts w:ascii="Times New Roman" w:cs="Times New Roman" w:eastAsia="Times New Roman" w:hAnsi="Times New Roman"/>
          <w:sz w:val="16"/>
          <w:szCs w:val="16"/>
          <w:color w:val="auto"/>
        </w:rPr>
        <w:t xml:space="preserve"> (including shares issued in connection with the conversion of the Company Convertible Notes) </w:t>
      </w:r>
      <w:r>
        <w:rPr>
          <w:rFonts w:ascii="Times New Roman" w:cs="Times New Roman" w:eastAsia="Times New Roman" w:hAnsi="Times New Roman"/>
          <w:sz w:val="16"/>
          <w:szCs w:val="16"/>
          <w:i w:val="1"/>
          <w:iCs w:val="1"/>
          <w:color w:val="auto"/>
        </w:rPr>
        <w:t>divided by</w:t>
      </w:r>
      <w:r>
        <w:rPr>
          <w:rFonts w:ascii="Times New Roman" w:cs="Times New Roman" w:eastAsia="Times New Roman" w:hAnsi="Times New Roman"/>
          <w:sz w:val="16"/>
          <w:szCs w:val="16"/>
          <w:color w:val="auto"/>
        </w:rPr>
        <w:t xml:space="preserve"> (ii) the sum of</w:t>
      </w:r>
    </w:p>
    <w:p>
      <w:pPr>
        <w:spacing w:after="0" w:line="2" w:lineRule="exact"/>
        <w:rPr>
          <w:sz w:val="20"/>
          <w:szCs w:val="20"/>
          <w:color w:val="auto"/>
        </w:rPr>
      </w:pPr>
    </w:p>
    <w:p>
      <w:pPr>
        <w:jc w:val="both"/>
        <w:ind w:left="1140" w:right="20" w:firstLine="3"/>
        <w:spacing w:after="0" w:line="252" w:lineRule="auto"/>
        <w:tabs>
          <w:tab w:leader="none" w:pos="1376"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total number of shares of Acquiror Common Stock into which all outstanding shares of Company Common Stock are converted in accordance with </w:t>
      </w:r>
      <w:r>
        <w:rPr>
          <w:rFonts w:ascii="Times New Roman" w:cs="Times New Roman" w:eastAsia="Times New Roman" w:hAnsi="Times New Roman"/>
          <w:sz w:val="16"/>
          <w:szCs w:val="16"/>
          <w:u w:val="single" w:color="auto"/>
          <w:color w:val="auto"/>
        </w:rPr>
        <w:t>Section 3.01(c)(i)</w:t>
      </w:r>
      <w:r>
        <w:rPr>
          <w:rFonts w:ascii="Times New Roman" w:cs="Times New Roman" w:eastAsia="Times New Roman" w:hAnsi="Times New Roman"/>
          <w:sz w:val="16"/>
          <w:szCs w:val="16"/>
          <w:color w:val="auto"/>
        </w:rPr>
        <w:t xml:space="preserve"> (including shares issued in connection with the conversion of the Company Convertible Notes), plus (y) the total number of shares of Acquiror Common Stock issued or issuable upon the exercise of the Exchanged Warrants and the Exchanged Options and on settlement of the Exchanged RSUs as of immediately following the Effective Time (whether vested or unvested, and on a cash exercise basis) (the “</w:t>
      </w:r>
      <w:r>
        <w:rPr>
          <w:rFonts w:ascii="Times New Roman" w:cs="Times New Roman" w:eastAsia="Times New Roman" w:hAnsi="Times New Roman"/>
          <w:sz w:val="16"/>
          <w:szCs w:val="16"/>
          <w:u w:val="single" w:color="auto"/>
          <w:color w:val="auto"/>
        </w:rPr>
        <w:t>Earnout Denominator</w:t>
      </w:r>
      <w:r>
        <w:rPr>
          <w:rFonts w:ascii="Times New Roman" w:cs="Times New Roman" w:eastAsia="Times New Roman" w:hAnsi="Times New Roman"/>
          <w:sz w:val="16"/>
          <w:szCs w:val="16"/>
          <w:color w:val="auto"/>
        </w:rPr>
        <w:t>”); and</w:t>
      </w:r>
    </w:p>
    <w:p>
      <w:pPr>
        <w:spacing w:after="0" w:line="167" w:lineRule="exact"/>
        <w:rPr>
          <w:sz w:val="20"/>
          <w:szCs w:val="20"/>
          <w:color w:val="auto"/>
        </w:rPr>
      </w:pPr>
    </w:p>
    <w:p>
      <w:pPr>
        <w:jc w:val="both"/>
        <w:ind w:left="1140" w:right="20" w:firstLine="3"/>
        <w:spacing w:after="0" w:line="256" w:lineRule="auto"/>
        <w:tabs>
          <w:tab w:leader="none" w:pos="1417"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case of a holder of outstanding Company Warrants, Company Options or Company RSUs (whether vested or unvested) as of immediately prior to the Effective Time, a fraction expressed as a percentage equal to (i) the number of shares of Company Common Stock issued or issuable upon the exercise of such holder’s Exchanged Warrants, Exchanged Options or Exchanged RSUs, as applicable (whether vested or unvested, on a cash exercise basis), </w:t>
      </w:r>
      <w:r>
        <w:rPr>
          <w:rFonts w:ascii="Times New Roman" w:cs="Times New Roman" w:eastAsia="Times New Roman" w:hAnsi="Times New Roman"/>
          <w:sz w:val="16"/>
          <w:szCs w:val="16"/>
          <w:i w:val="1"/>
          <w:iCs w:val="1"/>
          <w:color w:val="auto"/>
        </w:rPr>
        <w:t>divided by</w:t>
      </w:r>
    </w:p>
    <w:p>
      <w:pPr>
        <w:spacing w:after="0" w:line="1" w:lineRule="exact"/>
        <w:rPr>
          <w:rFonts w:ascii="Times New Roman" w:cs="Times New Roman" w:eastAsia="Times New Roman" w:hAnsi="Times New Roman"/>
          <w:sz w:val="16"/>
          <w:szCs w:val="16"/>
          <w:color w:val="auto"/>
        </w:rPr>
      </w:pPr>
    </w:p>
    <w:p>
      <w:pPr>
        <w:ind w:left="1140" w:firstLine="3"/>
        <w:spacing w:after="0" w:line="258" w:lineRule="auto"/>
        <w:tabs>
          <w:tab w:leader="none" w:pos="1383"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Earnout Denominator, in each case, with such adjustments to give effect to rounding as the Company may determine in its sole discretion;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in no event shall the aggregate Earnout Pro Rata Portion exceed 100%.”</w:t>
      </w:r>
    </w:p>
    <w:p>
      <w:pPr>
        <w:spacing w:after="0" w:line="161" w:lineRule="exact"/>
        <w:rPr>
          <w:rFonts w:ascii="Times New Roman" w:cs="Times New Roman" w:eastAsia="Times New Roman" w:hAnsi="Times New Roman"/>
          <w:sz w:val="16"/>
          <w:szCs w:val="16"/>
          <w:color w:val="auto"/>
        </w:rPr>
      </w:pPr>
    </w:p>
    <w:p>
      <w:pPr>
        <w:ind w:left="920" w:hanging="160"/>
        <w:spacing w:after="0"/>
        <w:tabs>
          <w:tab w:leader="none" w:pos="9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Deletion of Section 1.01. “PPP”</w:t>
      </w:r>
      <w:r>
        <w:rPr>
          <w:rFonts w:ascii="Times New Roman" w:cs="Times New Roman" w:eastAsia="Times New Roman" w:hAnsi="Times New Roman"/>
          <w:sz w:val="16"/>
          <w:szCs w:val="16"/>
          <w:color w:val="auto"/>
        </w:rPr>
        <w:t>. The defined term “PPP” in Section 1.01 of the Merger Agreement is hereby deleted in its entirety.</w:t>
      </w:r>
    </w:p>
    <w:p>
      <w:pPr>
        <w:spacing w:after="0" w:line="198" w:lineRule="exact"/>
        <w:rPr>
          <w:rFonts w:ascii="Times New Roman" w:cs="Times New Roman" w:eastAsia="Times New Roman" w:hAnsi="Times New Roman"/>
          <w:sz w:val="16"/>
          <w:szCs w:val="16"/>
          <w:color w:val="auto"/>
        </w:rPr>
      </w:pPr>
    </w:p>
    <w:p>
      <w:pPr>
        <w:ind w:left="920" w:hanging="160"/>
        <w:spacing w:after="0"/>
        <w:tabs>
          <w:tab w:leader="none" w:pos="9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Deletion of Section 1.01. “PPP Loan”</w:t>
      </w:r>
      <w:r>
        <w:rPr>
          <w:rFonts w:ascii="Times New Roman" w:cs="Times New Roman" w:eastAsia="Times New Roman" w:hAnsi="Times New Roman"/>
          <w:sz w:val="16"/>
          <w:szCs w:val="16"/>
          <w:color w:val="auto"/>
        </w:rPr>
        <w:t>. The defined term “PPP Loan” in Section 1.01 of the Merger Agreement is hereby deleted in its entirety.</w:t>
      </w:r>
    </w:p>
    <w:p>
      <w:pPr>
        <w:spacing w:after="0" w:line="198" w:lineRule="exact"/>
        <w:rPr>
          <w:rFonts w:ascii="Times New Roman" w:cs="Times New Roman" w:eastAsia="Times New Roman" w:hAnsi="Times New Roman"/>
          <w:sz w:val="16"/>
          <w:szCs w:val="16"/>
          <w:color w:val="auto"/>
        </w:rPr>
      </w:pPr>
    </w:p>
    <w:p>
      <w:pPr>
        <w:ind w:left="1040" w:hanging="280"/>
        <w:spacing w:after="0"/>
        <w:tabs>
          <w:tab w:leader="none" w:pos="10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 of Section 3.02</w:t>
      </w:r>
      <w:r>
        <w:rPr>
          <w:rFonts w:ascii="Times New Roman" w:cs="Times New Roman" w:eastAsia="Times New Roman" w:hAnsi="Times New Roman"/>
          <w:sz w:val="16"/>
          <w:szCs w:val="16"/>
          <w:color w:val="auto"/>
        </w:rPr>
        <w:t>.</w:t>
      </w:r>
    </w:p>
    <w:p>
      <w:pPr>
        <w:spacing w:after="0" w:line="198"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title of Section 3.02 is hereby amended and restated as follows:</w:t>
      </w:r>
    </w:p>
    <w:p>
      <w:pPr>
        <w:spacing w:after="0" w:line="19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Treatment of Company Options, Warrants and Company RSUs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(b) Section 3.02 of the Merger Agreement is hereby amended to include the following new subsection (c):</w:t>
      </w:r>
    </w:p>
    <w:p>
      <w:pPr>
        <w:spacing w:after="0" w:line="198" w:lineRule="exact"/>
        <w:rPr>
          <w:sz w:val="20"/>
          <w:szCs w:val="20"/>
          <w:color w:val="auto"/>
        </w:rPr>
      </w:pPr>
    </w:p>
    <w:p>
      <w:pPr>
        <w:jc w:val="both"/>
        <w:ind w:left="1140" w:right="20"/>
        <w:spacing w:after="0" w:line="272" w:lineRule="auto"/>
        <w:rPr>
          <w:sz w:val="20"/>
          <w:szCs w:val="20"/>
          <w:color w:val="auto"/>
        </w:rPr>
      </w:pPr>
      <w:r>
        <w:rPr>
          <w:rFonts w:ascii="Times New Roman" w:cs="Times New Roman" w:eastAsia="Times New Roman" w:hAnsi="Times New Roman"/>
          <w:sz w:val="15"/>
          <w:szCs w:val="15"/>
          <w:color w:val="auto"/>
        </w:rPr>
        <w:t>“(c) At the Effective Time, by virtue of the First Merger and without any further action on the part of any party, each Company RSU to the extent then outstanding and unsettled, shall be assumed and converted into (i) a restricted stock unit covering a number of shares of Acquiror Common Stock (such award, an “</w:t>
      </w:r>
      <w:r>
        <w:rPr>
          <w:rFonts w:ascii="Times New Roman" w:cs="Times New Roman" w:eastAsia="Times New Roman" w:hAnsi="Times New Roman"/>
          <w:sz w:val="15"/>
          <w:szCs w:val="15"/>
          <w:u w:val="single" w:color="auto"/>
          <w:color w:val="auto"/>
        </w:rPr>
        <w:t>Exchanged RSU</w:t>
      </w:r>
      <w:r>
        <w:rPr>
          <w:rFonts w:ascii="Times New Roman" w:cs="Times New Roman" w:eastAsia="Times New Roman" w:hAnsi="Times New Roman"/>
          <w:sz w:val="15"/>
          <w:szCs w:val="15"/>
          <w:color w:val="auto"/>
        </w:rPr>
        <w:t xml:space="preserve">”) and (ii) the contingent right to receive the applicable Earnout Pro Rata Portion of Earnout Shares (which may be zero (0)) following the Closing in accordance with </w:t>
      </w:r>
      <w:r>
        <w:rPr>
          <w:rFonts w:ascii="Times New Roman" w:cs="Times New Roman" w:eastAsia="Times New Roman" w:hAnsi="Times New Roman"/>
          <w:sz w:val="15"/>
          <w:szCs w:val="15"/>
          <w:u w:val="single" w:color="auto"/>
          <w:color w:val="auto"/>
        </w:rPr>
        <w:t>Section 3.07</w:t>
      </w:r>
      <w:r>
        <w:rPr>
          <w:rFonts w:ascii="Times New Roman" w:cs="Times New Roman" w:eastAsia="Times New Roman" w:hAnsi="Times New Roman"/>
          <w:sz w:val="15"/>
          <w:szCs w:val="15"/>
          <w:color w:val="auto"/>
        </w:rPr>
        <w:t xml:space="preserve"> (the “</w:t>
      </w:r>
      <w:r>
        <w:rPr>
          <w:rFonts w:ascii="Times New Roman" w:cs="Times New Roman" w:eastAsia="Times New Roman" w:hAnsi="Times New Roman"/>
          <w:sz w:val="15"/>
          <w:szCs w:val="15"/>
          <w:u w:val="single" w:color="auto"/>
          <w:color w:val="auto"/>
        </w:rPr>
        <w:t>RSU Earnout Shares</w:t>
      </w:r>
      <w:r>
        <w:rPr>
          <w:rFonts w:ascii="Times New Roman" w:cs="Times New Roman" w:eastAsia="Times New Roman" w:hAnsi="Times New Roman"/>
          <w:sz w:val="15"/>
          <w:szCs w:val="15"/>
          <w:color w:val="auto"/>
        </w:rPr>
        <w:t>”). As of the Effective Time, each such Exchanged RSU as so assumed and converted shall cover that number of shares of Acquiror Common Stock equal to the product (rounded down to the nearest whole number) of (x) the number of shares of Company Common Stock issuable pursuant to such Company RSU immediately prior to the Effective Time and (y) the Exchange Ratio. Except as specifically provided above, following the Effective Time, each Exchanged RSU shall continue to be governed by the same terms and conditions (including vesting and settlement terms) as were applicable to the corresponding former Company RSU immediately prior to the Effective Time. For purposes of this Agreement, “</w:t>
      </w:r>
      <w:r>
        <w:rPr>
          <w:rFonts w:ascii="Times New Roman" w:cs="Times New Roman" w:eastAsia="Times New Roman" w:hAnsi="Times New Roman"/>
          <w:sz w:val="15"/>
          <w:szCs w:val="15"/>
          <w:u w:val="single" w:color="auto"/>
          <w:color w:val="auto"/>
        </w:rPr>
        <w:t>Company RSU</w:t>
      </w:r>
      <w:r>
        <w:rPr>
          <w:rFonts w:ascii="Times New Roman" w:cs="Times New Roman" w:eastAsia="Times New Roman" w:hAnsi="Times New Roman"/>
          <w:sz w:val="15"/>
          <w:szCs w:val="15"/>
          <w:color w:val="auto"/>
        </w:rPr>
        <w:t>” means a restricted stock unit in respect of shares of the Company granted pursuant to the Company Stock Plan or otherwise.</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color w:val="auto"/>
        </w:rPr>
        <w:t xml:space="preserve">11. </w:t>
      </w:r>
      <w:r>
        <w:rPr>
          <w:rFonts w:ascii="Times New Roman" w:cs="Times New Roman" w:eastAsia="Times New Roman" w:hAnsi="Times New Roman"/>
          <w:sz w:val="16"/>
          <w:szCs w:val="16"/>
          <w:u w:val="single" w:color="auto"/>
          <w:color w:val="auto"/>
        </w:rPr>
        <w:t>Amendment of Section 3.07(d)</w:t>
      </w:r>
      <w:r>
        <w:rPr>
          <w:rFonts w:ascii="Times New Roman" w:cs="Times New Roman" w:eastAsia="Times New Roman" w:hAnsi="Times New Roman"/>
          <w:sz w:val="16"/>
          <w:szCs w:val="16"/>
          <w:color w:val="auto"/>
        </w:rPr>
        <w:t>. Section 3.07(d) of the Merger Agreement is hereby amended and restated in its entirety as follows:</w:t>
      </w:r>
    </w:p>
    <w:p>
      <w:pPr>
        <w:spacing w:after="0" w:line="198" w:lineRule="exact"/>
        <w:rPr>
          <w:sz w:val="20"/>
          <w:szCs w:val="20"/>
          <w:color w:val="auto"/>
        </w:rPr>
      </w:pPr>
    </w:p>
    <w:p>
      <w:pPr>
        <w:jc w:val="both"/>
        <w:ind w:left="380"/>
        <w:spacing w:after="0" w:line="278" w:lineRule="auto"/>
        <w:rPr>
          <w:sz w:val="20"/>
          <w:szCs w:val="20"/>
          <w:color w:val="auto"/>
        </w:rPr>
      </w:pPr>
      <w:r>
        <w:rPr>
          <w:rFonts w:ascii="Times New Roman" w:cs="Times New Roman" w:eastAsia="Times New Roman" w:hAnsi="Times New Roman"/>
          <w:sz w:val="15"/>
          <w:szCs w:val="15"/>
          <w:color w:val="auto"/>
        </w:rPr>
        <w:t xml:space="preserve">“(d) Any Option Earnout Shares or RSU Earnout Shares payable to holders of unvested Exchanged Options or unvested Exchanged RSUs, as applicable, shall be subject to terms and conditions that are substantially similar to those that applied to the award of such Company Option or Company RSU immediately prior to the Effective Time (including vesting and forfeiture conditions, but taking into account any changes thereto provided for in the Company Stock Plans, in any award agreement evidencing such Company Option or Company RSU or by reason of this Agreement or the Transactions). The issuance of the Option Earnout Shares and RSU Earnout Shares will also be subject to any withholding required pursuant to applicable Law pursuant to </w:t>
      </w:r>
      <w:r>
        <w:rPr>
          <w:rFonts w:ascii="Times New Roman" w:cs="Times New Roman" w:eastAsia="Times New Roman" w:hAnsi="Times New Roman"/>
          <w:sz w:val="15"/>
          <w:szCs w:val="15"/>
          <w:u w:val="single" w:color="auto"/>
          <w:color w:val="auto"/>
        </w:rPr>
        <w:t>Section 3.08</w:t>
      </w:r>
      <w:r>
        <w:rPr>
          <w:rFonts w:ascii="Times New Roman" w:cs="Times New Roman" w:eastAsia="Times New Roman" w:hAnsi="Times New Roman"/>
          <w:sz w:val="15"/>
          <w:szCs w:val="15"/>
          <w:color w:val="auto"/>
        </w:rPr>
        <w:t>.”</w:t>
      </w:r>
    </w:p>
    <w:p>
      <w:pPr>
        <w:spacing w:after="0" w:line="148" w:lineRule="exact"/>
        <w:rPr>
          <w:sz w:val="20"/>
          <w:szCs w:val="20"/>
          <w:color w:val="auto"/>
        </w:rPr>
      </w:pPr>
    </w:p>
    <w:p>
      <w:pPr>
        <w:ind w:left="280" w:hanging="280"/>
        <w:spacing w:after="0"/>
        <w:tabs>
          <w:tab w:leader="none" w:pos="2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Deletion of Section 4.07(b)</w:t>
      </w:r>
      <w:r>
        <w:rPr>
          <w:rFonts w:ascii="Times New Roman" w:cs="Times New Roman" w:eastAsia="Times New Roman" w:hAnsi="Times New Roman"/>
          <w:sz w:val="16"/>
          <w:szCs w:val="16"/>
          <w:color w:val="auto"/>
        </w:rPr>
        <w:t>. Section 4.07(b) of the Merger Agreement is hereby deleted in its entirety.</w:t>
      </w:r>
    </w:p>
    <w:p>
      <w:pPr>
        <w:spacing w:after="0" w:line="198" w:lineRule="exact"/>
        <w:rPr>
          <w:rFonts w:ascii="Times New Roman" w:cs="Times New Roman" w:eastAsia="Times New Roman" w:hAnsi="Times New Roman"/>
          <w:sz w:val="16"/>
          <w:szCs w:val="16"/>
          <w:color w:val="auto"/>
        </w:rPr>
      </w:pPr>
    </w:p>
    <w:p>
      <w:pPr>
        <w:ind w:left="280" w:hanging="280"/>
        <w:spacing w:after="0"/>
        <w:tabs>
          <w:tab w:leader="none" w:pos="2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 of Section 5.07(a)</w:t>
      </w:r>
      <w:r>
        <w:rPr>
          <w:rFonts w:ascii="Times New Roman" w:cs="Times New Roman" w:eastAsia="Times New Roman" w:hAnsi="Times New Roman"/>
          <w:sz w:val="16"/>
          <w:szCs w:val="16"/>
          <w:color w:val="auto"/>
        </w:rPr>
        <w:t>. Section 5.07(a) of the Merger Agreement is hereby amended and restated in its entirety as follows:</w:t>
      </w:r>
    </w:p>
    <w:p>
      <w:pPr>
        <w:spacing w:after="0" w:line="198" w:lineRule="exact"/>
        <w:rPr>
          <w:sz w:val="20"/>
          <w:szCs w:val="20"/>
          <w:color w:val="auto"/>
        </w:rPr>
      </w:pPr>
    </w:p>
    <w:p>
      <w:pPr>
        <w:jc w:val="both"/>
        <w:ind w:left="380"/>
        <w:spacing w:after="0" w:line="250" w:lineRule="auto"/>
        <w:rPr>
          <w:sz w:val="20"/>
          <w:szCs w:val="20"/>
          <w:color w:val="auto"/>
        </w:rPr>
      </w:pPr>
      <w:r>
        <w:rPr>
          <w:rFonts w:ascii="Times New Roman" w:cs="Times New Roman" w:eastAsia="Times New Roman" w:hAnsi="Times New Roman"/>
          <w:sz w:val="16"/>
          <w:szCs w:val="16"/>
          <w:color w:val="auto"/>
        </w:rPr>
        <w:t>“(a) As of the date hereof, there is at least $174,225,000 and as of July 25, 2022, there is at least $12,800,00 invested in a trust account at Morgan Stanley (the “Trust Account”), maintained by Continental Stock Transfer &amp; Trust Company, a New York corporation, acting as trustee (the “Trustee”), pursuant to the Investment Management Trust Agreement, dated December 23, 2020, as amended on June 16, 2022, by and between Acquiror and the Trustee (the “Trust Agreement”). The Trust Agreement is in full force and effect and is a legal, valid and binding obligation of Acquiror and, to the knowledge of Acquiror, the Trustee, enforceable in accordance with its terms, subject to applicable bankruptcy, insolvency, fraudulent conveyance, reorganization, moratorium and similar Laws affecting creditors’ rights generally and subject, as to enforceability, to general principles of equity. The Trust Agreement has not been terminated, repudiated, rescinded, amended or supplemented or modified, in any respect, and, to the knowledge of Acquiror, no such termination, repudiation, rescission, amendment, supplement or modification is contemplated. There are no side letters and there are no agreements, Contracts, arrangements or understandings, whether written or oral, with the Trustee or any other Person that would (i) cause the description of the Trust Agreement in the Acquiror SEC Reports to be inaccurate or (ii) entitle any Person (other than any Acquiror Stockholder who is a Redeeming Stockholder) to any portion of the proceeds in the Trust Account. Prior to the Closing, none of the funds held in the Trust Account may be released except in accordance with the Trust Agreement, Acquiror Organizational Documents and Acquiror’s final prospectus dated December 23, 2020. Amounts in the Trust Account are invested in United States Government securities or in money market funds meeting certain conditions under Rule 2a-7 promulgated under the Investment Company Act of 1940. Acquiror has performed all material obligations required to be performed by it to date under, and is not in material default, breach or delinquent in performance or any other respect (claimed or actual) in connection with, the Trust Agreement, and no event has occurred which, with due notice or lapse of time or both, would constitute such a default or breach thereunder. There are no Actions pending or, to the knowledge of Acquiror, threatened with respect to the Trust Account. Since December 23, 2020, Acquiror has not released any money from the Trust Account (other than interest income earned on the principal held in the Trust Account as permitted by the Trust Agreement and other than pursuant to redemptions pursuant to Acquiror’s special meeting of stockholders held on June 18, 2022). As of the Effective Time, the obligations of Acquiror to dissolve or liquidate pursuant to the Acquiror Organizational Documents shall terminate, and, as of the Effective Time, Acquiror shall have no obligation whatsoever pursuant to the Acquiror Organizational Documents to dissolve and liquidate the assets of Acquiror by reason of the consummation of the transactions contemplated hereby. Following the Effective Time, no Acquiror Stockholder shall be entitled to receive any amount from the Trust Account except to the extent such Acquiror Stockholder is a Redeeming Stockholder.”</w:t>
      </w:r>
    </w:p>
    <w:p>
      <w:pPr>
        <w:spacing w:after="0" w:line="37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15240</wp:posOffset>
            </wp:positionV>
            <wp:extent cx="7148195"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500"/>
          </w:cols>
          <w:pgMar w:left="1080" w:top="816" w:right="319" w:bottom="1440" w:gutter="0" w:footer="0" w:header="0"/>
        </w:sectPr>
      </w:pPr>
    </w:p>
    <w:bookmarkStart w:id="11" w:name="page12"/>
    <w:bookmarkEnd w:id="11"/>
    <w:p>
      <w:pPr>
        <w:ind w:left="1040" w:hanging="280"/>
        <w:spacing w:after="0"/>
        <w:tabs>
          <w:tab w:leader="none" w:pos="10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 of Section 5.14</w:t>
      </w:r>
      <w:r>
        <w:rPr>
          <w:rFonts w:ascii="Times New Roman" w:cs="Times New Roman" w:eastAsia="Times New Roman" w:hAnsi="Times New Roman"/>
          <w:sz w:val="16"/>
          <w:szCs w:val="16"/>
          <w:color w:val="auto"/>
        </w:rPr>
        <w:t>. Section 5.14 of the Merger Agreement is hereby amended and restated in its entirety as follows:</w:t>
      </w:r>
    </w:p>
    <w:p>
      <w:pPr>
        <w:spacing w:after="0" w:line="198" w:lineRule="exact"/>
        <w:rPr>
          <w:rFonts w:ascii="Times New Roman" w:cs="Times New Roman" w:eastAsia="Times New Roman" w:hAnsi="Times New Roman"/>
          <w:sz w:val="16"/>
          <w:szCs w:val="16"/>
          <w:color w:val="auto"/>
        </w:rPr>
      </w:pPr>
    </w:p>
    <w:p>
      <w:pPr>
        <w:jc w:val="both"/>
        <w:ind w:left="1140" w:firstLine="3"/>
        <w:spacing w:after="0" w:line="253" w:lineRule="auto"/>
        <w:tabs>
          <w:tab w:leader="none" w:pos="1372"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authorized capital stock of Acquiror consists of (i) 1,000,000 shares of Acquiror Preferred Stock and (ii) 50,000,000 shares of Acquiror Common Stock. As of the date of this Agreement, (A) no shares of Acquiror Preferred Stock are issued and outstanding, (B) 21,562,500 shares of Acquiror Common Stock are issued and outstanding, (C) 17,250,000 Acquiror Warrants are issued and outstanding, (D) 6,675,000 Acquiror Private Placement Warrants are issued and outstanding and (E) rights to receive 862,500 shares of Acquiror Common Stock are issued and outstanding; provided that for clarity, as of July 25, 2022, 5,567,518 shares of Acquiror Common Stock are issued and outstanding. All of the issued and outstanding shares of Acquiror Common Stock have been duly authorized and validly issued and are fully paid and nonassessable. All outstanding Acquiror Units, shares of Acquiror Common Stock, Acquiror Warrants and Acquiror Private Placement Warrant (1) were issued in compliance in all material respects with applicable Law and (2) were not issued in breach or violation of any preemptive rights or Contract.</w:t>
      </w:r>
    </w:p>
    <w:p>
      <w:pPr>
        <w:spacing w:after="0" w:line="169" w:lineRule="exact"/>
        <w:rPr>
          <w:rFonts w:ascii="Times New Roman" w:cs="Times New Roman" w:eastAsia="Times New Roman" w:hAnsi="Times New Roman"/>
          <w:sz w:val="16"/>
          <w:szCs w:val="16"/>
          <w:color w:val="auto"/>
        </w:rPr>
      </w:pPr>
    </w:p>
    <w:p>
      <w:pPr>
        <w:ind w:left="1040" w:hanging="280"/>
        <w:spacing w:after="0"/>
        <w:tabs>
          <w:tab w:leader="none" w:pos="10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 of Section 7.13</w:t>
      </w:r>
      <w:r>
        <w:rPr>
          <w:rFonts w:ascii="Times New Roman" w:cs="Times New Roman" w:eastAsia="Times New Roman" w:hAnsi="Times New Roman"/>
          <w:sz w:val="16"/>
          <w:szCs w:val="16"/>
          <w:color w:val="auto"/>
        </w:rPr>
        <w:t>. Section 7.13 of the Merger Agreement is hereby amended and restated in its entirety as follows:</w:t>
      </w:r>
    </w:p>
    <w:p>
      <w:pPr>
        <w:spacing w:after="0" w:line="198" w:lineRule="exact"/>
        <w:rPr>
          <w:sz w:val="20"/>
          <w:szCs w:val="20"/>
          <w:color w:val="auto"/>
        </w:rPr>
      </w:pPr>
    </w:p>
    <w:p>
      <w:pPr>
        <w:jc w:val="both"/>
        <w:ind w:left="1140" w:right="20"/>
        <w:spacing w:after="0" w:line="254" w:lineRule="auto"/>
        <w:rPr>
          <w:sz w:val="20"/>
          <w:szCs w:val="20"/>
          <w:color w:val="auto"/>
        </w:rPr>
      </w:pPr>
      <w:r>
        <w:rPr>
          <w:rFonts w:ascii="Times New Roman" w:cs="Times New Roman" w:eastAsia="Times New Roman" w:hAnsi="Times New Roman"/>
          <w:sz w:val="16"/>
          <w:szCs w:val="16"/>
          <w:color w:val="auto"/>
        </w:rPr>
        <w:t>“Except as otherwise agreed in writing by the Company and Acquiror prior to the Closing, and conditioned upon the occurrence of the Closing, subject to any limitation imposed under applicable Laws and Nasdaq listing requirements, Acquiror shall take all actions necessary or appropriate to cause (a) the Acquiror Board to consist of seven (7) directors, divided into three (3) classes, designated Class I, II and III, with Class I consisting of two (2) directors with an initial term that expires in 2023, Class II consisting of two (2) directors with an initial term that expires in 2024, and Class III consisting of three (3) directors with an initial term that expires in 2025 and (b) the individuals set forth on Schedule 7.13 to be elected as members of the Acquiror Board, effective as of the Closing. On the Closing Date, Acquiror shall enter into customary indemnification agreements reasonably satisfactory to the Company with the individuals set forth on Schedule 7.13, which indemnification agreements shall continue to be effective following the Closing.”</w:t>
      </w:r>
    </w:p>
    <w:p>
      <w:pPr>
        <w:spacing w:after="0" w:line="167" w:lineRule="exact"/>
        <w:rPr>
          <w:sz w:val="20"/>
          <w:szCs w:val="20"/>
          <w:color w:val="auto"/>
        </w:rPr>
      </w:pPr>
    </w:p>
    <w:p>
      <w:pPr>
        <w:ind w:left="1040" w:hanging="280"/>
        <w:spacing w:after="0"/>
        <w:tabs>
          <w:tab w:leader="none" w:pos="10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 of Section 10.01(b)</w:t>
      </w:r>
      <w:r>
        <w:rPr>
          <w:rFonts w:ascii="Times New Roman" w:cs="Times New Roman" w:eastAsia="Times New Roman" w:hAnsi="Times New Roman"/>
          <w:sz w:val="16"/>
          <w:szCs w:val="16"/>
          <w:color w:val="auto"/>
        </w:rPr>
        <w:t>. Section 10.01(b) of the Merger Agreement is hereby amended by deleting “August” and replacing it with “December”.</w:t>
      </w:r>
    </w:p>
    <w:p>
      <w:pPr>
        <w:spacing w:after="0" w:line="198" w:lineRule="exact"/>
        <w:rPr>
          <w:rFonts w:ascii="Times New Roman" w:cs="Times New Roman" w:eastAsia="Times New Roman" w:hAnsi="Times New Roman"/>
          <w:sz w:val="16"/>
          <w:szCs w:val="16"/>
          <w:color w:val="auto"/>
        </w:rPr>
      </w:pPr>
    </w:p>
    <w:p>
      <w:pPr>
        <w:ind w:right="20" w:firstLine="760"/>
        <w:spacing w:after="0" w:line="280" w:lineRule="auto"/>
        <w:tabs>
          <w:tab w:leader="none" w:pos="1055"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 of Section 11.02(b)</w:t>
      </w:r>
      <w:r>
        <w:rPr>
          <w:rFonts w:ascii="Times New Roman" w:cs="Times New Roman" w:eastAsia="Times New Roman" w:hAnsi="Times New Roman"/>
          <w:sz w:val="16"/>
          <w:szCs w:val="16"/>
          <w:color w:val="auto"/>
        </w:rPr>
        <w:t>. Section 11.02(b) of the Merger Agreement is hereby amended by deleting “816 Hamilton Street Redwood City, CA 94063” and replacing it with “985 Industrial Road San Carlos, CA 94070”.</w:t>
      </w:r>
    </w:p>
    <w:p>
      <w:pPr>
        <w:spacing w:after="0" w:line="144" w:lineRule="exact"/>
        <w:rPr>
          <w:rFonts w:ascii="Times New Roman" w:cs="Times New Roman" w:eastAsia="Times New Roman" w:hAnsi="Times New Roman"/>
          <w:sz w:val="16"/>
          <w:szCs w:val="16"/>
          <w:color w:val="auto"/>
        </w:rPr>
      </w:pPr>
    </w:p>
    <w:p>
      <w:pPr>
        <w:ind w:left="1040" w:hanging="280"/>
        <w:spacing w:after="0"/>
        <w:tabs>
          <w:tab w:leader="none" w:pos="10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Valid Amendment</w:t>
      </w:r>
      <w:r>
        <w:rPr>
          <w:rFonts w:ascii="Times New Roman" w:cs="Times New Roman" w:eastAsia="Times New Roman" w:hAnsi="Times New Roman"/>
          <w:sz w:val="16"/>
          <w:szCs w:val="16"/>
          <w:color w:val="auto"/>
        </w:rPr>
        <w:t>. This Amendment is made in accordance with Section 11.10 of the Merger Agreement and constitutes an integral part thereof.</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2" w:name="page13"/>
    <w:bookmarkEnd w:id="12"/>
    <w:p>
      <w:pPr>
        <w:jc w:val="both"/>
        <w:ind w:firstLine="760"/>
        <w:spacing w:after="0" w:line="255" w:lineRule="auto"/>
        <w:tabs>
          <w:tab w:leader="none" w:pos="1055"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Confirmation, Ratification and Entire Agreements</w:t>
      </w:r>
      <w:r>
        <w:rPr>
          <w:rFonts w:ascii="Times New Roman" w:cs="Times New Roman" w:eastAsia="Times New Roman" w:hAnsi="Times New Roman"/>
          <w:sz w:val="16"/>
          <w:szCs w:val="16"/>
          <w:color w:val="auto"/>
        </w:rPr>
        <w:t>. Except as expressly amended and modified herein, the Merger Agreement shall continue in full force and effect, and the parties hereby ratify and confirm the Merger Agreement as hereby amended. All references to the Merger Agreement in any document, instrument, agreement, or writing delivered pursuant to the Merger Agreement (as amended hereby) shall hereafter be deemed to refer to the Merger Agreement as amended hereby. The Merger Agreement (as amended hereby), the Confidentiality Agreement and any other documents, instruments, and agreements among the parties as contemplated by or referenced in the Merger Agreement comprise the complete and exclusive agreement between the parties regarding the subject matter of this Amendment, and supersede all oral and written communications, negotiations, representations or agreements in relation to that subject matter made or entered into before the date hereof.</w:t>
      </w:r>
    </w:p>
    <w:p>
      <w:pPr>
        <w:spacing w:after="0" w:line="165" w:lineRule="exact"/>
        <w:rPr>
          <w:rFonts w:ascii="Times New Roman" w:cs="Times New Roman" w:eastAsia="Times New Roman" w:hAnsi="Times New Roman"/>
          <w:sz w:val="16"/>
          <w:szCs w:val="16"/>
          <w:color w:val="auto"/>
        </w:rPr>
      </w:pPr>
    </w:p>
    <w:p>
      <w:pPr>
        <w:jc w:val="both"/>
        <w:ind w:firstLine="760"/>
        <w:spacing w:after="0" w:line="257" w:lineRule="auto"/>
        <w:tabs>
          <w:tab w:leader="none" w:pos="1043"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Miscellaneous</w:t>
      </w:r>
      <w:r>
        <w:rPr>
          <w:rFonts w:ascii="Times New Roman" w:cs="Times New Roman" w:eastAsia="Times New Roman" w:hAnsi="Times New Roman"/>
          <w:sz w:val="16"/>
          <w:szCs w:val="16"/>
          <w:color w:val="auto"/>
        </w:rPr>
        <w:t xml:space="preserve">. Sections 11.01 (Waiver), 11.02 (Notices), 11.03 (Assignment), 11.04 (Rights of Third Parties), 11.05 (Expenses), 11.06 (Governing Law), 11.07 (Captions; Counterparts), 11.10 (Amendments), 11.11 (Severability), 11.12 (Jurisdiction; WAIVER OF TRIAL BY JURY), 11.13 (Enforcement) and 11.14 (Non-Recourse) of the Merger Agreement are incorporated herein by reference, </w:t>
      </w:r>
      <w:r>
        <w:rPr>
          <w:rFonts w:ascii="Times New Roman" w:cs="Times New Roman" w:eastAsia="Times New Roman" w:hAnsi="Times New Roman"/>
          <w:sz w:val="16"/>
          <w:szCs w:val="16"/>
          <w:i w:val="1"/>
          <w:iCs w:val="1"/>
          <w:color w:val="auto"/>
        </w:rPr>
        <w:t>mutatis mutandis</w:t>
      </w:r>
      <w:r>
        <w:rPr>
          <w:rFonts w:ascii="Times New Roman" w:cs="Times New Roman" w:eastAsia="Times New Roman" w:hAnsi="Times New Roman"/>
          <w:sz w:val="16"/>
          <w:szCs w:val="16"/>
          <w:color w:val="auto"/>
        </w:rPr>
        <w:t>. Upon the effectiveness of this Amendment, each reference in the Merger Agreement to “this Agreement,” “hereunder,” “herein,” “hereof” or words of like import referring to the Merger Agreement shall mean and refer to the Merger Agreement as amended by this Amendment.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remainder of this page is intentionally left blank.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color w:val="auto"/>
        </w:rPr>
        <w:t>IN WITNESS WHEREOF, the parties have caused this Amendment to be executed and delivered on the date first set forth above.</w:t>
      </w:r>
    </w:p>
    <w:p>
      <w:pPr>
        <w:spacing w:after="0" w:line="196" w:lineRule="exact"/>
        <w:rPr>
          <w:sz w:val="20"/>
          <w:szCs w:val="20"/>
          <w:color w:val="auto"/>
        </w:rPr>
      </w:pPr>
    </w:p>
    <w:p>
      <w:pPr>
        <w:jc w:val="right"/>
        <w:ind w:right="1640"/>
        <w:spacing w:after="0"/>
        <w:rPr>
          <w:sz w:val="20"/>
          <w:szCs w:val="20"/>
          <w:color w:val="auto"/>
        </w:rPr>
      </w:pPr>
      <w:r>
        <w:rPr>
          <w:rFonts w:ascii="Times New Roman" w:cs="Times New Roman" w:eastAsia="Times New Roman" w:hAnsi="Times New Roman"/>
          <w:sz w:val="16"/>
          <w:szCs w:val="16"/>
          <w:b w:val="1"/>
          <w:bCs w:val="1"/>
          <w:color w:val="auto"/>
        </w:rPr>
        <w:t>VENTOUX CCM ACQUISITION CORP.</w:t>
      </w:r>
    </w:p>
    <w:p>
      <w:pPr>
        <w:spacing w:after="0" w:line="272" w:lineRule="exact"/>
        <w:rPr>
          <w:sz w:val="20"/>
          <w:szCs w:val="20"/>
          <w:color w:val="auto"/>
        </w:rPr>
      </w:pPr>
    </w:p>
    <w:tbl>
      <w:tblPr>
        <w:tblLayout w:type="fixed"/>
        <w:tblInd w:w="6380" w:type="dxa"/>
        <w:tblCellMar>
          <w:top w:w="0" w:type="dxa"/>
          <w:left w:w="0" w:type="dxa"/>
          <w:bottom w:w="0" w:type="dxa"/>
          <w:right w:w="0" w:type="dxa"/>
        </w:tblCellMar>
      </w:tblPr>
      <w:tr>
        <w:trPr>
          <w:trHeight w:val="212"/>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Edward Scheetz</w:t>
            </w:r>
          </w:p>
        </w:tc>
      </w:tr>
      <w:tr>
        <w:trPr>
          <w:trHeight w:val="175"/>
        </w:trPr>
        <w:tc>
          <w:tcPr>
            <w:tcW w:w="5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Name:</w:t>
            </w:r>
          </w:p>
        </w:tc>
        <w:tc>
          <w:tcPr>
            <w:tcW w:w="39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Edward Scheetz</w:t>
            </w:r>
          </w:p>
        </w:tc>
      </w:tr>
      <w:tr>
        <w:trPr>
          <w:trHeight w:val="208"/>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w:t>
            </w:r>
          </w:p>
        </w:tc>
      </w:tr>
    </w:tbl>
    <w:p>
      <w:pPr>
        <w:spacing w:after="0" w:line="172"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b w:val="1"/>
          <w:bCs w:val="1"/>
          <w:color w:val="auto"/>
        </w:rPr>
        <w:t>VENTOUX MERGER SUB I INC.</w:t>
      </w:r>
    </w:p>
    <w:p>
      <w:pPr>
        <w:spacing w:after="0" w:line="272" w:lineRule="exact"/>
        <w:rPr>
          <w:sz w:val="20"/>
          <w:szCs w:val="20"/>
          <w:color w:val="auto"/>
        </w:rPr>
      </w:pPr>
    </w:p>
    <w:tbl>
      <w:tblPr>
        <w:tblLayout w:type="fixed"/>
        <w:tblInd w:w="6380" w:type="dxa"/>
        <w:tblCellMar>
          <w:top w:w="0" w:type="dxa"/>
          <w:left w:w="0" w:type="dxa"/>
          <w:bottom w:w="0" w:type="dxa"/>
          <w:right w:w="0" w:type="dxa"/>
        </w:tblCellMar>
      </w:tblPr>
      <w:tr>
        <w:trPr>
          <w:trHeight w:val="212"/>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Edward Scheetz</w:t>
            </w:r>
          </w:p>
        </w:tc>
      </w:tr>
      <w:tr>
        <w:trPr>
          <w:trHeight w:val="175"/>
        </w:trPr>
        <w:tc>
          <w:tcPr>
            <w:tcW w:w="5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Name:</w:t>
            </w:r>
          </w:p>
        </w:tc>
        <w:tc>
          <w:tcPr>
            <w:tcW w:w="39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Edward Scheetz</w:t>
            </w:r>
          </w:p>
        </w:tc>
      </w:tr>
      <w:tr>
        <w:trPr>
          <w:trHeight w:val="208"/>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w:t>
            </w:r>
          </w:p>
        </w:tc>
      </w:tr>
    </w:tbl>
    <w:p>
      <w:pPr>
        <w:spacing w:after="0" w:line="172"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b w:val="1"/>
          <w:bCs w:val="1"/>
          <w:color w:val="auto"/>
        </w:rPr>
        <w:t>VENTOUX MERGER SUB II LLC</w:t>
      </w:r>
    </w:p>
    <w:p>
      <w:pPr>
        <w:spacing w:after="0" w:line="272" w:lineRule="exact"/>
        <w:rPr>
          <w:sz w:val="20"/>
          <w:szCs w:val="20"/>
          <w:color w:val="auto"/>
        </w:rPr>
      </w:pPr>
    </w:p>
    <w:tbl>
      <w:tblPr>
        <w:tblLayout w:type="fixed"/>
        <w:tblInd w:w="6380" w:type="dxa"/>
        <w:tblCellMar>
          <w:top w:w="0" w:type="dxa"/>
          <w:left w:w="0" w:type="dxa"/>
          <w:bottom w:w="0" w:type="dxa"/>
          <w:right w:w="0" w:type="dxa"/>
        </w:tblCellMar>
      </w:tblPr>
      <w:tr>
        <w:trPr>
          <w:trHeight w:val="212"/>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Edward Scheetz</w:t>
            </w:r>
          </w:p>
        </w:tc>
      </w:tr>
      <w:tr>
        <w:trPr>
          <w:trHeight w:val="175"/>
        </w:trPr>
        <w:tc>
          <w:tcPr>
            <w:tcW w:w="5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Name:</w:t>
            </w:r>
          </w:p>
        </w:tc>
        <w:tc>
          <w:tcPr>
            <w:tcW w:w="39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Edward Scheetz</w:t>
            </w:r>
          </w:p>
        </w:tc>
      </w:tr>
      <w:tr>
        <w:trPr>
          <w:trHeight w:val="208"/>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w:t>
            </w:r>
          </w:p>
        </w:tc>
      </w:tr>
    </w:tbl>
    <w:p>
      <w:pPr>
        <w:spacing w:after="0" w:line="39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15240</wp:posOffset>
            </wp:positionV>
            <wp:extent cx="7148195"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880"/>
          </w:cols>
          <w:pgMar w:left="700" w:top="816" w:right="319" w:bottom="1440" w:gutter="0" w:footer="0" w:header="0"/>
        </w:sectPr>
      </w:pPr>
    </w:p>
    <w:bookmarkStart w:id="14" w:name="page15"/>
    <w:bookmarkEnd w:id="14"/>
    <w:p>
      <w:pPr>
        <w:ind w:left="5640"/>
        <w:spacing w:after="0"/>
        <w:rPr>
          <w:sz w:val="20"/>
          <w:szCs w:val="20"/>
          <w:color w:val="auto"/>
        </w:rPr>
      </w:pPr>
      <w:r>
        <w:rPr>
          <w:rFonts w:ascii="Times New Roman" w:cs="Times New Roman" w:eastAsia="Times New Roman" w:hAnsi="Times New Roman"/>
          <w:sz w:val="16"/>
          <w:szCs w:val="16"/>
          <w:b w:val="1"/>
          <w:bCs w:val="1"/>
          <w:color w:val="auto"/>
        </w:rPr>
        <w:t>E LA CARTE, INC.</w:t>
      </w:r>
    </w:p>
    <w:p>
      <w:pPr>
        <w:spacing w:after="0" w:line="272" w:lineRule="exact"/>
        <w:rPr>
          <w:sz w:val="20"/>
          <w:szCs w:val="20"/>
          <w:color w:val="auto"/>
        </w:rPr>
      </w:pPr>
    </w:p>
    <w:tbl>
      <w:tblPr>
        <w:tblLayout w:type="fixed"/>
        <w:tblInd w:w="5640" w:type="dxa"/>
        <w:tblCellMar>
          <w:top w:w="0" w:type="dxa"/>
          <w:left w:w="0" w:type="dxa"/>
          <w:bottom w:w="0" w:type="dxa"/>
          <w:right w:w="0" w:type="dxa"/>
        </w:tblCellMar>
      </w:tblPr>
      <w:tr>
        <w:trPr>
          <w:trHeight w:val="212"/>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Rajat Suri</w:t>
            </w:r>
          </w:p>
        </w:tc>
      </w:tr>
      <w:tr>
        <w:trPr>
          <w:trHeight w:val="175"/>
        </w:trPr>
        <w:tc>
          <w:tcPr>
            <w:tcW w:w="5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Name:</w:t>
            </w:r>
          </w:p>
        </w:tc>
        <w:tc>
          <w:tcPr>
            <w:tcW w:w="39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Rajat Suri</w:t>
            </w:r>
          </w:p>
        </w:tc>
      </w:tr>
      <w:tr>
        <w:trPr>
          <w:trHeight w:val="208"/>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w:t>
            </w:r>
          </w:p>
        </w:tc>
      </w:tr>
    </w:tbl>
    <w:p>
      <w:pPr>
        <w:spacing w:after="0" w:line="200" w:lineRule="exact"/>
        <w:rPr>
          <w:sz w:val="20"/>
          <w:szCs w:val="20"/>
          <w:color w:val="auto"/>
        </w:rPr>
      </w:pPr>
    </w:p>
    <w:p>
      <w:pPr>
        <w:spacing w:after="0" w:line="20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13970</wp:posOffset>
            </wp:positionV>
            <wp:extent cx="7148195"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0"/>
          </w:cols>
          <w:pgMar w:left="1440" w:top="838" w:right="31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6"/>
          <w:szCs w:val="16"/>
          <w:b w:val="1"/>
          <w:bCs w:val="1"/>
          <w:color w:val="auto"/>
        </w:rPr>
        <w:t>Exhibit 4.1</w:t>
      </w:r>
    </w:p>
    <w:p>
      <w:pPr>
        <w:spacing w:after="0" w:line="20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as Issuer,</w:t>
      </w:r>
    </w:p>
    <w:p>
      <w:pPr>
        <w:spacing w:after="0" w:line="19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the Guarantors from time to time party hereto</w:t>
      </w:r>
    </w:p>
    <w:p>
      <w:pPr>
        <w:spacing w:after="0" w:line="19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AND</w:t>
      </w:r>
    </w:p>
    <w:p>
      <w:pPr>
        <w:spacing w:after="0" w:line="19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U.S. Bank National Association,</w:t>
      </w:r>
    </w:p>
    <w:p>
      <w:pPr>
        <w:spacing w:after="0" w:line="20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as Trustee</w:t>
      </w:r>
      <w:r>
        <w:rPr>
          <w:rFonts w:ascii="Times New Roman" w:cs="Times New Roman" w:eastAsia="Times New Roman" w:hAnsi="Times New Roman"/>
          <w:sz w:val="26"/>
          <w:szCs w:val="26"/>
          <w:color w:val="auto"/>
          <w:vertAlign w:val="superscript"/>
        </w:rPr>
        <w:t>1</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INDENTURE</w:t>
      </w:r>
    </w:p>
    <w:p>
      <w:pPr>
        <w:spacing w:after="0" w:line="19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Dated as of [●], 2022</w:t>
      </w:r>
    </w:p>
    <w:p>
      <w:pPr>
        <w:spacing w:after="0" w:line="19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15.0% Cash + 5.0% PIK Convertible Senior Notes due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1790700"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214" w:lineRule="exact"/>
        <w:rPr>
          <w:sz w:val="20"/>
          <w:szCs w:val="20"/>
          <w:color w:val="auto"/>
        </w:rPr>
      </w:pPr>
    </w:p>
    <w:p>
      <w:pPr>
        <w:ind w:left="244" w:hanging="244"/>
        <w:spacing w:after="0"/>
        <w:tabs>
          <w:tab w:leader="none" w:pos="244"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NTD: This Indenture is subject to comments from the trustee that are reasonably acceptable to both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394335</wp:posOffset>
            </wp:positionV>
            <wp:extent cx="7148195"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1" w:right="31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0"/>
        </w:trPr>
        <w:tc>
          <w:tcPr>
            <w:tcW w:w="1160" w:type="dxa"/>
            <w:vAlign w:val="bottom"/>
          </w:tcPr>
          <w:p>
            <w:pPr>
              <w:spacing w:after="0"/>
              <w:rPr>
                <w:sz w:val="18"/>
                <w:szCs w:val="18"/>
                <w:color w:val="auto"/>
              </w:rPr>
            </w:pPr>
          </w:p>
        </w:tc>
        <w:tc>
          <w:tcPr>
            <w:tcW w:w="8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TABLE OF CONTENTS</w:t>
            </w:r>
          </w:p>
        </w:tc>
        <w:tc>
          <w:tcPr>
            <w:tcW w:w="1240" w:type="dxa"/>
            <w:vAlign w:val="bottom"/>
          </w:tcPr>
          <w:p>
            <w:pPr>
              <w:spacing w:after="0"/>
              <w:rPr>
                <w:sz w:val="18"/>
                <w:szCs w:val="18"/>
                <w:color w:val="auto"/>
              </w:rPr>
            </w:pPr>
          </w:p>
        </w:tc>
      </w:tr>
      <w:tr>
        <w:trPr>
          <w:trHeight w:val="398"/>
        </w:trPr>
        <w:tc>
          <w:tcPr>
            <w:tcW w:w="1160" w:type="dxa"/>
            <w:vAlign w:val="bottom"/>
            <w:tcBorders>
              <w:bottom w:val="single" w:sz="8" w:color="CCEEFF"/>
            </w:tcBorders>
          </w:tcPr>
          <w:p>
            <w:pPr>
              <w:spacing w:after="0"/>
              <w:rPr>
                <w:sz w:val="24"/>
                <w:szCs w:val="24"/>
                <w:color w:val="auto"/>
              </w:rPr>
            </w:pPr>
          </w:p>
        </w:tc>
        <w:tc>
          <w:tcPr>
            <w:tcW w:w="886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Page No</w:t>
            </w:r>
          </w:p>
        </w:tc>
      </w:tr>
      <w:tr>
        <w:trPr>
          <w:trHeight w:val="163"/>
        </w:trPr>
        <w:tc>
          <w:tcPr>
            <w:tcW w:w="1160" w:type="dxa"/>
            <w:vAlign w:val="bottom"/>
            <w:shd w:val="clear" w:color="auto" w:fill="CCEEFF"/>
          </w:tcPr>
          <w:p>
            <w:pPr>
              <w:spacing w:after="0"/>
              <w:rPr>
                <w:sz w:val="14"/>
                <w:szCs w:val="14"/>
                <w:color w:val="auto"/>
              </w:rPr>
            </w:pPr>
          </w:p>
        </w:tc>
        <w:tc>
          <w:tcPr>
            <w:tcW w:w="8860" w:type="dxa"/>
            <w:vAlign w:val="bottom"/>
            <w:shd w:val="clear" w:color="auto" w:fill="CCEEFF"/>
          </w:tcPr>
          <w:p>
            <w:pPr>
              <w:jc w:val="center"/>
              <w:spacing w:after="0" w:line="163" w:lineRule="exact"/>
              <w:rPr>
                <w:sz w:val="20"/>
                <w:szCs w:val="20"/>
                <w:color w:val="auto"/>
              </w:rPr>
            </w:pPr>
            <w:r>
              <w:rPr>
                <w:rFonts w:ascii="Times New Roman" w:cs="Times New Roman" w:eastAsia="Times New Roman" w:hAnsi="Times New Roman"/>
                <w:sz w:val="16"/>
                <w:szCs w:val="16"/>
                <w:color w:val="auto"/>
                <w:w w:val="97"/>
              </w:rPr>
              <w:t>ARTICLE 1</w:t>
            </w:r>
          </w:p>
        </w:tc>
        <w:tc>
          <w:tcPr>
            <w:tcW w:w="1240" w:type="dxa"/>
            <w:vAlign w:val="bottom"/>
            <w:shd w:val="clear" w:color="auto" w:fill="CCEEFF"/>
          </w:tcPr>
          <w:p>
            <w:pPr>
              <w:spacing w:after="0"/>
              <w:rPr>
                <w:sz w:val="14"/>
                <w:szCs w:val="14"/>
                <w:color w:val="auto"/>
              </w:rPr>
            </w:pPr>
          </w:p>
        </w:tc>
      </w:tr>
      <w:tr>
        <w:trPr>
          <w:trHeight w:val="208"/>
        </w:trPr>
        <w:tc>
          <w:tcPr>
            <w:tcW w:w="1160" w:type="dxa"/>
            <w:vAlign w:val="bottom"/>
            <w:shd w:val="clear" w:color="auto" w:fill="CCEEFF"/>
          </w:tcPr>
          <w:p>
            <w:pPr>
              <w:spacing w:after="0"/>
              <w:rPr>
                <w:sz w:val="18"/>
                <w:szCs w:val="18"/>
                <w:color w:val="auto"/>
              </w:rPr>
            </w:pPr>
          </w:p>
        </w:tc>
        <w:tc>
          <w:tcPr>
            <w:tcW w:w="8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w:t>
            </w:r>
            <w:r>
              <w:rPr>
                <w:rFonts w:ascii="Times New Roman" w:cs="Times New Roman" w:eastAsia="Times New Roman" w:hAnsi="Times New Roman"/>
                <w:sz w:val="10"/>
                <w:szCs w:val="10"/>
                <w:color w:val="auto"/>
              </w:rPr>
              <w:t>efinitions</w:t>
            </w:r>
          </w:p>
        </w:tc>
        <w:tc>
          <w:tcPr>
            <w:tcW w:w="1240" w:type="dxa"/>
            <w:vAlign w:val="bottom"/>
            <w:shd w:val="clear" w:color="auto" w:fill="CCEEFF"/>
          </w:tcPr>
          <w:p>
            <w:pPr>
              <w:spacing w:after="0"/>
              <w:rPr>
                <w:sz w:val="18"/>
                <w:szCs w:val="18"/>
                <w:color w:val="auto"/>
              </w:rPr>
            </w:pPr>
          </w:p>
        </w:tc>
      </w:tr>
      <w:tr>
        <w:trPr>
          <w:trHeight w:val="191"/>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Section 1.01.</w:t>
            </w:r>
          </w:p>
        </w:tc>
        <w:tc>
          <w:tcPr>
            <w:tcW w:w="8860" w:type="dxa"/>
            <w:vAlign w:val="bottom"/>
          </w:tcPr>
          <w:p>
            <w:pPr>
              <w:ind w:left="320"/>
              <w:spacing w:after="0"/>
              <w:rPr>
                <w:sz w:val="20"/>
                <w:szCs w:val="20"/>
                <w:color w:val="auto"/>
              </w:rPr>
            </w:pPr>
            <w:r>
              <w:rPr>
                <w:rFonts w:ascii="Times New Roman" w:cs="Times New Roman" w:eastAsia="Times New Roman" w:hAnsi="Times New Roman"/>
                <w:sz w:val="16"/>
                <w:szCs w:val="16"/>
                <w:i w:val="1"/>
                <w:iCs w:val="1"/>
                <w:color w:val="auto"/>
              </w:rPr>
              <w:t>Definitions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r>
      <w:tr>
        <w:trPr>
          <w:trHeight w:val="191"/>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1.02.</w:t>
            </w:r>
          </w:p>
        </w:tc>
        <w:tc>
          <w:tcPr>
            <w:tcW w:w="8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i w:val="1"/>
                <w:iCs w:val="1"/>
                <w:color w:val="auto"/>
              </w:rPr>
              <w:t>References to Interest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18</w:t>
            </w:r>
          </w:p>
        </w:tc>
      </w:tr>
      <w:tr>
        <w:trPr>
          <w:trHeight w:val="175"/>
        </w:trPr>
        <w:tc>
          <w:tcPr>
            <w:tcW w:w="1160" w:type="dxa"/>
            <w:vAlign w:val="bottom"/>
          </w:tcPr>
          <w:p>
            <w:pPr>
              <w:spacing w:after="0"/>
              <w:rPr>
                <w:sz w:val="15"/>
                <w:szCs w:val="15"/>
                <w:color w:val="auto"/>
              </w:rPr>
            </w:pPr>
          </w:p>
        </w:tc>
        <w:tc>
          <w:tcPr>
            <w:tcW w:w="88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7"/>
              </w:rPr>
              <w:t>ARTICLE 2</w:t>
            </w:r>
          </w:p>
        </w:tc>
        <w:tc>
          <w:tcPr>
            <w:tcW w:w="1240" w:type="dxa"/>
            <w:vAlign w:val="bottom"/>
          </w:tcPr>
          <w:p>
            <w:pPr>
              <w:spacing w:after="0"/>
              <w:rPr>
                <w:sz w:val="15"/>
                <w:szCs w:val="15"/>
                <w:color w:val="auto"/>
              </w:rPr>
            </w:pPr>
          </w:p>
        </w:tc>
      </w:tr>
      <w:tr>
        <w:trPr>
          <w:trHeight w:val="208"/>
        </w:trPr>
        <w:tc>
          <w:tcPr>
            <w:tcW w:w="1160" w:type="dxa"/>
            <w:vAlign w:val="bottom"/>
          </w:tcPr>
          <w:p>
            <w:pPr>
              <w:spacing w:after="0"/>
              <w:rPr>
                <w:sz w:val="18"/>
                <w:szCs w:val="18"/>
                <w:color w:val="auto"/>
              </w:rPr>
            </w:pPr>
          </w:p>
        </w:tc>
        <w:tc>
          <w:tcPr>
            <w:tcW w:w="8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w:t>
            </w:r>
            <w:r>
              <w:rPr>
                <w:rFonts w:ascii="Times New Roman" w:cs="Times New Roman" w:eastAsia="Times New Roman" w:hAnsi="Times New Roman"/>
                <w:sz w:val="10"/>
                <w:szCs w:val="10"/>
                <w:color w:val="auto"/>
              </w:rPr>
              <w:t>ssue</w:t>
            </w:r>
            <w:r>
              <w:rPr>
                <w:rFonts w:ascii="Times New Roman" w:cs="Times New Roman" w:eastAsia="Times New Roman" w:hAnsi="Times New Roman"/>
                <w:sz w:val="16"/>
                <w:szCs w:val="16"/>
                <w:color w:val="auto"/>
              </w:rPr>
              <w:t>, D</w:t>
            </w:r>
            <w:r>
              <w:rPr>
                <w:rFonts w:ascii="Times New Roman" w:cs="Times New Roman" w:eastAsia="Times New Roman" w:hAnsi="Times New Roman"/>
                <w:sz w:val="10"/>
                <w:szCs w:val="10"/>
                <w:color w:val="auto"/>
              </w:rPr>
              <w:t>escription</w:t>
            </w:r>
            <w:r>
              <w:rPr>
                <w:rFonts w:ascii="Times New Roman" w:cs="Times New Roman" w:eastAsia="Times New Roman" w:hAnsi="Times New Roman"/>
                <w:sz w:val="16"/>
                <w:szCs w:val="16"/>
                <w:color w:val="auto"/>
              </w:rPr>
              <w:t>, E</w:t>
            </w:r>
            <w:r>
              <w:rPr>
                <w:rFonts w:ascii="Times New Roman" w:cs="Times New Roman" w:eastAsia="Times New Roman" w:hAnsi="Times New Roman"/>
                <w:sz w:val="10"/>
                <w:szCs w:val="10"/>
                <w:color w:val="auto"/>
              </w:rPr>
              <w:t>xecution</w:t>
            </w:r>
            <w:r>
              <w:rPr>
                <w:rFonts w:ascii="Times New Roman" w:cs="Times New Roman" w:eastAsia="Times New Roman" w:hAnsi="Times New Roman"/>
                <w:sz w:val="16"/>
                <w:szCs w:val="16"/>
                <w:color w:val="auto"/>
              </w:rPr>
              <w:t>, R</w:t>
            </w:r>
            <w:r>
              <w:rPr>
                <w:rFonts w:ascii="Times New Roman" w:cs="Times New Roman" w:eastAsia="Times New Roman" w:hAnsi="Times New Roman"/>
                <w:sz w:val="10"/>
                <w:szCs w:val="10"/>
                <w:color w:val="auto"/>
              </w:rPr>
              <w:t>egistration and</w:t>
            </w:r>
            <w:r>
              <w:rPr>
                <w:rFonts w:ascii="Times New Roman" w:cs="Times New Roman" w:eastAsia="Times New Roman" w:hAnsi="Times New Roman"/>
                <w:sz w:val="16"/>
                <w:szCs w:val="16"/>
                <w:color w:val="auto"/>
              </w:rPr>
              <w:t xml:space="preserve"> E</w:t>
            </w:r>
            <w:r>
              <w:rPr>
                <w:rFonts w:ascii="Times New Roman" w:cs="Times New Roman" w:eastAsia="Times New Roman" w:hAnsi="Times New Roman"/>
                <w:sz w:val="10"/>
                <w:szCs w:val="10"/>
                <w:color w:val="auto"/>
              </w:rPr>
              <w:t>xchange of</w:t>
            </w:r>
            <w:r>
              <w:rPr>
                <w:rFonts w:ascii="Times New Roman" w:cs="Times New Roman" w:eastAsia="Times New Roman" w:hAnsi="Times New Roman"/>
                <w:sz w:val="16"/>
                <w:szCs w:val="16"/>
                <w:color w:val="auto"/>
              </w:rPr>
              <w:t xml:space="preserve"> N</w:t>
            </w:r>
            <w:r>
              <w:rPr>
                <w:rFonts w:ascii="Times New Roman" w:cs="Times New Roman" w:eastAsia="Times New Roman" w:hAnsi="Times New Roman"/>
                <w:sz w:val="10"/>
                <w:szCs w:val="10"/>
                <w:color w:val="auto"/>
              </w:rPr>
              <w:t>otes</w:t>
            </w:r>
          </w:p>
        </w:tc>
        <w:tc>
          <w:tcPr>
            <w:tcW w:w="1240" w:type="dxa"/>
            <w:vAlign w:val="bottom"/>
          </w:tcPr>
          <w:p>
            <w:pPr>
              <w:spacing w:after="0"/>
              <w:rPr>
                <w:sz w:val="18"/>
                <w:szCs w:val="18"/>
                <w:color w:val="auto"/>
              </w:rPr>
            </w:pPr>
          </w:p>
        </w:tc>
      </w:tr>
      <w:tr>
        <w:trPr>
          <w:trHeight w:val="191"/>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2.01.</w:t>
            </w:r>
          </w:p>
        </w:tc>
        <w:tc>
          <w:tcPr>
            <w:tcW w:w="8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i w:val="1"/>
                <w:iCs w:val="1"/>
                <w:color w:val="auto"/>
              </w:rPr>
              <w:t>Designation and Amount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19</w:t>
            </w:r>
          </w:p>
        </w:tc>
      </w:tr>
      <w:tr>
        <w:trPr>
          <w:trHeight w:val="191"/>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Section 2.02.</w:t>
            </w:r>
          </w:p>
        </w:tc>
        <w:tc>
          <w:tcPr>
            <w:tcW w:w="8860" w:type="dxa"/>
            <w:vAlign w:val="bottom"/>
          </w:tcPr>
          <w:p>
            <w:pPr>
              <w:ind w:left="320"/>
              <w:spacing w:after="0"/>
              <w:rPr>
                <w:sz w:val="20"/>
                <w:szCs w:val="20"/>
                <w:color w:val="auto"/>
              </w:rPr>
            </w:pPr>
            <w:r>
              <w:rPr>
                <w:rFonts w:ascii="Times New Roman" w:cs="Times New Roman" w:eastAsia="Times New Roman" w:hAnsi="Times New Roman"/>
                <w:sz w:val="16"/>
                <w:szCs w:val="16"/>
                <w:i w:val="1"/>
                <w:iCs w:val="1"/>
                <w:color w:val="auto"/>
              </w:rPr>
              <w:t>Form of Notes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19</w:t>
            </w:r>
          </w:p>
        </w:tc>
      </w:tr>
      <w:tr>
        <w:trPr>
          <w:trHeight w:val="191"/>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2.03.</w:t>
            </w:r>
          </w:p>
        </w:tc>
        <w:tc>
          <w:tcPr>
            <w:tcW w:w="8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i w:val="1"/>
                <w:iCs w:val="1"/>
                <w:color w:val="auto"/>
              </w:rPr>
              <w:t>Date and Denomination of Notes; Payments of Interest and Defaulted Amounts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w:t>
            </w:r>
          </w:p>
        </w:tc>
      </w:tr>
      <w:tr>
        <w:trPr>
          <w:trHeight w:val="191"/>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Section 2.04.</w:t>
            </w:r>
          </w:p>
        </w:tc>
        <w:tc>
          <w:tcPr>
            <w:tcW w:w="8860" w:type="dxa"/>
            <w:vAlign w:val="bottom"/>
          </w:tcPr>
          <w:p>
            <w:pPr>
              <w:ind w:left="320"/>
              <w:spacing w:after="0"/>
              <w:rPr>
                <w:sz w:val="20"/>
                <w:szCs w:val="20"/>
                <w:color w:val="auto"/>
              </w:rPr>
            </w:pPr>
            <w:r>
              <w:rPr>
                <w:rFonts w:ascii="Times New Roman" w:cs="Times New Roman" w:eastAsia="Times New Roman" w:hAnsi="Times New Roman"/>
                <w:sz w:val="16"/>
                <w:szCs w:val="16"/>
                <w:i w:val="1"/>
                <w:iCs w:val="1"/>
                <w:color w:val="auto"/>
              </w:rPr>
              <w:t>Execution, Authentication and Delivery of Notes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r>
      <w:tr>
        <w:trPr>
          <w:trHeight w:val="191"/>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2.05.</w:t>
            </w:r>
          </w:p>
        </w:tc>
        <w:tc>
          <w:tcPr>
            <w:tcW w:w="8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i w:val="1"/>
                <w:iCs w:val="1"/>
                <w:color w:val="auto"/>
              </w:rPr>
              <w:t>Exchange and Registration of Transfer of Notes; Restrictions on Transfer; Depositary.</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r>
      <w:tr>
        <w:trPr>
          <w:trHeight w:val="191"/>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Section 2.06.</w:t>
            </w:r>
          </w:p>
        </w:tc>
        <w:tc>
          <w:tcPr>
            <w:tcW w:w="8860" w:type="dxa"/>
            <w:vAlign w:val="bottom"/>
          </w:tcPr>
          <w:p>
            <w:pPr>
              <w:ind w:left="320"/>
              <w:spacing w:after="0"/>
              <w:rPr>
                <w:sz w:val="20"/>
                <w:szCs w:val="20"/>
                <w:color w:val="auto"/>
              </w:rPr>
            </w:pPr>
            <w:r>
              <w:rPr>
                <w:rFonts w:ascii="Times New Roman" w:cs="Times New Roman" w:eastAsia="Times New Roman" w:hAnsi="Times New Roman"/>
                <w:sz w:val="16"/>
                <w:szCs w:val="16"/>
                <w:i w:val="1"/>
                <w:iCs w:val="1"/>
                <w:color w:val="auto"/>
              </w:rPr>
              <w:t>Mutilated, Destroyed, Lost or Stolen Notes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26</w:t>
            </w:r>
          </w:p>
        </w:tc>
      </w:tr>
      <w:tr>
        <w:trPr>
          <w:trHeight w:val="191"/>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2.07.</w:t>
            </w:r>
          </w:p>
        </w:tc>
        <w:tc>
          <w:tcPr>
            <w:tcW w:w="8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i w:val="1"/>
                <w:iCs w:val="1"/>
                <w:color w:val="auto"/>
              </w:rPr>
              <w:t>Temporary Notes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27</w:t>
            </w:r>
          </w:p>
        </w:tc>
      </w:tr>
      <w:tr>
        <w:trPr>
          <w:trHeight w:val="191"/>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Section 2.08.</w:t>
            </w:r>
          </w:p>
        </w:tc>
        <w:tc>
          <w:tcPr>
            <w:tcW w:w="8860" w:type="dxa"/>
            <w:vAlign w:val="bottom"/>
          </w:tcPr>
          <w:p>
            <w:pPr>
              <w:ind w:left="320"/>
              <w:spacing w:after="0"/>
              <w:rPr>
                <w:sz w:val="20"/>
                <w:szCs w:val="20"/>
                <w:color w:val="auto"/>
              </w:rPr>
            </w:pPr>
            <w:r>
              <w:rPr>
                <w:rFonts w:ascii="Times New Roman" w:cs="Times New Roman" w:eastAsia="Times New Roman" w:hAnsi="Times New Roman"/>
                <w:sz w:val="16"/>
                <w:szCs w:val="16"/>
                <w:i w:val="1"/>
                <w:iCs w:val="1"/>
                <w:color w:val="auto"/>
              </w:rPr>
              <w:t>Cancellation of Notes Paid, Converted, Etc</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27</w:t>
            </w:r>
          </w:p>
        </w:tc>
      </w:tr>
      <w:tr>
        <w:trPr>
          <w:trHeight w:val="191"/>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2.09.</w:t>
            </w:r>
          </w:p>
        </w:tc>
        <w:tc>
          <w:tcPr>
            <w:tcW w:w="8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i w:val="1"/>
                <w:iCs w:val="1"/>
                <w:color w:val="auto"/>
              </w:rPr>
              <w:t>CUSIP Numbers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27</w:t>
            </w:r>
          </w:p>
        </w:tc>
      </w:tr>
      <w:tr>
        <w:trPr>
          <w:trHeight w:val="191"/>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Section 2.10.</w:t>
            </w:r>
          </w:p>
        </w:tc>
        <w:tc>
          <w:tcPr>
            <w:tcW w:w="8860" w:type="dxa"/>
            <w:vAlign w:val="bottom"/>
          </w:tcPr>
          <w:p>
            <w:pPr>
              <w:ind w:left="320"/>
              <w:spacing w:after="0"/>
              <w:rPr>
                <w:sz w:val="20"/>
                <w:szCs w:val="20"/>
                <w:color w:val="auto"/>
              </w:rPr>
            </w:pPr>
            <w:r>
              <w:rPr>
                <w:rFonts w:ascii="Times New Roman" w:cs="Times New Roman" w:eastAsia="Times New Roman" w:hAnsi="Times New Roman"/>
                <w:sz w:val="16"/>
                <w:szCs w:val="16"/>
                <w:i w:val="1"/>
                <w:iCs w:val="1"/>
                <w:color w:val="auto"/>
              </w:rPr>
              <w:t>Additional Notes; Repurchases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27</w:t>
            </w:r>
          </w:p>
        </w:tc>
      </w:tr>
      <w:tr>
        <w:trPr>
          <w:trHeight w:val="175"/>
        </w:trPr>
        <w:tc>
          <w:tcPr>
            <w:tcW w:w="1160" w:type="dxa"/>
            <w:vAlign w:val="bottom"/>
            <w:shd w:val="clear" w:color="auto" w:fill="CCEEFF"/>
          </w:tcPr>
          <w:p>
            <w:pPr>
              <w:spacing w:after="0"/>
              <w:rPr>
                <w:sz w:val="15"/>
                <w:szCs w:val="15"/>
                <w:color w:val="auto"/>
              </w:rPr>
            </w:pPr>
          </w:p>
        </w:tc>
        <w:tc>
          <w:tcPr>
            <w:tcW w:w="88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7"/>
              </w:rPr>
              <w:t>ARTICLE 3</w:t>
            </w:r>
          </w:p>
        </w:tc>
        <w:tc>
          <w:tcPr>
            <w:tcW w:w="1240" w:type="dxa"/>
            <w:vAlign w:val="bottom"/>
            <w:shd w:val="clear" w:color="auto" w:fill="CCEEFF"/>
          </w:tcPr>
          <w:p>
            <w:pPr>
              <w:spacing w:after="0"/>
              <w:rPr>
                <w:sz w:val="15"/>
                <w:szCs w:val="15"/>
                <w:color w:val="auto"/>
              </w:rPr>
            </w:pPr>
          </w:p>
        </w:tc>
      </w:tr>
      <w:tr>
        <w:trPr>
          <w:trHeight w:val="208"/>
        </w:trPr>
        <w:tc>
          <w:tcPr>
            <w:tcW w:w="1160" w:type="dxa"/>
            <w:vAlign w:val="bottom"/>
            <w:shd w:val="clear" w:color="auto" w:fill="CCEEFF"/>
          </w:tcPr>
          <w:p>
            <w:pPr>
              <w:spacing w:after="0"/>
              <w:rPr>
                <w:sz w:val="18"/>
                <w:szCs w:val="18"/>
                <w:color w:val="auto"/>
              </w:rPr>
            </w:pPr>
          </w:p>
        </w:tc>
        <w:tc>
          <w:tcPr>
            <w:tcW w:w="8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0"/>
                <w:szCs w:val="10"/>
                <w:color w:val="auto"/>
              </w:rPr>
              <w:t>atisfaction and</w:t>
            </w:r>
            <w:r>
              <w:rPr>
                <w:rFonts w:ascii="Times New Roman" w:cs="Times New Roman" w:eastAsia="Times New Roman" w:hAnsi="Times New Roman"/>
                <w:sz w:val="16"/>
                <w:szCs w:val="16"/>
                <w:color w:val="auto"/>
              </w:rPr>
              <w:t xml:space="preserve"> D</w:t>
            </w:r>
            <w:r>
              <w:rPr>
                <w:rFonts w:ascii="Times New Roman" w:cs="Times New Roman" w:eastAsia="Times New Roman" w:hAnsi="Times New Roman"/>
                <w:sz w:val="10"/>
                <w:szCs w:val="10"/>
                <w:color w:val="auto"/>
              </w:rPr>
              <w:t>ischarge</w:t>
            </w:r>
          </w:p>
        </w:tc>
        <w:tc>
          <w:tcPr>
            <w:tcW w:w="1240" w:type="dxa"/>
            <w:vAlign w:val="bottom"/>
            <w:shd w:val="clear" w:color="auto" w:fill="CCEEFF"/>
          </w:tcPr>
          <w:p>
            <w:pPr>
              <w:spacing w:after="0"/>
              <w:rPr>
                <w:sz w:val="18"/>
                <w:szCs w:val="18"/>
                <w:color w:val="auto"/>
              </w:rPr>
            </w:pPr>
          </w:p>
        </w:tc>
      </w:tr>
      <w:tr>
        <w:trPr>
          <w:trHeight w:val="191"/>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Section 3.01.</w:t>
            </w:r>
          </w:p>
        </w:tc>
        <w:tc>
          <w:tcPr>
            <w:tcW w:w="8860" w:type="dxa"/>
            <w:vAlign w:val="bottom"/>
          </w:tcPr>
          <w:p>
            <w:pPr>
              <w:ind w:left="320"/>
              <w:spacing w:after="0"/>
              <w:rPr>
                <w:sz w:val="20"/>
                <w:szCs w:val="20"/>
                <w:color w:val="auto"/>
              </w:rPr>
            </w:pPr>
            <w:r>
              <w:rPr>
                <w:rFonts w:ascii="Times New Roman" w:cs="Times New Roman" w:eastAsia="Times New Roman" w:hAnsi="Times New Roman"/>
                <w:sz w:val="16"/>
                <w:szCs w:val="16"/>
                <w:i w:val="1"/>
                <w:iCs w:val="1"/>
                <w:color w:val="auto"/>
              </w:rPr>
              <w:t>Satisfaction and Discharge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28</w:t>
            </w:r>
          </w:p>
        </w:tc>
      </w:tr>
      <w:tr>
        <w:trPr>
          <w:trHeight w:val="175"/>
        </w:trPr>
        <w:tc>
          <w:tcPr>
            <w:tcW w:w="1160" w:type="dxa"/>
            <w:vAlign w:val="bottom"/>
            <w:shd w:val="clear" w:color="auto" w:fill="CCEEFF"/>
          </w:tcPr>
          <w:p>
            <w:pPr>
              <w:spacing w:after="0"/>
              <w:rPr>
                <w:sz w:val="15"/>
                <w:szCs w:val="15"/>
                <w:color w:val="auto"/>
              </w:rPr>
            </w:pPr>
          </w:p>
        </w:tc>
        <w:tc>
          <w:tcPr>
            <w:tcW w:w="88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7"/>
              </w:rPr>
              <w:t>ARTICLE 4</w:t>
            </w:r>
          </w:p>
        </w:tc>
        <w:tc>
          <w:tcPr>
            <w:tcW w:w="1240" w:type="dxa"/>
            <w:vAlign w:val="bottom"/>
            <w:shd w:val="clear" w:color="auto" w:fill="CCEEFF"/>
          </w:tcPr>
          <w:p>
            <w:pPr>
              <w:spacing w:after="0"/>
              <w:rPr>
                <w:sz w:val="15"/>
                <w:szCs w:val="15"/>
                <w:color w:val="auto"/>
              </w:rPr>
            </w:pPr>
          </w:p>
        </w:tc>
      </w:tr>
      <w:tr>
        <w:trPr>
          <w:trHeight w:val="208"/>
        </w:trPr>
        <w:tc>
          <w:tcPr>
            <w:tcW w:w="1160" w:type="dxa"/>
            <w:vAlign w:val="bottom"/>
            <w:shd w:val="clear" w:color="auto" w:fill="CCEEFF"/>
          </w:tcPr>
          <w:p>
            <w:pPr>
              <w:spacing w:after="0"/>
              <w:rPr>
                <w:sz w:val="18"/>
                <w:szCs w:val="18"/>
                <w:color w:val="auto"/>
              </w:rPr>
            </w:pPr>
          </w:p>
        </w:tc>
        <w:tc>
          <w:tcPr>
            <w:tcW w:w="8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P</w:t>
            </w:r>
            <w:r>
              <w:rPr>
                <w:rFonts w:ascii="Times New Roman" w:cs="Times New Roman" w:eastAsia="Times New Roman" w:hAnsi="Times New Roman"/>
                <w:sz w:val="10"/>
                <w:szCs w:val="10"/>
                <w:color w:val="auto"/>
              </w:rPr>
              <w:t>articular</w:t>
            </w:r>
            <w:r>
              <w:rPr>
                <w:rFonts w:ascii="Times New Roman" w:cs="Times New Roman" w:eastAsia="Times New Roman" w:hAnsi="Times New Roman"/>
                <w:sz w:val="16"/>
                <w:szCs w:val="16"/>
                <w:color w:val="auto"/>
              </w:rPr>
              <w:t xml:space="preserve"> C</w:t>
            </w:r>
            <w:r>
              <w:rPr>
                <w:rFonts w:ascii="Times New Roman" w:cs="Times New Roman" w:eastAsia="Times New Roman" w:hAnsi="Times New Roman"/>
                <w:sz w:val="10"/>
                <w:szCs w:val="10"/>
                <w:color w:val="auto"/>
              </w:rPr>
              <w:t>ovenants of the</w:t>
            </w:r>
            <w:r>
              <w:rPr>
                <w:rFonts w:ascii="Times New Roman" w:cs="Times New Roman" w:eastAsia="Times New Roman" w:hAnsi="Times New Roman"/>
                <w:sz w:val="16"/>
                <w:szCs w:val="16"/>
                <w:color w:val="auto"/>
              </w:rPr>
              <w:t xml:space="preserve"> C</w:t>
            </w:r>
            <w:r>
              <w:rPr>
                <w:rFonts w:ascii="Times New Roman" w:cs="Times New Roman" w:eastAsia="Times New Roman" w:hAnsi="Times New Roman"/>
                <w:sz w:val="10"/>
                <w:szCs w:val="10"/>
                <w:color w:val="auto"/>
              </w:rPr>
              <w:t>ompany</w:t>
            </w:r>
          </w:p>
        </w:tc>
        <w:tc>
          <w:tcPr>
            <w:tcW w:w="1240" w:type="dxa"/>
            <w:vAlign w:val="bottom"/>
            <w:shd w:val="clear" w:color="auto" w:fill="CCEEFF"/>
          </w:tcPr>
          <w:p>
            <w:pPr>
              <w:spacing w:after="0"/>
              <w:rPr>
                <w:sz w:val="18"/>
                <w:szCs w:val="18"/>
                <w:color w:val="auto"/>
              </w:rPr>
            </w:pPr>
          </w:p>
        </w:tc>
      </w:tr>
      <w:tr>
        <w:trPr>
          <w:trHeight w:val="191"/>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Section 4.01.</w:t>
            </w:r>
          </w:p>
        </w:tc>
        <w:tc>
          <w:tcPr>
            <w:tcW w:w="8860" w:type="dxa"/>
            <w:vAlign w:val="bottom"/>
          </w:tcPr>
          <w:p>
            <w:pPr>
              <w:ind w:left="320"/>
              <w:spacing w:after="0"/>
              <w:rPr>
                <w:sz w:val="20"/>
                <w:szCs w:val="20"/>
                <w:color w:val="auto"/>
              </w:rPr>
            </w:pPr>
            <w:r>
              <w:rPr>
                <w:rFonts w:ascii="Times New Roman" w:cs="Times New Roman" w:eastAsia="Times New Roman" w:hAnsi="Times New Roman"/>
                <w:sz w:val="16"/>
                <w:szCs w:val="16"/>
                <w:i w:val="1"/>
                <w:iCs w:val="1"/>
                <w:color w:val="auto"/>
              </w:rPr>
              <w:t>Payment of Principal and Interest</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28</w:t>
            </w:r>
          </w:p>
        </w:tc>
      </w:tr>
      <w:tr>
        <w:trPr>
          <w:trHeight w:val="191"/>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4.02.</w:t>
            </w:r>
          </w:p>
        </w:tc>
        <w:tc>
          <w:tcPr>
            <w:tcW w:w="8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i w:val="1"/>
                <w:iCs w:val="1"/>
                <w:color w:val="auto"/>
              </w:rPr>
              <w:t>Maintenance of Office or Agency</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28</w:t>
            </w:r>
          </w:p>
        </w:tc>
      </w:tr>
      <w:tr>
        <w:trPr>
          <w:trHeight w:val="191"/>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Section 4.03.</w:t>
            </w:r>
          </w:p>
        </w:tc>
        <w:tc>
          <w:tcPr>
            <w:tcW w:w="8860" w:type="dxa"/>
            <w:vAlign w:val="bottom"/>
          </w:tcPr>
          <w:p>
            <w:pPr>
              <w:ind w:left="320"/>
              <w:spacing w:after="0"/>
              <w:rPr>
                <w:sz w:val="20"/>
                <w:szCs w:val="20"/>
                <w:color w:val="auto"/>
              </w:rPr>
            </w:pPr>
            <w:r>
              <w:rPr>
                <w:rFonts w:ascii="Times New Roman" w:cs="Times New Roman" w:eastAsia="Times New Roman" w:hAnsi="Times New Roman"/>
                <w:sz w:val="16"/>
                <w:szCs w:val="16"/>
                <w:i w:val="1"/>
                <w:iCs w:val="1"/>
                <w:color w:val="auto"/>
              </w:rPr>
              <w:t>Appointments to Fill Vacancies in Trustee’s Office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29</w:t>
            </w:r>
          </w:p>
        </w:tc>
      </w:tr>
      <w:tr>
        <w:trPr>
          <w:trHeight w:val="191"/>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4.04.</w:t>
            </w:r>
          </w:p>
        </w:tc>
        <w:tc>
          <w:tcPr>
            <w:tcW w:w="8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i w:val="1"/>
                <w:iCs w:val="1"/>
                <w:color w:val="auto"/>
              </w:rPr>
              <w:t>Provisions as to Paying Agent.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29</w:t>
            </w:r>
          </w:p>
        </w:tc>
      </w:tr>
      <w:tr>
        <w:trPr>
          <w:trHeight w:val="191"/>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Section 4.05.</w:t>
            </w:r>
          </w:p>
        </w:tc>
        <w:tc>
          <w:tcPr>
            <w:tcW w:w="8860" w:type="dxa"/>
            <w:vAlign w:val="bottom"/>
          </w:tcPr>
          <w:p>
            <w:pPr>
              <w:ind w:left="320"/>
              <w:spacing w:after="0"/>
              <w:rPr>
                <w:sz w:val="20"/>
                <w:szCs w:val="20"/>
                <w:color w:val="auto"/>
              </w:rPr>
            </w:pPr>
            <w:r>
              <w:rPr>
                <w:rFonts w:ascii="Times New Roman" w:cs="Times New Roman" w:eastAsia="Times New Roman" w:hAnsi="Times New Roman"/>
                <w:sz w:val="16"/>
                <w:szCs w:val="16"/>
                <w:i w:val="1"/>
                <w:iCs w:val="1"/>
                <w:color w:val="auto"/>
              </w:rPr>
              <w:t>Existence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30</w:t>
            </w:r>
          </w:p>
        </w:tc>
      </w:tr>
      <w:tr>
        <w:trPr>
          <w:trHeight w:val="191"/>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4.06.</w:t>
            </w:r>
          </w:p>
        </w:tc>
        <w:tc>
          <w:tcPr>
            <w:tcW w:w="8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i w:val="1"/>
                <w:iCs w:val="1"/>
                <w:color w:val="auto"/>
              </w:rPr>
              <w:t>Rule 144A Information Requirement and Annual Reports.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30</w:t>
            </w:r>
          </w:p>
        </w:tc>
      </w:tr>
      <w:tr>
        <w:trPr>
          <w:trHeight w:val="191"/>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Section 4.07.</w:t>
            </w:r>
          </w:p>
        </w:tc>
        <w:tc>
          <w:tcPr>
            <w:tcW w:w="8860" w:type="dxa"/>
            <w:vAlign w:val="bottom"/>
          </w:tcPr>
          <w:p>
            <w:pPr>
              <w:ind w:left="320"/>
              <w:spacing w:after="0"/>
              <w:rPr>
                <w:sz w:val="20"/>
                <w:szCs w:val="20"/>
                <w:color w:val="auto"/>
              </w:rPr>
            </w:pPr>
            <w:r>
              <w:rPr>
                <w:rFonts w:ascii="Times New Roman" w:cs="Times New Roman" w:eastAsia="Times New Roman" w:hAnsi="Times New Roman"/>
                <w:sz w:val="16"/>
                <w:szCs w:val="16"/>
                <w:i w:val="1"/>
                <w:iCs w:val="1"/>
                <w:color w:val="auto"/>
              </w:rPr>
              <w:t>Stay, Extension and Usury Laws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r>
      <w:tr>
        <w:trPr>
          <w:trHeight w:val="191"/>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4.08.</w:t>
            </w:r>
          </w:p>
        </w:tc>
        <w:tc>
          <w:tcPr>
            <w:tcW w:w="8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i w:val="1"/>
                <w:iCs w:val="1"/>
                <w:color w:val="auto"/>
              </w:rPr>
              <w:t>Compliance Certificate; Statements as to Defaults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r>
      <w:tr>
        <w:trPr>
          <w:trHeight w:val="191"/>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Section 4.09.</w:t>
            </w:r>
          </w:p>
        </w:tc>
        <w:tc>
          <w:tcPr>
            <w:tcW w:w="8860" w:type="dxa"/>
            <w:vAlign w:val="bottom"/>
          </w:tcPr>
          <w:p>
            <w:pPr>
              <w:ind w:left="320"/>
              <w:spacing w:after="0"/>
              <w:rPr>
                <w:sz w:val="20"/>
                <w:szCs w:val="20"/>
                <w:color w:val="auto"/>
              </w:rPr>
            </w:pPr>
            <w:r>
              <w:rPr>
                <w:rFonts w:ascii="Times New Roman" w:cs="Times New Roman" w:eastAsia="Times New Roman" w:hAnsi="Times New Roman"/>
                <w:sz w:val="16"/>
                <w:szCs w:val="16"/>
                <w:i w:val="1"/>
                <w:iCs w:val="1"/>
                <w:color w:val="auto"/>
              </w:rPr>
              <w:t>Further Instruments and Acts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r>
      <w:tr>
        <w:trPr>
          <w:trHeight w:val="191"/>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4.10.</w:t>
            </w:r>
          </w:p>
        </w:tc>
        <w:tc>
          <w:tcPr>
            <w:tcW w:w="8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i w:val="1"/>
                <w:iCs w:val="1"/>
                <w:color w:val="auto"/>
              </w:rPr>
              <w:t>Limitations on Certain Restricted Payments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r>
      <w:tr>
        <w:trPr>
          <w:trHeight w:val="191"/>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Section 4.11.</w:t>
            </w:r>
          </w:p>
        </w:tc>
        <w:tc>
          <w:tcPr>
            <w:tcW w:w="8860" w:type="dxa"/>
            <w:vAlign w:val="bottom"/>
          </w:tcPr>
          <w:p>
            <w:pPr>
              <w:ind w:left="320"/>
              <w:spacing w:after="0"/>
              <w:rPr>
                <w:sz w:val="20"/>
                <w:szCs w:val="20"/>
                <w:color w:val="auto"/>
              </w:rPr>
            </w:pPr>
            <w:r>
              <w:rPr>
                <w:rFonts w:ascii="Times New Roman" w:cs="Times New Roman" w:eastAsia="Times New Roman" w:hAnsi="Times New Roman"/>
                <w:sz w:val="16"/>
                <w:szCs w:val="16"/>
                <w:i w:val="1"/>
                <w:iCs w:val="1"/>
                <w:color w:val="auto"/>
              </w:rPr>
              <w:t>Limitation on Incurrence of Additional Indebtedness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33</w:t>
            </w:r>
          </w:p>
        </w:tc>
      </w:tr>
      <w:tr>
        <w:trPr>
          <w:trHeight w:val="191"/>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4.12.</w:t>
            </w:r>
          </w:p>
        </w:tc>
        <w:tc>
          <w:tcPr>
            <w:tcW w:w="8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i w:val="1"/>
                <w:iCs w:val="1"/>
                <w:color w:val="auto"/>
              </w:rPr>
              <w:t>Transactions with Affiliates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34</w:t>
            </w:r>
          </w:p>
        </w:tc>
      </w:tr>
      <w:tr>
        <w:trPr>
          <w:trHeight w:val="191"/>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Section 4.13.</w:t>
            </w:r>
          </w:p>
        </w:tc>
        <w:tc>
          <w:tcPr>
            <w:tcW w:w="8860" w:type="dxa"/>
            <w:vAlign w:val="bottom"/>
          </w:tcPr>
          <w:p>
            <w:pPr>
              <w:ind w:left="320"/>
              <w:spacing w:after="0"/>
              <w:rPr>
                <w:sz w:val="20"/>
                <w:szCs w:val="20"/>
                <w:color w:val="auto"/>
              </w:rPr>
            </w:pPr>
            <w:r>
              <w:rPr>
                <w:rFonts w:ascii="Times New Roman" w:cs="Times New Roman" w:eastAsia="Times New Roman" w:hAnsi="Times New Roman"/>
                <w:sz w:val="16"/>
                <w:szCs w:val="16"/>
                <w:i w:val="1"/>
                <w:iCs w:val="1"/>
                <w:color w:val="auto"/>
              </w:rPr>
              <w:t>Limitation on Liens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35</w:t>
            </w:r>
          </w:p>
        </w:tc>
      </w:tr>
      <w:tr>
        <w:trPr>
          <w:trHeight w:val="191"/>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4.14.</w:t>
            </w:r>
          </w:p>
        </w:tc>
        <w:tc>
          <w:tcPr>
            <w:tcW w:w="8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i w:val="1"/>
                <w:iCs w:val="1"/>
                <w:color w:val="auto"/>
              </w:rPr>
              <w:t>Subsidiary Guarantees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35</w:t>
            </w:r>
          </w:p>
        </w:tc>
      </w:tr>
      <w:tr>
        <w:trPr>
          <w:trHeight w:val="191"/>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Section 4.15.</w:t>
            </w:r>
          </w:p>
        </w:tc>
        <w:tc>
          <w:tcPr>
            <w:tcW w:w="8860" w:type="dxa"/>
            <w:vAlign w:val="bottom"/>
          </w:tcPr>
          <w:p>
            <w:pPr>
              <w:ind w:left="320"/>
              <w:spacing w:after="0"/>
              <w:rPr>
                <w:sz w:val="20"/>
                <w:szCs w:val="20"/>
                <w:color w:val="auto"/>
              </w:rPr>
            </w:pPr>
            <w:r>
              <w:rPr>
                <w:rFonts w:ascii="Times New Roman" w:cs="Times New Roman" w:eastAsia="Times New Roman" w:hAnsi="Times New Roman"/>
                <w:sz w:val="16"/>
                <w:szCs w:val="16"/>
                <w:i w:val="1"/>
                <w:iCs w:val="1"/>
                <w:color w:val="auto"/>
              </w:rPr>
              <w:t>Registration Rights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35</w:t>
            </w:r>
          </w:p>
        </w:tc>
      </w:tr>
      <w:tr>
        <w:trPr>
          <w:trHeight w:val="191"/>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4.16.</w:t>
            </w:r>
          </w:p>
        </w:tc>
        <w:tc>
          <w:tcPr>
            <w:tcW w:w="8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i w:val="1"/>
                <w:iCs w:val="1"/>
                <w:color w:val="auto"/>
              </w:rPr>
              <w:t>Payment of Taxes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35</w:t>
            </w:r>
          </w:p>
        </w:tc>
      </w:tr>
      <w:tr>
        <w:trPr>
          <w:trHeight w:val="191"/>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Section 4.17.</w:t>
            </w:r>
          </w:p>
        </w:tc>
        <w:tc>
          <w:tcPr>
            <w:tcW w:w="8860" w:type="dxa"/>
            <w:vAlign w:val="bottom"/>
          </w:tcPr>
          <w:p>
            <w:pPr>
              <w:ind w:left="320"/>
              <w:spacing w:after="0"/>
              <w:rPr>
                <w:sz w:val="20"/>
                <w:szCs w:val="20"/>
                <w:color w:val="auto"/>
              </w:rPr>
            </w:pPr>
            <w:r>
              <w:rPr>
                <w:rFonts w:ascii="Times New Roman" w:cs="Times New Roman" w:eastAsia="Times New Roman" w:hAnsi="Times New Roman"/>
                <w:sz w:val="16"/>
                <w:szCs w:val="16"/>
                <w:i w:val="1"/>
                <w:iCs w:val="1"/>
                <w:color w:val="auto"/>
              </w:rPr>
              <w:t>Compliance with Laws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35</w:t>
            </w:r>
          </w:p>
        </w:tc>
      </w:tr>
      <w:tr>
        <w:trPr>
          <w:trHeight w:val="191"/>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4.18.</w:t>
            </w:r>
          </w:p>
        </w:tc>
        <w:tc>
          <w:tcPr>
            <w:tcW w:w="8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i w:val="1"/>
                <w:iCs w:val="1"/>
                <w:color w:val="auto"/>
              </w:rPr>
              <w:t>Limitation on Sales of Assets</w:t>
            </w:r>
            <w:r>
              <w:rPr>
                <w:rFonts w:ascii="Times New Roman" w:cs="Times New Roman" w:eastAsia="Times New Roman" w:hAnsi="Times New Roman"/>
                <w:sz w:val="16"/>
                <w:szCs w:val="16"/>
                <w:color w:val="auto"/>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36</w:t>
            </w:r>
          </w:p>
        </w:tc>
      </w:tr>
      <w:tr>
        <w:trPr>
          <w:trHeight w:val="191"/>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Section 4.19.</w:t>
            </w:r>
          </w:p>
        </w:tc>
        <w:tc>
          <w:tcPr>
            <w:tcW w:w="8860" w:type="dxa"/>
            <w:vAlign w:val="bottom"/>
          </w:tcPr>
          <w:p>
            <w:pPr>
              <w:ind w:left="320"/>
              <w:spacing w:after="0"/>
              <w:rPr>
                <w:sz w:val="20"/>
                <w:szCs w:val="20"/>
                <w:color w:val="auto"/>
              </w:rPr>
            </w:pPr>
            <w:r>
              <w:rPr>
                <w:rFonts w:ascii="Times New Roman" w:cs="Times New Roman" w:eastAsia="Times New Roman" w:hAnsi="Times New Roman"/>
                <w:sz w:val="16"/>
                <w:szCs w:val="16"/>
                <w:i w:val="1"/>
                <w:iCs w:val="1"/>
                <w:color w:val="auto"/>
              </w:rPr>
              <w:t>Minimum Liquidity; Maximum Acquisition Spend</w:t>
            </w:r>
            <w:r>
              <w:rPr>
                <w:rFonts w:ascii="Times New Roman" w:cs="Times New Roman" w:eastAsia="Times New Roman" w:hAnsi="Times New Roman"/>
                <w:sz w:val="16"/>
                <w:szCs w:val="16"/>
                <w:color w:val="auto"/>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37</w:t>
            </w:r>
          </w:p>
        </w:tc>
      </w:tr>
      <w:tr>
        <w:trPr>
          <w:trHeight w:val="175"/>
        </w:trPr>
        <w:tc>
          <w:tcPr>
            <w:tcW w:w="1160" w:type="dxa"/>
            <w:vAlign w:val="bottom"/>
            <w:shd w:val="clear" w:color="auto" w:fill="CCEEFF"/>
          </w:tcPr>
          <w:p>
            <w:pPr>
              <w:spacing w:after="0"/>
              <w:rPr>
                <w:sz w:val="15"/>
                <w:szCs w:val="15"/>
                <w:color w:val="auto"/>
              </w:rPr>
            </w:pPr>
          </w:p>
        </w:tc>
        <w:tc>
          <w:tcPr>
            <w:tcW w:w="88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7"/>
              </w:rPr>
              <w:t>ARTICLE 5</w:t>
            </w:r>
          </w:p>
        </w:tc>
        <w:tc>
          <w:tcPr>
            <w:tcW w:w="1240" w:type="dxa"/>
            <w:vAlign w:val="bottom"/>
            <w:shd w:val="clear" w:color="auto" w:fill="CCEEFF"/>
          </w:tcPr>
          <w:p>
            <w:pPr>
              <w:spacing w:after="0"/>
              <w:rPr>
                <w:sz w:val="15"/>
                <w:szCs w:val="15"/>
                <w:color w:val="auto"/>
              </w:rPr>
            </w:pPr>
          </w:p>
        </w:tc>
      </w:tr>
      <w:tr>
        <w:trPr>
          <w:trHeight w:val="208"/>
        </w:trPr>
        <w:tc>
          <w:tcPr>
            <w:tcW w:w="1160" w:type="dxa"/>
            <w:vAlign w:val="bottom"/>
            <w:shd w:val="clear" w:color="auto" w:fill="CCEEFF"/>
          </w:tcPr>
          <w:p>
            <w:pPr>
              <w:spacing w:after="0"/>
              <w:rPr>
                <w:sz w:val="18"/>
                <w:szCs w:val="18"/>
                <w:color w:val="auto"/>
              </w:rPr>
            </w:pPr>
          </w:p>
        </w:tc>
        <w:tc>
          <w:tcPr>
            <w:tcW w:w="8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w:t>
            </w:r>
            <w:r>
              <w:rPr>
                <w:rFonts w:ascii="Times New Roman" w:cs="Times New Roman" w:eastAsia="Times New Roman" w:hAnsi="Times New Roman"/>
                <w:sz w:val="10"/>
                <w:szCs w:val="10"/>
                <w:color w:val="auto"/>
              </w:rPr>
              <w:t>ists of</w:t>
            </w:r>
            <w:r>
              <w:rPr>
                <w:rFonts w:ascii="Times New Roman" w:cs="Times New Roman" w:eastAsia="Times New Roman" w:hAnsi="Times New Roman"/>
                <w:sz w:val="16"/>
                <w:szCs w:val="16"/>
                <w:color w:val="auto"/>
              </w:rPr>
              <w:t xml:space="preserve"> H</w:t>
            </w:r>
            <w:r>
              <w:rPr>
                <w:rFonts w:ascii="Times New Roman" w:cs="Times New Roman" w:eastAsia="Times New Roman" w:hAnsi="Times New Roman"/>
                <w:sz w:val="10"/>
                <w:szCs w:val="10"/>
                <w:color w:val="auto"/>
              </w:rPr>
              <w:t>olders and</w:t>
            </w:r>
            <w:r>
              <w:rPr>
                <w:rFonts w:ascii="Times New Roman" w:cs="Times New Roman" w:eastAsia="Times New Roman" w:hAnsi="Times New Roman"/>
                <w:sz w:val="16"/>
                <w:szCs w:val="16"/>
                <w:color w:val="auto"/>
              </w:rPr>
              <w:t xml:space="preserve"> R</w:t>
            </w:r>
            <w:r>
              <w:rPr>
                <w:rFonts w:ascii="Times New Roman" w:cs="Times New Roman" w:eastAsia="Times New Roman" w:hAnsi="Times New Roman"/>
                <w:sz w:val="10"/>
                <w:szCs w:val="10"/>
                <w:color w:val="auto"/>
              </w:rPr>
              <w:t>eports by the</w:t>
            </w:r>
            <w:r>
              <w:rPr>
                <w:rFonts w:ascii="Times New Roman" w:cs="Times New Roman" w:eastAsia="Times New Roman" w:hAnsi="Times New Roman"/>
                <w:sz w:val="16"/>
                <w:szCs w:val="16"/>
                <w:color w:val="auto"/>
              </w:rPr>
              <w:t xml:space="preserve"> C</w:t>
            </w:r>
            <w:r>
              <w:rPr>
                <w:rFonts w:ascii="Times New Roman" w:cs="Times New Roman" w:eastAsia="Times New Roman" w:hAnsi="Times New Roman"/>
                <w:sz w:val="10"/>
                <w:szCs w:val="10"/>
                <w:color w:val="auto"/>
              </w:rPr>
              <w:t>ompany and the</w:t>
            </w:r>
            <w:r>
              <w:rPr>
                <w:rFonts w:ascii="Times New Roman" w:cs="Times New Roman" w:eastAsia="Times New Roman" w:hAnsi="Times New Roman"/>
                <w:sz w:val="16"/>
                <w:szCs w:val="16"/>
                <w:color w:val="auto"/>
              </w:rPr>
              <w:t xml:space="preserve"> T</w:t>
            </w:r>
            <w:r>
              <w:rPr>
                <w:rFonts w:ascii="Times New Roman" w:cs="Times New Roman" w:eastAsia="Times New Roman" w:hAnsi="Times New Roman"/>
                <w:sz w:val="10"/>
                <w:szCs w:val="10"/>
                <w:color w:val="auto"/>
              </w:rPr>
              <w:t>rustee</w:t>
            </w:r>
          </w:p>
        </w:tc>
        <w:tc>
          <w:tcPr>
            <w:tcW w:w="1240" w:type="dxa"/>
            <w:vAlign w:val="bottom"/>
            <w:shd w:val="clear" w:color="auto" w:fill="CCEEFF"/>
          </w:tcPr>
          <w:p>
            <w:pPr>
              <w:spacing w:after="0"/>
              <w:rPr>
                <w:sz w:val="18"/>
                <w:szCs w:val="18"/>
                <w:color w:val="auto"/>
              </w:rPr>
            </w:pPr>
          </w:p>
        </w:tc>
      </w:tr>
      <w:tr>
        <w:trPr>
          <w:trHeight w:val="191"/>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Section 5.01.</w:t>
            </w:r>
          </w:p>
        </w:tc>
        <w:tc>
          <w:tcPr>
            <w:tcW w:w="8860" w:type="dxa"/>
            <w:vAlign w:val="bottom"/>
          </w:tcPr>
          <w:p>
            <w:pPr>
              <w:ind w:left="320"/>
              <w:spacing w:after="0"/>
              <w:rPr>
                <w:sz w:val="20"/>
                <w:szCs w:val="20"/>
                <w:color w:val="auto"/>
              </w:rPr>
            </w:pPr>
            <w:r>
              <w:rPr>
                <w:rFonts w:ascii="Times New Roman" w:cs="Times New Roman" w:eastAsia="Times New Roman" w:hAnsi="Times New Roman"/>
                <w:sz w:val="16"/>
                <w:szCs w:val="16"/>
                <w:i w:val="1"/>
                <w:iCs w:val="1"/>
                <w:color w:val="auto"/>
              </w:rPr>
              <w:t>Lists of Holders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38</w:t>
            </w:r>
          </w:p>
        </w:tc>
      </w:tr>
      <w:tr>
        <w:trPr>
          <w:trHeight w:val="191"/>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5.02.</w:t>
            </w:r>
          </w:p>
        </w:tc>
        <w:tc>
          <w:tcPr>
            <w:tcW w:w="8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i w:val="1"/>
                <w:iCs w:val="1"/>
                <w:color w:val="auto"/>
              </w:rPr>
              <w:t>Preservation and Disclosure of Lists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38</w:t>
            </w:r>
          </w:p>
        </w:tc>
      </w:tr>
      <w:tr>
        <w:trPr>
          <w:trHeight w:val="175"/>
        </w:trPr>
        <w:tc>
          <w:tcPr>
            <w:tcW w:w="1160" w:type="dxa"/>
            <w:vAlign w:val="bottom"/>
          </w:tcPr>
          <w:p>
            <w:pPr>
              <w:spacing w:after="0"/>
              <w:rPr>
                <w:sz w:val="15"/>
                <w:szCs w:val="15"/>
                <w:color w:val="auto"/>
              </w:rPr>
            </w:pPr>
          </w:p>
        </w:tc>
        <w:tc>
          <w:tcPr>
            <w:tcW w:w="88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7"/>
              </w:rPr>
              <w:t>ARTICLE 6</w:t>
            </w:r>
          </w:p>
        </w:tc>
        <w:tc>
          <w:tcPr>
            <w:tcW w:w="1240" w:type="dxa"/>
            <w:vAlign w:val="bottom"/>
          </w:tcPr>
          <w:p>
            <w:pPr>
              <w:spacing w:after="0"/>
              <w:rPr>
                <w:sz w:val="15"/>
                <w:szCs w:val="15"/>
                <w:color w:val="auto"/>
              </w:rPr>
            </w:pPr>
          </w:p>
        </w:tc>
      </w:tr>
      <w:tr>
        <w:trPr>
          <w:trHeight w:val="208"/>
        </w:trPr>
        <w:tc>
          <w:tcPr>
            <w:tcW w:w="1160" w:type="dxa"/>
            <w:vAlign w:val="bottom"/>
          </w:tcPr>
          <w:p>
            <w:pPr>
              <w:spacing w:after="0"/>
              <w:rPr>
                <w:sz w:val="18"/>
                <w:szCs w:val="18"/>
                <w:color w:val="auto"/>
              </w:rPr>
            </w:pPr>
          </w:p>
        </w:tc>
        <w:tc>
          <w:tcPr>
            <w:tcW w:w="8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w:t>
            </w:r>
            <w:r>
              <w:rPr>
                <w:rFonts w:ascii="Times New Roman" w:cs="Times New Roman" w:eastAsia="Times New Roman" w:hAnsi="Times New Roman"/>
                <w:sz w:val="10"/>
                <w:szCs w:val="10"/>
                <w:color w:val="auto"/>
              </w:rPr>
              <w:t>efaults and</w:t>
            </w:r>
            <w:r>
              <w:rPr>
                <w:rFonts w:ascii="Times New Roman" w:cs="Times New Roman" w:eastAsia="Times New Roman" w:hAnsi="Times New Roman"/>
                <w:sz w:val="16"/>
                <w:szCs w:val="16"/>
                <w:color w:val="auto"/>
              </w:rPr>
              <w:t xml:space="preserve"> R</w:t>
            </w:r>
            <w:r>
              <w:rPr>
                <w:rFonts w:ascii="Times New Roman" w:cs="Times New Roman" w:eastAsia="Times New Roman" w:hAnsi="Times New Roman"/>
                <w:sz w:val="10"/>
                <w:szCs w:val="10"/>
                <w:color w:val="auto"/>
              </w:rPr>
              <w:t>emedies</w:t>
            </w:r>
          </w:p>
        </w:tc>
        <w:tc>
          <w:tcPr>
            <w:tcW w:w="1240" w:type="dxa"/>
            <w:vAlign w:val="bottom"/>
          </w:tcPr>
          <w:p>
            <w:pPr>
              <w:spacing w:after="0"/>
              <w:rPr>
                <w:sz w:val="18"/>
                <w:szCs w:val="18"/>
                <w:color w:val="auto"/>
              </w:rPr>
            </w:pPr>
          </w:p>
        </w:tc>
      </w:tr>
      <w:tr>
        <w:trPr>
          <w:trHeight w:val="191"/>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6.01.</w:t>
            </w:r>
          </w:p>
        </w:tc>
        <w:tc>
          <w:tcPr>
            <w:tcW w:w="8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i w:val="1"/>
                <w:iCs w:val="1"/>
                <w:color w:val="auto"/>
              </w:rPr>
              <w:t>Events of Default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38</w:t>
            </w:r>
          </w:p>
        </w:tc>
      </w:tr>
      <w:tr>
        <w:trPr>
          <w:trHeight w:val="210"/>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Section 6.02.</w:t>
            </w:r>
          </w:p>
        </w:tc>
        <w:tc>
          <w:tcPr>
            <w:tcW w:w="8860" w:type="dxa"/>
            <w:vAlign w:val="bottom"/>
          </w:tcPr>
          <w:p>
            <w:pPr>
              <w:ind w:left="320"/>
              <w:spacing w:after="0"/>
              <w:rPr>
                <w:sz w:val="20"/>
                <w:szCs w:val="20"/>
                <w:color w:val="auto"/>
              </w:rPr>
            </w:pPr>
            <w:r>
              <w:rPr>
                <w:rFonts w:ascii="Times New Roman" w:cs="Times New Roman" w:eastAsia="Times New Roman" w:hAnsi="Times New Roman"/>
                <w:sz w:val="16"/>
                <w:szCs w:val="16"/>
                <w:i w:val="1"/>
                <w:iCs w:val="1"/>
                <w:color w:val="auto"/>
              </w:rPr>
              <w:t>Acceleration; Rescission and Annulment</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39</w:t>
            </w:r>
          </w:p>
        </w:tc>
      </w:tr>
    </w:tbl>
    <w:p>
      <w:pPr>
        <w:spacing w:after="0" w:line="3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14"/>
        </w:trPr>
        <w:tc>
          <w:tcPr>
            <w:tcW w:w="1200" w:type="dxa"/>
            <w:vAlign w:val="bottom"/>
            <w:tcBorders>
              <w:bottom w:val="single" w:sz="8" w:color="CCEEFF"/>
            </w:tcBorders>
          </w:tcPr>
          <w:p>
            <w:pPr>
              <w:spacing w:after="0"/>
              <w:rPr>
                <w:sz w:val="18"/>
                <w:szCs w:val="18"/>
                <w:color w:val="auto"/>
              </w:rPr>
            </w:pPr>
          </w:p>
        </w:tc>
        <w:tc>
          <w:tcPr>
            <w:tcW w:w="88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Page No</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6.03.</w:t>
            </w:r>
          </w:p>
        </w:tc>
        <w:tc>
          <w:tcPr>
            <w:tcW w:w="8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i w:val="1"/>
                <w:iCs w:val="1"/>
                <w:color w:val="auto"/>
              </w:rPr>
              <w:t>Additional Interest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40</w:t>
            </w: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6.04.</w:t>
            </w: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Payments of Notes on Default; Suit Therefor</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6.05.</w:t>
            </w:r>
          </w:p>
        </w:tc>
        <w:tc>
          <w:tcPr>
            <w:tcW w:w="8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i w:val="1"/>
                <w:iCs w:val="1"/>
                <w:color w:val="auto"/>
              </w:rPr>
              <w:t>Application of Monies Collected by Trustee</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6.06.</w:t>
            </w: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Proceedings by Holders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6.07.</w:t>
            </w:r>
          </w:p>
        </w:tc>
        <w:tc>
          <w:tcPr>
            <w:tcW w:w="8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i w:val="1"/>
                <w:iCs w:val="1"/>
                <w:color w:val="auto"/>
              </w:rPr>
              <w:t>Proceedings by Trustee</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6.08.</w:t>
            </w: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Remedies Cumulative and Continuing</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6.09.</w:t>
            </w:r>
          </w:p>
        </w:tc>
        <w:tc>
          <w:tcPr>
            <w:tcW w:w="8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i w:val="1"/>
                <w:iCs w:val="1"/>
                <w:color w:val="auto"/>
              </w:rPr>
              <w:t>Direction of Proceedings and Waiver of Defaults by Majority of Holders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6.10.</w:t>
            </w: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Notice of Defaults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6.11.</w:t>
            </w:r>
          </w:p>
        </w:tc>
        <w:tc>
          <w:tcPr>
            <w:tcW w:w="8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i w:val="1"/>
                <w:iCs w:val="1"/>
                <w:color w:val="auto"/>
              </w:rPr>
              <w:t>Undertaking to Pay Costs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r>
      <w:tr>
        <w:trPr>
          <w:trHeight w:val="175"/>
        </w:trPr>
        <w:tc>
          <w:tcPr>
            <w:tcW w:w="1200" w:type="dxa"/>
            <w:vAlign w:val="bottom"/>
          </w:tcPr>
          <w:p>
            <w:pPr>
              <w:spacing w:after="0"/>
              <w:rPr>
                <w:sz w:val="15"/>
                <w:szCs w:val="15"/>
                <w:color w:val="auto"/>
              </w:rPr>
            </w:pPr>
          </w:p>
        </w:tc>
        <w:tc>
          <w:tcPr>
            <w:tcW w:w="882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7"/>
              </w:rPr>
              <w:t>ARTICLE 7</w:t>
            </w:r>
          </w:p>
        </w:tc>
        <w:tc>
          <w:tcPr>
            <w:tcW w:w="1240" w:type="dxa"/>
            <w:vAlign w:val="bottom"/>
          </w:tcPr>
          <w:p>
            <w:pPr>
              <w:spacing w:after="0"/>
              <w:rPr>
                <w:sz w:val="15"/>
                <w:szCs w:val="15"/>
                <w:color w:val="auto"/>
              </w:rPr>
            </w:pPr>
          </w:p>
        </w:tc>
      </w:tr>
      <w:tr>
        <w:trPr>
          <w:trHeight w:val="208"/>
        </w:trPr>
        <w:tc>
          <w:tcPr>
            <w:tcW w:w="1200" w:type="dxa"/>
            <w:vAlign w:val="bottom"/>
          </w:tcPr>
          <w:p>
            <w:pPr>
              <w:spacing w:after="0"/>
              <w:rPr>
                <w:sz w:val="18"/>
                <w:szCs w:val="18"/>
                <w:color w:val="auto"/>
              </w:rPr>
            </w:pPr>
          </w:p>
        </w:tc>
        <w:tc>
          <w:tcPr>
            <w:tcW w:w="8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w:t>
            </w:r>
            <w:r>
              <w:rPr>
                <w:rFonts w:ascii="Times New Roman" w:cs="Times New Roman" w:eastAsia="Times New Roman" w:hAnsi="Times New Roman"/>
                <w:sz w:val="10"/>
                <w:szCs w:val="10"/>
                <w:color w:val="auto"/>
              </w:rPr>
              <w:t>oncerning the</w:t>
            </w:r>
            <w:r>
              <w:rPr>
                <w:rFonts w:ascii="Times New Roman" w:cs="Times New Roman" w:eastAsia="Times New Roman" w:hAnsi="Times New Roman"/>
                <w:sz w:val="16"/>
                <w:szCs w:val="16"/>
                <w:color w:val="auto"/>
              </w:rPr>
              <w:t xml:space="preserve"> T</w:t>
            </w:r>
            <w:r>
              <w:rPr>
                <w:rFonts w:ascii="Times New Roman" w:cs="Times New Roman" w:eastAsia="Times New Roman" w:hAnsi="Times New Roman"/>
                <w:sz w:val="10"/>
                <w:szCs w:val="10"/>
                <w:color w:val="auto"/>
              </w:rPr>
              <w:t>rustee</w:t>
            </w:r>
          </w:p>
        </w:tc>
        <w:tc>
          <w:tcPr>
            <w:tcW w:w="1240" w:type="dxa"/>
            <w:vAlign w:val="bottom"/>
          </w:tcPr>
          <w:p>
            <w:pPr>
              <w:spacing w:after="0"/>
              <w:rPr>
                <w:sz w:val="18"/>
                <w:szCs w:val="18"/>
                <w:color w:val="auto"/>
              </w:rPr>
            </w:pP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7.01.</w:t>
            </w:r>
          </w:p>
        </w:tc>
        <w:tc>
          <w:tcPr>
            <w:tcW w:w="8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i w:val="1"/>
                <w:iCs w:val="1"/>
                <w:color w:val="auto"/>
              </w:rPr>
              <w:t>Duties and Responsibilities of Trustee</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45</w:t>
            </w: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7.02.</w:t>
            </w: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Reliance on Documents, Opinions, Etc</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46</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7.03.</w:t>
            </w:r>
          </w:p>
        </w:tc>
        <w:tc>
          <w:tcPr>
            <w:tcW w:w="8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i w:val="1"/>
                <w:iCs w:val="1"/>
                <w:color w:val="auto"/>
              </w:rPr>
              <w:t>No Responsibility for Recitals, Etc</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47</w:t>
            </w: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7.04.</w:t>
            </w: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Trustee, Paying Agents, Conversion Agents or Note Registrar May Own Notes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47</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7.05.</w:t>
            </w:r>
          </w:p>
        </w:tc>
        <w:tc>
          <w:tcPr>
            <w:tcW w:w="8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i w:val="1"/>
                <w:iCs w:val="1"/>
                <w:color w:val="auto"/>
              </w:rPr>
              <w:t>Monies and Shares of Common Stock to Be Held in Trust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47</w:t>
            </w: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7.06.</w:t>
            </w: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Compensation and Expenses of Trustee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48</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7.07.</w:t>
            </w:r>
          </w:p>
        </w:tc>
        <w:tc>
          <w:tcPr>
            <w:tcW w:w="8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i w:val="1"/>
                <w:iCs w:val="1"/>
                <w:color w:val="auto"/>
              </w:rPr>
              <w:t>Officer’s Certificate and Opinion of Counsel as Evidence</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48</w:t>
            </w: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7.08.</w:t>
            </w: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Eligibility of Trustee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48</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7.09.</w:t>
            </w:r>
          </w:p>
        </w:tc>
        <w:tc>
          <w:tcPr>
            <w:tcW w:w="8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i w:val="1"/>
                <w:iCs w:val="1"/>
                <w:color w:val="auto"/>
              </w:rPr>
              <w:t>Resignation or Removal of Trustee</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49</w:t>
            </w: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7.10.</w:t>
            </w: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Acceptance by Successor Trustee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49</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7.11.</w:t>
            </w:r>
          </w:p>
        </w:tc>
        <w:tc>
          <w:tcPr>
            <w:tcW w:w="8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i w:val="1"/>
                <w:iCs w:val="1"/>
                <w:color w:val="auto"/>
              </w:rPr>
              <w:t>Succession by Merger, Etc</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50</w:t>
            </w: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7.12.</w:t>
            </w: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Trustee’s Application for Instructions from the Company</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50</w:t>
            </w:r>
          </w:p>
        </w:tc>
      </w:tr>
      <w:tr>
        <w:trPr>
          <w:trHeight w:val="175"/>
        </w:trPr>
        <w:tc>
          <w:tcPr>
            <w:tcW w:w="1200" w:type="dxa"/>
            <w:vAlign w:val="bottom"/>
            <w:shd w:val="clear" w:color="auto" w:fill="CCEEFF"/>
          </w:tcPr>
          <w:p>
            <w:pPr>
              <w:spacing w:after="0"/>
              <w:rPr>
                <w:sz w:val="15"/>
                <w:szCs w:val="15"/>
                <w:color w:val="auto"/>
              </w:rPr>
            </w:pPr>
          </w:p>
        </w:tc>
        <w:tc>
          <w:tcPr>
            <w:tcW w:w="88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7"/>
              </w:rPr>
              <w:t>ARTICLE 8</w:t>
            </w:r>
          </w:p>
        </w:tc>
        <w:tc>
          <w:tcPr>
            <w:tcW w:w="1240" w:type="dxa"/>
            <w:vAlign w:val="bottom"/>
            <w:shd w:val="clear" w:color="auto" w:fill="CCEEFF"/>
          </w:tcPr>
          <w:p>
            <w:pPr>
              <w:spacing w:after="0"/>
              <w:rPr>
                <w:sz w:val="15"/>
                <w:szCs w:val="15"/>
                <w:color w:val="auto"/>
              </w:rPr>
            </w:pPr>
          </w:p>
        </w:tc>
      </w:tr>
      <w:tr>
        <w:trPr>
          <w:trHeight w:val="208"/>
        </w:trPr>
        <w:tc>
          <w:tcPr>
            <w:tcW w:w="1200" w:type="dxa"/>
            <w:vAlign w:val="bottom"/>
            <w:shd w:val="clear" w:color="auto" w:fill="CCEEFF"/>
          </w:tcPr>
          <w:p>
            <w:pPr>
              <w:spacing w:after="0"/>
              <w:rPr>
                <w:sz w:val="18"/>
                <w:szCs w:val="18"/>
                <w:color w:val="auto"/>
              </w:rPr>
            </w:pPr>
          </w:p>
        </w:tc>
        <w:tc>
          <w:tcPr>
            <w:tcW w:w="8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C</w:t>
            </w:r>
            <w:r>
              <w:rPr>
                <w:rFonts w:ascii="Times New Roman" w:cs="Times New Roman" w:eastAsia="Times New Roman" w:hAnsi="Times New Roman"/>
                <w:sz w:val="10"/>
                <w:szCs w:val="10"/>
                <w:color w:val="auto"/>
              </w:rPr>
              <w:t>oncerning</w:t>
            </w:r>
            <w:r>
              <w:rPr>
                <w:rFonts w:ascii="Times New Roman" w:cs="Times New Roman" w:eastAsia="Times New Roman" w:hAnsi="Times New Roman"/>
                <w:sz w:val="16"/>
                <w:szCs w:val="16"/>
                <w:color w:val="auto"/>
              </w:rPr>
              <w:t xml:space="preserve"> T</w:t>
            </w:r>
            <w:r>
              <w:rPr>
                <w:rFonts w:ascii="Times New Roman" w:cs="Times New Roman" w:eastAsia="Times New Roman" w:hAnsi="Times New Roman"/>
                <w:sz w:val="10"/>
                <w:szCs w:val="10"/>
                <w:color w:val="auto"/>
              </w:rPr>
              <w:t>he</w:t>
            </w:r>
            <w:r>
              <w:rPr>
                <w:rFonts w:ascii="Times New Roman" w:cs="Times New Roman" w:eastAsia="Times New Roman" w:hAnsi="Times New Roman"/>
                <w:sz w:val="16"/>
                <w:szCs w:val="16"/>
                <w:color w:val="auto"/>
              </w:rPr>
              <w:t xml:space="preserve"> H</w:t>
            </w:r>
            <w:r>
              <w:rPr>
                <w:rFonts w:ascii="Times New Roman" w:cs="Times New Roman" w:eastAsia="Times New Roman" w:hAnsi="Times New Roman"/>
                <w:sz w:val="10"/>
                <w:szCs w:val="10"/>
                <w:color w:val="auto"/>
              </w:rPr>
              <w:t>olders</w:t>
            </w:r>
          </w:p>
        </w:tc>
        <w:tc>
          <w:tcPr>
            <w:tcW w:w="1240" w:type="dxa"/>
            <w:vAlign w:val="bottom"/>
            <w:shd w:val="clear" w:color="auto" w:fill="CCEEFF"/>
          </w:tcPr>
          <w:p>
            <w:pPr>
              <w:spacing w:after="0"/>
              <w:rPr>
                <w:sz w:val="18"/>
                <w:szCs w:val="18"/>
                <w:color w:val="auto"/>
              </w:rPr>
            </w:pP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8.01.</w:t>
            </w: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Action by Holders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50</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8.02.</w:t>
            </w:r>
          </w:p>
        </w:tc>
        <w:tc>
          <w:tcPr>
            <w:tcW w:w="8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i w:val="1"/>
                <w:iCs w:val="1"/>
                <w:color w:val="auto"/>
              </w:rPr>
              <w:t>Proof of Execution by Holders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50</w:t>
            </w: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8.03.</w:t>
            </w: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Who Are Deemed Absolute Owners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51</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8.04.</w:t>
            </w:r>
          </w:p>
        </w:tc>
        <w:tc>
          <w:tcPr>
            <w:tcW w:w="8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i w:val="1"/>
                <w:iCs w:val="1"/>
                <w:color w:val="auto"/>
              </w:rPr>
              <w:t>Company-Owned Notes Disregarded</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51</w:t>
            </w: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8.05.</w:t>
            </w: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Revocation of Consents; Future Holders Bound</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51</w:t>
            </w:r>
          </w:p>
        </w:tc>
      </w:tr>
      <w:tr>
        <w:trPr>
          <w:trHeight w:val="175"/>
        </w:trPr>
        <w:tc>
          <w:tcPr>
            <w:tcW w:w="1200" w:type="dxa"/>
            <w:vAlign w:val="bottom"/>
            <w:shd w:val="clear" w:color="auto" w:fill="CCEEFF"/>
          </w:tcPr>
          <w:p>
            <w:pPr>
              <w:spacing w:after="0"/>
              <w:rPr>
                <w:sz w:val="15"/>
                <w:szCs w:val="15"/>
                <w:color w:val="auto"/>
              </w:rPr>
            </w:pPr>
          </w:p>
        </w:tc>
        <w:tc>
          <w:tcPr>
            <w:tcW w:w="88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7"/>
              </w:rPr>
              <w:t>ARTICLE 9</w:t>
            </w:r>
          </w:p>
        </w:tc>
        <w:tc>
          <w:tcPr>
            <w:tcW w:w="1240" w:type="dxa"/>
            <w:vAlign w:val="bottom"/>
            <w:shd w:val="clear" w:color="auto" w:fill="CCEEFF"/>
          </w:tcPr>
          <w:p>
            <w:pPr>
              <w:spacing w:after="0"/>
              <w:rPr>
                <w:sz w:val="15"/>
                <w:szCs w:val="15"/>
                <w:color w:val="auto"/>
              </w:rPr>
            </w:pPr>
          </w:p>
        </w:tc>
      </w:tr>
      <w:tr>
        <w:trPr>
          <w:trHeight w:val="208"/>
        </w:trPr>
        <w:tc>
          <w:tcPr>
            <w:tcW w:w="1200" w:type="dxa"/>
            <w:vAlign w:val="bottom"/>
            <w:shd w:val="clear" w:color="auto" w:fill="CCEEFF"/>
          </w:tcPr>
          <w:p>
            <w:pPr>
              <w:spacing w:after="0"/>
              <w:rPr>
                <w:sz w:val="18"/>
                <w:szCs w:val="18"/>
                <w:color w:val="auto"/>
              </w:rPr>
            </w:pPr>
          </w:p>
        </w:tc>
        <w:tc>
          <w:tcPr>
            <w:tcW w:w="8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H</w:t>
            </w:r>
            <w:r>
              <w:rPr>
                <w:rFonts w:ascii="Times New Roman" w:cs="Times New Roman" w:eastAsia="Times New Roman" w:hAnsi="Times New Roman"/>
                <w:sz w:val="10"/>
                <w:szCs w:val="10"/>
                <w:color w:val="auto"/>
              </w:rPr>
              <w:t>olders</w:t>
            </w:r>
            <w:r>
              <w:rPr>
                <w:rFonts w:ascii="Times New Roman" w:cs="Times New Roman" w:eastAsia="Times New Roman" w:hAnsi="Times New Roman"/>
                <w:sz w:val="16"/>
                <w:szCs w:val="16"/>
                <w:color w:val="auto"/>
              </w:rPr>
              <w:t>’ M</w:t>
            </w:r>
            <w:r>
              <w:rPr>
                <w:rFonts w:ascii="Times New Roman" w:cs="Times New Roman" w:eastAsia="Times New Roman" w:hAnsi="Times New Roman"/>
                <w:sz w:val="10"/>
                <w:szCs w:val="10"/>
                <w:color w:val="auto"/>
              </w:rPr>
              <w:t>eetings</w:t>
            </w:r>
          </w:p>
        </w:tc>
        <w:tc>
          <w:tcPr>
            <w:tcW w:w="1240" w:type="dxa"/>
            <w:vAlign w:val="bottom"/>
            <w:shd w:val="clear" w:color="auto" w:fill="CCEEFF"/>
          </w:tcPr>
          <w:p>
            <w:pPr>
              <w:spacing w:after="0"/>
              <w:rPr>
                <w:sz w:val="18"/>
                <w:szCs w:val="18"/>
                <w:color w:val="auto"/>
              </w:rPr>
            </w:pP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9.01.</w:t>
            </w: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Purpose of Meetings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51</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9.02.</w:t>
            </w:r>
          </w:p>
        </w:tc>
        <w:tc>
          <w:tcPr>
            <w:tcW w:w="8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i w:val="1"/>
                <w:iCs w:val="1"/>
                <w:color w:val="auto"/>
              </w:rPr>
              <w:t>Call of Meetings by Trustee</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52</w:t>
            </w: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9.03.</w:t>
            </w: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Call of Meetings by Company or Holders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52</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9.04.</w:t>
            </w:r>
          </w:p>
        </w:tc>
        <w:tc>
          <w:tcPr>
            <w:tcW w:w="8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i w:val="1"/>
                <w:iCs w:val="1"/>
                <w:color w:val="auto"/>
              </w:rPr>
              <w:t>Qualifications for Voting</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52</w:t>
            </w: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9.05.</w:t>
            </w: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Regulations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52</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9.06.</w:t>
            </w:r>
          </w:p>
        </w:tc>
        <w:tc>
          <w:tcPr>
            <w:tcW w:w="8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i w:val="1"/>
                <w:iCs w:val="1"/>
                <w:color w:val="auto"/>
              </w:rPr>
              <w:t>Voting</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53</w:t>
            </w: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9.07.</w:t>
            </w: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No Delay of Rights by Meeting</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53</w:t>
            </w:r>
          </w:p>
        </w:tc>
      </w:tr>
      <w:tr>
        <w:trPr>
          <w:trHeight w:val="175"/>
        </w:trPr>
        <w:tc>
          <w:tcPr>
            <w:tcW w:w="1200" w:type="dxa"/>
            <w:vAlign w:val="bottom"/>
            <w:shd w:val="clear" w:color="auto" w:fill="CCEEFF"/>
          </w:tcPr>
          <w:p>
            <w:pPr>
              <w:spacing w:after="0"/>
              <w:rPr>
                <w:sz w:val="15"/>
                <w:szCs w:val="15"/>
                <w:color w:val="auto"/>
              </w:rPr>
            </w:pPr>
          </w:p>
        </w:tc>
        <w:tc>
          <w:tcPr>
            <w:tcW w:w="88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8"/>
              </w:rPr>
              <w:t>ARTICLE 10</w:t>
            </w:r>
          </w:p>
        </w:tc>
        <w:tc>
          <w:tcPr>
            <w:tcW w:w="1240" w:type="dxa"/>
            <w:vAlign w:val="bottom"/>
            <w:shd w:val="clear" w:color="auto" w:fill="CCEEFF"/>
          </w:tcPr>
          <w:p>
            <w:pPr>
              <w:spacing w:after="0"/>
              <w:rPr>
                <w:sz w:val="15"/>
                <w:szCs w:val="15"/>
                <w:color w:val="auto"/>
              </w:rPr>
            </w:pPr>
          </w:p>
        </w:tc>
      </w:tr>
      <w:tr>
        <w:trPr>
          <w:trHeight w:val="208"/>
        </w:trPr>
        <w:tc>
          <w:tcPr>
            <w:tcW w:w="1200" w:type="dxa"/>
            <w:vAlign w:val="bottom"/>
            <w:shd w:val="clear" w:color="auto" w:fill="CCEEFF"/>
          </w:tcPr>
          <w:p>
            <w:pPr>
              <w:spacing w:after="0"/>
              <w:rPr>
                <w:sz w:val="18"/>
                <w:szCs w:val="18"/>
                <w:color w:val="auto"/>
              </w:rPr>
            </w:pPr>
          </w:p>
        </w:tc>
        <w:tc>
          <w:tcPr>
            <w:tcW w:w="8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0"/>
                <w:szCs w:val="10"/>
                <w:color w:val="auto"/>
              </w:rPr>
              <w:t>upplemental</w:t>
            </w:r>
            <w:r>
              <w:rPr>
                <w:rFonts w:ascii="Times New Roman" w:cs="Times New Roman" w:eastAsia="Times New Roman" w:hAnsi="Times New Roman"/>
                <w:sz w:val="16"/>
                <w:szCs w:val="16"/>
                <w:color w:val="auto"/>
              </w:rPr>
              <w:t xml:space="preserve"> I</w:t>
            </w:r>
            <w:r>
              <w:rPr>
                <w:rFonts w:ascii="Times New Roman" w:cs="Times New Roman" w:eastAsia="Times New Roman" w:hAnsi="Times New Roman"/>
                <w:sz w:val="10"/>
                <w:szCs w:val="10"/>
                <w:color w:val="auto"/>
              </w:rPr>
              <w:t>ndentures</w:t>
            </w:r>
          </w:p>
        </w:tc>
        <w:tc>
          <w:tcPr>
            <w:tcW w:w="1240" w:type="dxa"/>
            <w:vAlign w:val="bottom"/>
            <w:shd w:val="clear" w:color="auto" w:fill="CCEEFF"/>
          </w:tcPr>
          <w:p>
            <w:pPr>
              <w:spacing w:after="0"/>
              <w:rPr>
                <w:sz w:val="18"/>
                <w:szCs w:val="18"/>
                <w:color w:val="auto"/>
              </w:rPr>
            </w:pP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10.01.</w:t>
            </w: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Supplemental Indentures Without Consent of Holders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53</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10.02.</w:t>
            </w:r>
          </w:p>
        </w:tc>
        <w:tc>
          <w:tcPr>
            <w:tcW w:w="8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i w:val="1"/>
                <w:iCs w:val="1"/>
                <w:color w:val="auto"/>
              </w:rPr>
              <w:t>Supplemental Indentures with Consent of Holders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54</w:t>
            </w: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10.03.</w:t>
            </w: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Effect of Supplemental Indentures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55</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10.04.</w:t>
            </w:r>
          </w:p>
        </w:tc>
        <w:tc>
          <w:tcPr>
            <w:tcW w:w="8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i w:val="1"/>
                <w:iCs w:val="1"/>
                <w:color w:val="auto"/>
              </w:rPr>
              <w:t>Notation on Notes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55</w:t>
            </w: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10.05.</w:t>
            </w: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Evidence of Compliance of Supplemental Indenture to Be Furnished Trustee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55</w:t>
            </w:r>
          </w:p>
        </w:tc>
      </w:tr>
      <w:tr>
        <w:trPr>
          <w:trHeight w:val="175"/>
        </w:trPr>
        <w:tc>
          <w:tcPr>
            <w:tcW w:w="1200" w:type="dxa"/>
            <w:vAlign w:val="bottom"/>
            <w:shd w:val="clear" w:color="auto" w:fill="CCEEFF"/>
          </w:tcPr>
          <w:p>
            <w:pPr>
              <w:spacing w:after="0"/>
              <w:rPr>
                <w:sz w:val="15"/>
                <w:szCs w:val="15"/>
                <w:color w:val="auto"/>
              </w:rPr>
            </w:pPr>
          </w:p>
        </w:tc>
        <w:tc>
          <w:tcPr>
            <w:tcW w:w="88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8"/>
              </w:rPr>
              <w:t>ARTICLE 11</w:t>
            </w:r>
          </w:p>
        </w:tc>
        <w:tc>
          <w:tcPr>
            <w:tcW w:w="1240" w:type="dxa"/>
            <w:vAlign w:val="bottom"/>
            <w:shd w:val="clear" w:color="auto" w:fill="CCEEFF"/>
          </w:tcPr>
          <w:p>
            <w:pPr>
              <w:spacing w:after="0"/>
              <w:rPr>
                <w:sz w:val="15"/>
                <w:szCs w:val="15"/>
                <w:color w:val="auto"/>
              </w:rPr>
            </w:pPr>
          </w:p>
        </w:tc>
      </w:tr>
      <w:tr>
        <w:trPr>
          <w:trHeight w:val="208"/>
        </w:trPr>
        <w:tc>
          <w:tcPr>
            <w:tcW w:w="1200" w:type="dxa"/>
            <w:vAlign w:val="bottom"/>
            <w:shd w:val="clear" w:color="auto" w:fill="CCEEFF"/>
          </w:tcPr>
          <w:p>
            <w:pPr>
              <w:spacing w:after="0"/>
              <w:rPr>
                <w:sz w:val="18"/>
                <w:szCs w:val="18"/>
                <w:color w:val="auto"/>
              </w:rPr>
            </w:pPr>
          </w:p>
        </w:tc>
        <w:tc>
          <w:tcPr>
            <w:tcW w:w="8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C</w:t>
            </w:r>
            <w:r>
              <w:rPr>
                <w:rFonts w:ascii="Times New Roman" w:cs="Times New Roman" w:eastAsia="Times New Roman" w:hAnsi="Times New Roman"/>
                <w:sz w:val="10"/>
                <w:szCs w:val="10"/>
                <w:color w:val="auto"/>
              </w:rPr>
              <w:t>onsolidation</w:t>
            </w:r>
            <w:r>
              <w:rPr>
                <w:rFonts w:ascii="Times New Roman" w:cs="Times New Roman" w:eastAsia="Times New Roman" w:hAnsi="Times New Roman"/>
                <w:sz w:val="16"/>
                <w:szCs w:val="16"/>
                <w:color w:val="auto"/>
              </w:rPr>
              <w:t>, M</w:t>
            </w:r>
            <w:r>
              <w:rPr>
                <w:rFonts w:ascii="Times New Roman" w:cs="Times New Roman" w:eastAsia="Times New Roman" w:hAnsi="Times New Roman"/>
                <w:sz w:val="10"/>
                <w:szCs w:val="10"/>
                <w:color w:val="auto"/>
              </w:rPr>
              <w:t>erger</w:t>
            </w:r>
            <w:r>
              <w:rPr>
                <w:rFonts w:ascii="Times New Roman" w:cs="Times New Roman" w:eastAsia="Times New Roman" w:hAnsi="Times New Roman"/>
                <w:sz w:val="16"/>
                <w:szCs w:val="16"/>
                <w:color w:val="auto"/>
              </w:rPr>
              <w:t>, S</w:t>
            </w:r>
            <w:r>
              <w:rPr>
                <w:rFonts w:ascii="Times New Roman" w:cs="Times New Roman" w:eastAsia="Times New Roman" w:hAnsi="Times New Roman"/>
                <w:sz w:val="10"/>
                <w:szCs w:val="10"/>
                <w:color w:val="auto"/>
              </w:rPr>
              <w:t>ale</w:t>
            </w:r>
            <w:r>
              <w:rPr>
                <w:rFonts w:ascii="Times New Roman" w:cs="Times New Roman" w:eastAsia="Times New Roman" w:hAnsi="Times New Roman"/>
                <w:sz w:val="16"/>
                <w:szCs w:val="16"/>
                <w:color w:val="auto"/>
              </w:rPr>
              <w:t>, C</w:t>
            </w:r>
            <w:r>
              <w:rPr>
                <w:rFonts w:ascii="Times New Roman" w:cs="Times New Roman" w:eastAsia="Times New Roman" w:hAnsi="Times New Roman"/>
                <w:sz w:val="10"/>
                <w:szCs w:val="10"/>
                <w:color w:val="auto"/>
              </w:rPr>
              <w:t>onveyance and</w:t>
            </w:r>
            <w:r>
              <w:rPr>
                <w:rFonts w:ascii="Times New Roman" w:cs="Times New Roman" w:eastAsia="Times New Roman" w:hAnsi="Times New Roman"/>
                <w:sz w:val="16"/>
                <w:szCs w:val="16"/>
                <w:color w:val="auto"/>
              </w:rPr>
              <w:t xml:space="preserve"> L</w:t>
            </w:r>
            <w:r>
              <w:rPr>
                <w:rFonts w:ascii="Times New Roman" w:cs="Times New Roman" w:eastAsia="Times New Roman" w:hAnsi="Times New Roman"/>
                <w:sz w:val="10"/>
                <w:szCs w:val="10"/>
                <w:color w:val="auto"/>
              </w:rPr>
              <w:t>ease</w:t>
            </w:r>
          </w:p>
        </w:tc>
        <w:tc>
          <w:tcPr>
            <w:tcW w:w="1240" w:type="dxa"/>
            <w:vAlign w:val="bottom"/>
            <w:shd w:val="clear" w:color="auto" w:fill="CCEEFF"/>
          </w:tcPr>
          <w:p>
            <w:pPr>
              <w:spacing w:after="0"/>
              <w:rPr>
                <w:sz w:val="18"/>
                <w:szCs w:val="18"/>
                <w:color w:val="auto"/>
              </w:rPr>
            </w:pP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11.01.</w:t>
            </w: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Company May Consolidate, Etc. on Certain Terms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55</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11.02.</w:t>
            </w:r>
          </w:p>
        </w:tc>
        <w:tc>
          <w:tcPr>
            <w:tcW w:w="8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i w:val="1"/>
                <w:iCs w:val="1"/>
                <w:color w:val="auto"/>
              </w:rPr>
              <w:t>Successor Corporation to Be Substituted</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56</w:t>
            </w:r>
          </w:p>
        </w:tc>
      </w:tr>
    </w:tbl>
    <w:p>
      <w:pPr>
        <w:spacing w:after="0" w:line="3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50" w:right="31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14"/>
        </w:trPr>
        <w:tc>
          <w:tcPr>
            <w:tcW w:w="1200" w:type="dxa"/>
            <w:vAlign w:val="bottom"/>
            <w:tcBorders>
              <w:bottom w:val="single" w:sz="8" w:color="CCEEFF"/>
            </w:tcBorders>
          </w:tcPr>
          <w:p>
            <w:pPr>
              <w:spacing w:after="0"/>
              <w:rPr>
                <w:sz w:val="18"/>
                <w:szCs w:val="18"/>
                <w:color w:val="auto"/>
              </w:rPr>
            </w:pPr>
          </w:p>
        </w:tc>
        <w:tc>
          <w:tcPr>
            <w:tcW w:w="88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Page No</w:t>
            </w:r>
          </w:p>
        </w:tc>
      </w:tr>
      <w:tr>
        <w:trPr>
          <w:trHeight w:val="163"/>
        </w:trPr>
        <w:tc>
          <w:tcPr>
            <w:tcW w:w="1200" w:type="dxa"/>
            <w:vAlign w:val="bottom"/>
            <w:shd w:val="clear" w:color="auto" w:fill="CCEEFF"/>
          </w:tcPr>
          <w:p>
            <w:pPr>
              <w:spacing w:after="0"/>
              <w:rPr>
                <w:sz w:val="14"/>
                <w:szCs w:val="14"/>
                <w:color w:val="auto"/>
              </w:rPr>
            </w:pPr>
          </w:p>
        </w:tc>
        <w:tc>
          <w:tcPr>
            <w:tcW w:w="8820" w:type="dxa"/>
            <w:vAlign w:val="bottom"/>
            <w:shd w:val="clear" w:color="auto" w:fill="CCEEFF"/>
          </w:tcPr>
          <w:p>
            <w:pPr>
              <w:jc w:val="center"/>
              <w:spacing w:after="0" w:line="163" w:lineRule="exact"/>
              <w:rPr>
                <w:sz w:val="20"/>
                <w:szCs w:val="20"/>
                <w:color w:val="auto"/>
              </w:rPr>
            </w:pPr>
            <w:r>
              <w:rPr>
                <w:rFonts w:ascii="Times New Roman" w:cs="Times New Roman" w:eastAsia="Times New Roman" w:hAnsi="Times New Roman"/>
                <w:sz w:val="16"/>
                <w:szCs w:val="16"/>
                <w:color w:val="auto"/>
                <w:w w:val="98"/>
              </w:rPr>
              <w:t>ARTICLE 12</w:t>
            </w:r>
          </w:p>
        </w:tc>
        <w:tc>
          <w:tcPr>
            <w:tcW w:w="1240" w:type="dxa"/>
            <w:vAlign w:val="bottom"/>
            <w:shd w:val="clear" w:color="auto" w:fill="CCEEFF"/>
          </w:tcPr>
          <w:p>
            <w:pPr>
              <w:spacing w:after="0"/>
              <w:rPr>
                <w:sz w:val="14"/>
                <w:szCs w:val="14"/>
                <w:color w:val="auto"/>
              </w:rPr>
            </w:pPr>
          </w:p>
        </w:tc>
      </w:tr>
      <w:tr>
        <w:trPr>
          <w:trHeight w:val="208"/>
        </w:trPr>
        <w:tc>
          <w:tcPr>
            <w:tcW w:w="1200" w:type="dxa"/>
            <w:vAlign w:val="bottom"/>
            <w:shd w:val="clear" w:color="auto" w:fill="CCEEFF"/>
          </w:tcPr>
          <w:p>
            <w:pPr>
              <w:spacing w:after="0"/>
              <w:rPr>
                <w:sz w:val="18"/>
                <w:szCs w:val="18"/>
                <w:color w:val="auto"/>
              </w:rPr>
            </w:pPr>
          </w:p>
        </w:tc>
        <w:tc>
          <w:tcPr>
            <w:tcW w:w="8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I</w:t>
            </w:r>
            <w:r>
              <w:rPr>
                <w:rFonts w:ascii="Times New Roman" w:cs="Times New Roman" w:eastAsia="Times New Roman" w:hAnsi="Times New Roman"/>
                <w:sz w:val="10"/>
                <w:szCs w:val="10"/>
                <w:color w:val="auto"/>
              </w:rPr>
              <w:t>mmunity of</w:t>
            </w:r>
            <w:r>
              <w:rPr>
                <w:rFonts w:ascii="Times New Roman" w:cs="Times New Roman" w:eastAsia="Times New Roman" w:hAnsi="Times New Roman"/>
                <w:sz w:val="16"/>
                <w:szCs w:val="16"/>
                <w:color w:val="auto"/>
              </w:rPr>
              <w:t xml:space="preserve"> I</w:t>
            </w:r>
            <w:r>
              <w:rPr>
                <w:rFonts w:ascii="Times New Roman" w:cs="Times New Roman" w:eastAsia="Times New Roman" w:hAnsi="Times New Roman"/>
                <w:sz w:val="10"/>
                <w:szCs w:val="10"/>
                <w:color w:val="auto"/>
              </w:rPr>
              <w:t>ncorporators</w:t>
            </w:r>
            <w:r>
              <w:rPr>
                <w:rFonts w:ascii="Times New Roman" w:cs="Times New Roman" w:eastAsia="Times New Roman" w:hAnsi="Times New Roman"/>
                <w:sz w:val="16"/>
                <w:szCs w:val="16"/>
                <w:color w:val="auto"/>
              </w:rPr>
              <w:t>, S</w:t>
            </w:r>
            <w:r>
              <w:rPr>
                <w:rFonts w:ascii="Times New Roman" w:cs="Times New Roman" w:eastAsia="Times New Roman" w:hAnsi="Times New Roman"/>
                <w:sz w:val="10"/>
                <w:szCs w:val="10"/>
                <w:color w:val="auto"/>
              </w:rPr>
              <w:t>tockholders</w:t>
            </w:r>
            <w:r>
              <w:rPr>
                <w:rFonts w:ascii="Times New Roman" w:cs="Times New Roman" w:eastAsia="Times New Roman" w:hAnsi="Times New Roman"/>
                <w:sz w:val="16"/>
                <w:szCs w:val="16"/>
                <w:color w:val="auto"/>
              </w:rPr>
              <w:t>, O</w:t>
            </w:r>
            <w:r>
              <w:rPr>
                <w:rFonts w:ascii="Times New Roman" w:cs="Times New Roman" w:eastAsia="Times New Roman" w:hAnsi="Times New Roman"/>
                <w:sz w:val="10"/>
                <w:szCs w:val="10"/>
                <w:color w:val="auto"/>
              </w:rPr>
              <w:t>fficers and</w:t>
            </w:r>
            <w:r>
              <w:rPr>
                <w:rFonts w:ascii="Times New Roman" w:cs="Times New Roman" w:eastAsia="Times New Roman" w:hAnsi="Times New Roman"/>
                <w:sz w:val="16"/>
                <w:szCs w:val="16"/>
                <w:color w:val="auto"/>
              </w:rPr>
              <w:t xml:space="preserve"> D</w:t>
            </w:r>
            <w:r>
              <w:rPr>
                <w:rFonts w:ascii="Times New Roman" w:cs="Times New Roman" w:eastAsia="Times New Roman" w:hAnsi="Times New Roman"/>
                <w:sz w:val="10"/>
                <w:szCs w:val="10"/>
                <w:color w:val="auto"/>
              </w:rPr>
              <w:t>irectors</w:t>
            </w:r>
          </w:p>
        </w:tc>
        <w:tc>
          <w:tcPr>
            <w:tcW w:w="1240" w:type="dxa"/>
            <w:vAlign w:val="bottom"/>
            <w:shd w:val="clear" w:color="auto" w:fill="CCEEFF"/>
          </w:tcPr>
          <w:p>
            <w:pPr>
              <w:spacing w:after="0"/>
              <w:rPr>
                <w:sz w:val="18"/>
                <w:szCs w:val="18"/>
                <w:color w:val="auto"/>
              </w:rPr>
            </w:pP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12.01.</w:t>
            </w: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Indenture and Notes Solely Corporate Obligations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56</w:t>
            </w:r>
          </w:p>
        </w:tc>
      </w:tr>
      <w:tr>
        <w:trPr>
          <w:trHeight w:val="175"/>
        </w:trPr>
        <w:tc>
          <w:tcPr>
            <w:tcW w:w="1200" w:type="dxa"/>
            <w:vAlign w:val="bottom"/>
            <w:shd w:val="clear" w:color="auto" w:fill="CCEEFF"/>
          </w:tcPr>
          <w:p>
            <w:pPr>
              <w:spacing w:after="0"/>
              <w:rPr>
                <w:sz w:val="15"/>
                <w:szCs w:val="15"/>
                <w:color w:val="auto"/>
              </w:rPr>
            </w:pPr>
          </w:p>
        </w:tc>
        <w:tc>
          <w:tcPr>
            <w:tcW w:w="88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8"/>
              </w:rPr>
              <w:t>ARTICLE 13</w:t>
            </w:r>
          </w:p>
        </w:tc>
        <w:tc>
          <w:tcPr>
            <w:tcW w:w="1240" w:type="dxa"/>
            <w:vAlign w:val="bottom"/>
            <w:shd w:val="clear" w:color="auto" w:fill="CCEEFF"/>
          </w:tcPr>
          <w:p>
            <w:pPr>
              <w:spacing w:after="0"/>
              <w:rPr>
                <w:sz w:val="15"/>
                <w:szCs w:val="15"/>
                <w:color w:val="auto"/>
              </w:rPr>
            </w:pPr>
          </w:p>
        </w:tc>
      </w:tr>
      <w:tr>
        <w:trPr>
          <w:trHeight w:val="208"/>
        </w:trPr>
        <w:tc>
          <w:tcPr>
            <w:tcW w:w="1200" w:type="dxa"/>
            <w:vAlign w:val="bottom"/>
            <w:shd w:val="clear" w:color="auto" w:fill="CCEEFF"/>
          </w:tcPr>
          <w:p>
            <w:pPr>
              <w:spacing w:after="0"/>
              <w:rPr>
                <w:sz w:val="18"/>
                <w:szCs w:val="18"/>
                <w:color w:val="auto"/>
              </w:rPr>
            </w:pPr>
          </w:p>
        </w:tc>
        <w:tc>
          <w:tcPr>
            <w:tcW w:w="8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[R</w:t>
            </w:r>
            <w:r>
              <w:rPr>
                <w:rFonts w:ascii="Times New Roman" w:cs="Times New Roman" w:eastAsia="Times New Roman" w:hAnsi="Times New Roman"/>
                <w:sz w:val="10"/>
                <w:szCs w:val="10"/>
                <w:color w:val="auto"/>
              </w:rPr>
              <w:t>eserved</w:t>
            </w:r>
            <w:r>
              <w:rPr>
                <w:rFonts w:ascii="Times New Roman" w:cs="Times New Roman" w:eastAsia="Times New Roman" w:hAnsi="Times New Roman"/>
                <w:sz w:val="16"/>
                <w:szCs w:val="16"/>
                <w:color w:val="auto"/>
              </w:rPr>
              <w:t>]</w:t>
            </w:r>
          </w:p>
        </w:tc>
        <w:tc>
          <w:tcPr>
            <w:tcW w:w="1240" w:type="dxa"/>
            <w:vAlign w:val="bottom"/>
            <w:shd w:val="clear" w:color="auto" w:fill="CCEEFF"/>
          </w:tcPr>
          <w:p>
            <w:pPr>
              <w:spacing w:after="0"/>
              <w:rPr>
                <w:sz w:val="18"/>
                <w:szCs w:val="18"/>
                <w:color w:val="auto"/>
              </w:rPr>
            </w:pPr>
          </w:p>
        </w:tc>
      </w:tr>
      <w:tr>
        <w:trPr>
          <w:trHeight w:val="175"/>
        </w:trPr>
        <w:tc>
          <w:tcPr>
            <w:tcW w:w="1200" w:type="dxa"/>
            <w:vAlign w:val="bottom"/>
          </w:tcPr>
          <w:p>
            <w:pPr>
              <w:spacing w:after="0"/>
              <w:rPr>
                <w:sz w:val="15"/>
                <w:szCs w:val="15"/>
                <w:color w:val="auto"/>
              </w:rPr>
            </w:pPr>
          </w:p>
        </w:tc>
        <w:tc>
          <w:tcPr>
            <w:tcW w:w="882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8"/>
              </w:rPr>
              <w:t>ARTICLE 14</w:t>
            </w:r>
          </w:p>
        </w:tc>
        <w:tc>
          <w:tcPr>
            <w:tcW w:w="1240" w:type="dxa"/>
            <w:vAlign w:val="bottom"/>
          </w:tcPr>
          <w:p>
            <w:pPr>
              <w:spacing w:after="0"/>
              <w:rPr>
                <w:sz w:val="15"/>
                <w:szCs w:val="15"/>
                <w:color w:val="auto"/>
              </w:rPr>
            </w:pPr>
          </w:p>
        </w:tc>
      </w:tr>
      <w:tr>
        <w:trPr>
          <w:trHeight w:val="208"/>
        </w:trPr>
        <w:tc>
          <w:tcPr>
            <w:tcW w:w="1200" w:type="dxa"/>
            <w:vAlign w:val="bottom"/>
          </w:tcPr>
          <w:p>
            <w:pPr>
              <w:spacing w:after="0"/>
              <w:rPr>
                <w:sz w:val="18"/>
                <w:szCs w:val="18"/>
                <w:color w:val="auto"/>
              </w:rPr>
            </w:pPr>
          </w:p>
        </w:tc>
        <w:tc>
          <w:tcPr>
            <w:tcW w:w="8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w:t>
            </w:r>
            <w:r>
              <w:rPr>
                <w:rFonts w:ascii="Times New Roman" w:cs="Times New Roman" w:eastAsia="Times New Roman" w:hAnsi="Times New Roman"/>
                <w:sz w:val="10"/>
                <w:szCs w:val="10"/>
                <w:color w:val="auto"/>
              </w:rPr>
              <w:t>onversion of</w:t>
            </w:r>
            <w:r>
              <w:rPr>
                <w:rFonts w:ascii="Times New Roman" w:cs="Times New Roman" w:eastAsia="Times New Roman" w:hAnsi="Times New Roman"/>
                <w:sz w:val="16"/>
                <w:szCs w:val="16"/>
                <w:color w:val="auto"/>
              </w:rPr>
              <w:t xml:space="preserve"> N</w:t>
            </w:r>
            <w:r>
              <w:rPr>
                <w:rFonts w:ascii="Times New Roman" w:cs="Times New Roman" w:eastAsia="Times New Roman" w:hAnsi="Times New Roman"/>
                <w:sz w:val="10"/>
                <w:szCs w:val="10"/>
                <w:color w:val="auto"/>
              </w:rPr>
              <w:t>otes</w:t>
            </w:r>
          </w:p>
        </w:tc>
        <w:tc>
          <w:tcPr>
            <w:tcW w:w="1240" w:type="dxa"/>
            <w:vAlign w:val="bottom"/>
          </w:tcPr>
          <w:p>
            <w:pPr>
              <w:spacing w:after="0"/>
              <w:rPr>
                <w:sz w:val="18"/>
                <w:szCs w:val="18"/>
                <w:color w:val="auto"/>
              </w:rPr>
            </w:pP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14.01.</w:t>
            </w:r>
          </w:p>
        </w:tc>
        <w:tc>
          <w:tcPr>
            <w:tcW w:w="8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i w:val="1"/>
                <w:iCs w:val="1"/>
                <w:color w:val="auto"/>
              </w:rPr>
              <w:t>Conversion Privilege</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56</w:t>
            </w: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14.02.</w:t>
            </w: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Conversion Procedure; Settlement Upon Conversion</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57</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14.03.</w:t>
            </w:r>
          </w:p>
        </w:tc>
        <w:tc>
          <w:tcPr>
            <w:tcW w:w="8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i w:val="1"/>
                <w:iCs w:val="1"/>
                <w:color w:val="auto"/>
              </w:rPr>
              <w:t>Company’s Mandatory Conversion Option</w:t>
            </w:r>
            <w:r>
              <w:rPr>
                <w:rFonts w:ascii="Times New Roman" w:cs="Times New Roman" w:eastAsia="Times New Roman" w:hAnsi="Times New Roman"/>
                <w:sz w:val="16"/>
                <w:szCs w:val="16"/>
                <w:color w:val="auto"/>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60</w:t>
            </w:r>
          </w:p>
        </w:tc>
      </w:tr>
      <w:tr>
        <w:trPr>
          <w:trHeight w:val="173"/>
        </w:trPr>
        <w:tc>
          <w:tcPr>
            <w:tcW w:w="1200" w:type="dxa"/>
            <w:vAlign w:val="bottom"/>
          </w:tcPr>
          <w:p>
            <w:pPr>
              <w:spacing w:after="0" w:line="173" w:lineRule="exact"/>
              <w:rPr>
                <w:sz w:val="20"/>
                <w:szCs w:val="20"/>
                <w:color w:val="auto"/>
              </w:rPr>
            </w:pPr>
            <w:r>
              <w:rPr>
                <w:rFonts w:ascii="Times New Roman" w:cs="Times New Roman" w:eastAsia="Times New Roman" w:hAnsi="Times New Roman"/>
                <w:sz w:val="16"/>
                <w:szCs w:val="16"/>
                <w:color w:val="auto"/>
              </w:rPr>
              <w:t>Section 14.04.</w:t>
            </w:r>
          </w:p>
        </w:tc>
        <w:tc>
          <w:tcPr>
            <w:tcW w:w="8820" w:type="dxa"/>
            <w:vAlign w:val="bottom"/>
          </w:tcPr>
          <w:p>
            <w:pPr>
              <w:ind w:left="280"/>
              <w:spacing w:after="0" w:line="173" w:lineRule="exact"/>
              <w:rPr>
                <w:sz w:val="20"/>
                <w:szCs w:val="20"/>
                <w:color w:val="auto"/>
              </w:rPr>
            </w:pPr>
            <w:r>
              <w:rPr>
                <w:rFonts w:ascii="Times New Roman" w:cs="Times New Roman" w:eastAsia="Times New Roman" w:hAnsi="Times New Roman"/>
                <w:sz w:val="16"/>
                <w:szCs w:val="16"/>
                <w:i w:val="1"/>
                <w:iCs w:val="1"/>
                <w:color w:val="auto"/>
              </w:rPr>
              <w:t>Increased Conversion Rate Applicable to Certain Notes Surrendered in Connection with Make-Whole Fundamental Changes or</w:t>
            </w:r>
          </w:p>
        </w:tc>
        <w:tc>
          <w:tcPr>
            <w:tcW w:w="1240" w:type="dxa"/>
            <w:vAlign w:val="bottom"/>
          </w:tcPr>
          <w:p>
            <w:pPr>
              <w:spacing w:after="0"/>
              <w:rPr>
                <w:sz w:val="15"/>
                <w:szCs w:val="15"/>
                <w:color w:val="auto"/>
              </w:rPr>
            </w:pPr>
          </w:p>
        </w:tc>
      </w:tr>
      <w:tr>
        <w:trPr>
          <w:trHeight w:val="210"/>
        </w:trPr>
        <w:tc>
          <w:tcPr>
            <w:tcW w:w="1200" w:type="dxa"/>
            <w:vAlign w:val="bottom"/>
          </w:tcPr>
          <w:p>
            <w:pPr>
              <w:spacing w:after="0"/>
              <w:rPr>
                <w:sz w:val="18"/>
                <w:szCs w:val="18"/>
                <w:color w:val="auto"/>
              </w:rPr>
            </w:pP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during a Redemption Period</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61</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14.05.</w:t>
            </w:r>
          </w:p>
        </w:tc>
        <w:tc>
          <w:tcPr>
            <w:tcW w:w="8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i w:val="1"/>
                <w:iCs w:val="1"/>
                <w:color w:val="auto"/>
              </w:rPr>
              <w:t>Adjustment of Conversion Rate</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63</w:t>
            </w: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14.06.</w:t>
            </w: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Adjustments of Prices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70</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14.07.</w:t>
            </w:r>
          </w:p>
        </w:tc>
        <w:tc>
          <w:tcPr>
            <w:tcW w:w="8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i w:val="1"/>
                <w:iCs w:val="1"/>
                <w:color w:val="auto"/>
              </w:rPr>
              <w:t>Shares to Be Fully Paid</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70</w:t>
            </w: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14.08.</w:t>
            </w: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Effect of Recapitalizations, Reclassifications and Changes of the Common Stock</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70</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14.09.</w:t>
            </w:r>
          </w:p>
        </w:tc>
        <w:tc>
          <w:tcPr>
            <w:tcW w:w="8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i w:val="1"/>
                <w:iCs w:val="1"/>
                <w:color w:val="auto"/>
              </w:rPr>
              <w:t>Certain Covenants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71</w:t>
            </w: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14.10.</w:t>
            </w: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Responsibility of Trustee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72</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14.11.</w:t>
            </w:r>
          </w:p>
        </w:tc>
        <w:tc>
          <w:tcPr>
            <w:tcW w:w="8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i w:val="1"/>
                <w:iCs w:val="1"/>
                <w:color w:val="auto"/>
              </w:rPr>
              <w:t>Notice to Holders Prior to Certain Actions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72</w:t>
            </w: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14.12.</w:t>
            </w: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Stockholder Rights Plans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72</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14.13.</w:t>
            </w:r>
          </w:p>
        </w:tc>
        <w:tc>
          <w:tcPr>
            <w:tcW w:w="8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i w:val="1"/>
                <w:iCs w:val="1"/>
                <w:color w:val="auto"/>
              </w:rPr>
              <w:t>Exchange in Lieu of Conversion</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73</w:t>
            </w:r>
          </w:p>
        </w:tc>
      </w:tr>
      <w:tr>
        <w:trPr>
          <w:trHeight w:val="175"/>
        </w:trPr>
        <w:tc>
          <w:tcPr>
            <w:tcW w:w="1200" w:type="dxa"/>
            <w:vAlign w:val="bottom"/>
          </w:tcPr>
          <w:p>
            <w:pPr>
              <w:spacing w:after="0"/>
              <w:rPr>
                <w:sz w:val="15"/>
                <w:szCs w:val="15"/>
                <w:color w:val="auto"/>
              </w:rPr>
            </w:pPr>
          </w:p>
        </w:tc>
        <w:tc>
          <w:tcPr>
            <w:tcW w:w="882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8"/>
              </w:rPr>
              <w:t>ARTICLE 15</w:t>
            </w:r>
          </w:p>
        </w:tc>
        <w:tc>
          <w:tcPr>
            <w:tcW w:w="1240" w:type="dxa"/>
            <w:vAlign w:val="bottom"/>
          </w:tcPr>
          <w:p>
            <w:pPr>
              <w:spacing w:after="0"/>
              <w:rPr>
                <w:sz w:val="15"/>
                <w:szCs w:val="15"/>
                <w:color w:val="auto"/>
              </w:rPr>
            </w:pPr>
          </w:p>
        </w:tc>
      </w:tr>
      <w:tr>
        <w:trPr>
          <w:trHeight w:val="208"/>
        </w:trPr>
        <w:tc>
          <w:tcPr>
            <w:tcW w:w="1200" w:type="dxa"/>
            <w:vAlign w:val="bottom"/>
          </w:tcPr>
          <w:p>
            <w:pPr>
              <w:spacing w:after="0"/>
              <w:rPr>
                <w:sz w:val="18"/>
                <w:szCs w:val="18"/>
                <w:color w:val="auto"/>
              </w:rPr>
            </w:pPr>
          </w:p>
        </w:tc>
        <w:tc>
          <w:tcPr>
            <w:tcW w:w="8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w:t>
            </w:r>
            <w:r>
              <w:rPr>
                <w:rFonts w:ascii="Times New Roman" w:cs="Times New Roman" w:eastAsia="Times New Roman" w:hAnsi="Times New Roman"/>
                <w:sz w:val="10"/>
                <w:szCs w:val="10"/>
                <w:color w:val="auto"/>
              </w:rPr>
              <w:t>epurchase of</w:t>
            </w:r>
            <w:r>
              <w:rPr>
                <w:rFonts w:ascii="Times New Roman" w:cs="Times New Roman" w:eastAsia="Times New Roman" w:hAnsi="Times New Roman"/>
                <w:sz w:val="16"/>
                <w:szCs w:val="16"/>
                <w:color w:val="auto"/>
              </w:rPr>
              <w:t xml:space="preserve"> N</w:t>
            </w:r>
            <w:r>
              <w:rPr>
                <w:rFonts w:ascii="Times New Roman" w:cs="Times New Roman" w:eastAsia="Times New Roman" w:hAnsi="Times New Roman"/>
                <w:sz w:val="10"/>
                <w:szCs w:val="10"/>
                <w:color w:val="auto"/>
              </w:rPr>
              <w:t>otes at</w:t>
            </w:r>
            <w:r>
              <w:rPr>
                <w:rFonts w:ascii="Times New Roman" w:cs="Times New Roman" w:eastAsia="Times New Roman" w:hAnsi="Times New Roman"/>
                <w:sz w:val="16"/>
                <w:szCs w:val="16"/>
                <w:color w:val="auto"/>
              </w:rPr>
              <w:t xml:space="preserve"> O</w:t>
            </w:r>
            <w:r>
              <w:rPr>
                <w:rFonts w:ascii="Times New Roman" w:cs="Times New Roman" w:eastAsia="Times New Roman" w:hAnsi="Times New Roman"/>
                <w:sz w:val="10"/>
                <w:szCs w:val="10"/>
                <w:color w:val="auto"/>
              </w:rPr>
              <w:t>ption of</w:t>
            </w:r>
            <w:r>
              <w:rPr>
                <w:rFonts w:ascii="Times New Roman" w:cs="Times New Roman" w:eastAsia="Times New Roman" w:hAnsi="Times New Roman"/>
                <w:sz w:val="16"/>
                <w:szCs w:val="16"/>
                <w:color w:val="auto"/>
              </w:rPr>
              <w:t xml:space="preserve"> H</w:t>
            </w:r>
            <w:r>
              <w:rPr>
                <w:rFonts w:ascii="Times New Roman" w:cs="Times New Roman" w:eastAsia="Times New Roman" w:hAnsi="Times New Roman"/>
                <w:sz w:val="10"/>
                <w:szCs w:val="10"/>
                <w:color w:val="auto"/>
              </w:rPr>
              <w:t>olders</w:t>
            </w:r>
          </w:p>
        </w:tc>
        <w:tc>
          <w:tcPr>
            <w:tcW w:w="1240" w:type="dxa"/>
            <w:vAlign w:val="bottom"/>
          </w:tcPr>
          <w:p>
            <w:pPr>
              <w:spacing w:after="0"/>
              <w:rPr>
                <w:sz w:val="18"/>
                <w:szCs w:val="18"/>
                <w:color w:val="auto"/>
              </w:rPr>
            </w:pP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15.01.</w:t>
            </w:r>
          </w:p>
        </w:tc>
        <w:tc>
          <w:tcPr>
            <w:tcW w:w="8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i w:val="1"/>
                <w:iCs w:val="1"/>
                <w:color w:val="auto"/>
              </w:rPr>
              <w:t>[Intentionally Omitted]</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73</w:t>
            </w: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15.02.</w:t>
            </w: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Repurchase at Option of Holders Upon a Fundamental Change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73</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15.03.</w:t>
            </w:r>
          </w:p>
        </w:tc>
        <w:tc>
          <w:tcPr>
            <w:tcW w:w="8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i w:val="1"/>
                <w:iCs w:val="1"/>
                <w:color w:val="auto"/>
              </w:rPr>
              <w:t>Withdrawal of Fundamental Change Repurchase Notice</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75</w:t>
            </w: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15.04.</w:t>
            </w: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Deposit of Fundamental Change Repurchase Price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75</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15.05.</w:t>
            </w:r>
          </w:p>
        </w:tc>
        <w:tc>
          <w:tcPr>
            <w:tcW w:w="8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i w:val="1"/>
                <w:iCs w:val="1"/>
                <w:color w:val="auto"/>
              </w:rPr>
              <w:t>Covenant to Comply with Applicable Laws Upon Repurchase of Notes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76</w:t>
            </w:r>
          </w:p>
        </w:tc>
      </w:tr>
      <w:tr>
        <w:trPr>
          <w:trHeight w:val="175"/>
        </w:trPr>
        <w:tc>
          <w:tcPr>
            <w:tcW w:w="1200" w:type="dxa"/>
            <w:vAlign w:val="bottom"/>
          </w:tcPr>
          <w:p>
            <w:pPr>
              <w:spacing w:after="0"/>
              <w:rPr>
                <w:sz w:val="15"/>
                <w:szCs w:val="15"/>
                <w:color w:val="auto"/>
              </w:rPr>
            </w:pPr>
          </w:p>
        </w:tc>
        <w:tc>
          <w:tcPr>
            <w:tcW w:w="882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8"/>
              </w:rPr>
              <w:t>ARTICLE 16</w:t>
            </w:r>
          </w:p>
        </w:tc>
        <w:tc>
          <w:tcPr>
            <w:tcW w:w="1240" w:type="dxa"/>
            <w:vAlign w:val="bottom"/>
          </w:tcPr>
          <w:p>
            <w:pPr>
              <w:spacing w:after="0"/>
              <w:rPr>
                <w:sz w:val="15"/>
                <w:szCs w:val="15"/>
                <w:color w:val="auto"/>
              </w:rPr>
            </w:pPr>
          </w:p>
        </w:tc>
      </w:tr>
      <w:tr>
        <w:trPr>
          <w:trHeight w:val="208"/>
        </w:trPr>
        <w:tc>
          <w:tcPr>
            <w:tcW w:w="1200" w:type="dxa"/>
            <w:vAlign w:val="bottom"/>
          </w:tcPr>
          <w:p>
            <w:pPr>
              <w:spacing w:after="0"/>
              <w:rPr>
                <w:sz w:val="18"/>
                <w:szCs w:val="18"/>
                <w:color w:val="auto"/>
              </w:rPr>
            </w:pPr>
          </w:p>
        </w:tc>
        <w:tc>
          <w:tcPr>
            <w:tcW w:w="8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w:t>
            </w:r>
            <w:r>
              <w:rPr>
                <w:rFonts w:ascii="Times New Roman" w:cs="Times New Roman" w:eastAsia="Times New Roman" w:hAnsi="Times New Roman"/>
                <w:sz w:val="10"/>
                <w:szCs w:val="10"/>
                <w:color w:val="auto"/>
              </w:rPr>
              <w:t>ptional</w:t>
            </w:r>
            <w:r>
              <w:rPr>
                <w:rFonts w:ascii="Times New Roman" w:cs="Times New Roman" w:eastAsia="Times New Roman" w:hAnsi="Times New Roman"/>
                <w:sz w:val="16"/>
                <w:szCs w:val="16"/>
                <w:color w:val="auto"/>
              </w:rPr>
              <w:t xml:space="preserve"> R</w:t>
            </w:r>
            <w:r>
              <w:rPr>
                <w:rFonts w:ascii="Times New Roman" w:cs="Times New Roman" w:eastAsia="Times New Roman" w:hAnsi="Times New Roman"/>
                <w:sz w:val="10"/>
                <w:szCs w:val="10"/>
                <w:color w:val="auto"/>
              </w:rPr>
              <w:t>edemption</w:t>
            </w:r>
          </w:p>
        </w:tc>
        <w:tc>
          <w:tcPr>
            <w:tcW w:w="1240" w:type="dxa"/>
            <w:vAlign w:val="bottom"/>
          </w:tcPr>
          <w:p>
            <w:pPr>
              <w:spacing w:after="0"/>
              <w:rPr>
                <w:sz w:val="18"/>
                <w:szCs w:val="18"/>
                <w:color w:val="auto"/>
              </w:rPr>
            </w:pP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16.01.</w:t>
            </w:r>
          </w:p>
        </w:tc>
        <w:tc>
          <w:tcPr>
            <w:tcW w:w="8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i w:val="1"/>
                <w:iCs w:val="1"/>
                <w:color w:val="auto"/>
              </w:rPr>
              <w:t>Optional Redemption</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76</w:t>
            </w: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16.02.</w:t>
            </w: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Notice of Optional Redemption; Selection of Notes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76</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16.03.</w:t>
            </w:r>
          </w:p>
        </w:tc>
        <w:tc>
          <w:tcPr>
            <w:tcW w:w="8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i w:val="1"/>
                <w:iCs w:val="1"/>
                <w:color w:val="auto"/>
              </w:rPr>
              <w:t>Payment of Notes Called for Redemption</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78</w:t>
            </w: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16.04.</w:t>
            </w: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Restrictions on Redemption</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78</w:t>
            </w:r>
          </w:p>
        </w:tc>
      </w:tr>
      <w:tr>
        <w:trPr>
          <w:trHeight w:val="175"/>
        </w:trPr>
        <w:tc>
          <w:tcPr>
            <w:tcW w:w="1200" w:type="dxa"/>
            <w:vAlign w:val="bottom"/>
            <w:shd w:val="clear" w:color="auto" w:fill="CCEEFF"/>
          </w:tcPr>
          <w:p>
            <w:pPr>
              <w:spacing w:after="0"/>
              <w:rPr>
                <w:sz w:val="15"/>
                <w:szCs w:val="15"/>
                <w:color w:val="auto"/>
              </w:rPr>
            </w:pPr>
          </w:p>
        </w:tc>
        <w:tc>
          <w:tcPr>
            <w:tcW w:w="88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8"/>
              </w:rPr>
              <w:t>ARTICLE 17</w:t>
            </w:r>
          </w:p>
        </w:tc>
        <w:tc>
          <w:tcPr>
            <w:tcW w:w="1240" w:type="dxa"/>
            <w:vAlign w:val="bottom"/>
            <w:shd w:val="clear" w:color="auto" w:fill="CCEEFF"/>
          </w:tcPr>
          <w:p>
            <w:pPr>
              <w:spacing w:after="0"/>
              <w:rPr>
                <w:sz w:val="15"/>
                <w:szCs w:val="15"/>
                <w:color w:val="auto"/>
              </w:rPr>
            </w:pPr>
          </w:p>
        </w:tc>
      </w:tr>
      <w:tr>
        <w:trPr>
          <w:trHeight w:val="208"/>
        </w:trPr>
        <w:tc>
          <w:tcPr>
            <w:tcW w:w="1200" w:type="dxa"/>
            <w:vAlign w:val="bottom"/>
            <w:shd w:val="clear" w:color="auto" w:fill="CCEEFF"/>
          </w:tcPr>
          <w:p>
            <w:pPr>
              <w:spacing w:after="0"/>
              <w:rPr>
                <w:sz w:val="18"/>
                <w:szCs w:val="18"/>
                <w:color w:val="auto"/>
              </w:rPr>
            </w:pPr>
          </w:p>
        </w:tc>
        <w:tc>
          <w:tcPr>
            <w:tcW w:w="8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G</w:t>
            </w:r>
            <w:r>
              <w:rPr>
                <w:rFonts w:ascii="Times New Roman" w:cs="Times New Roman" w:eastAsia="Times New Roman" w:hAnsi="Times New Roman"/>
                <w:sz w:val="10"/>
                <w:szCs w:val="10"/>
                <w:color w:val="auto"/>
              </w:rPr>
              <w:t>uarantee</w:t>
            </w:r>
          </w:p>
        </w:tc>
        <w:tc>
          <w:tcPr>
            <w:tcW w:w="1240" w:type="dxa"/>
            <w:vAlign w:val="bottom"/>
            <w:shd w:val="clear" w:color="auto" w:fill="CCEEFF"/>
          </w:tcPr>
          <w:p>
            <w:pPr>
              <w:spacing w:after="0"/>
              <w:rPr>
                <w:sz w:val="18"/>
                <w:szCs w:val="18"/>
                <w:color w:val="auto"/>
              </w:rPr>
            </w:pP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17.01.</w:t>
            </w: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Guarantee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78</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17.02.</w:t>
            </w:r>
          </w:p>
        </w:tc>
        <w:tc>
          <w:tcPr>
            <w:tcW w:w="8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i w:val="1"/>
                <w:iCs w:val="1"/>
                <w:color w:val="auto"/>
              </w:rPr>
              <w:t>Limitation on Guarantor Liability</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79</w:t>
            </w: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17.03.</w:t>
            </w: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Release of Guarantees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79</w:t>
            </w:r>
          </w:p>
        </w:tc>
      </w:tr>
      <w:tr>
        <w:trPr>
          <w:trHeight w:val="175"/>
        </w:trPr>
        <w:tc>
          <w:tcPr>
            <w:tcW w:w="1200" w:type="dxa"/>
            <w:vAlign w:val="bottom"/>
            <w:shd w:val="clear" w:color="auto" w:fill="CCEEFF"/>
          </w:tcPr>
          <w:p>
            <w:pPr>
              <w:spacing w:after="0"/>
              <w:rPr>
                <w:sz w:val="15"/>
                <w:szCs w:val="15"/>
                <w:color w:val="auto"/>
              </w:rPr>
            </w:pPr>
          </w:p>
        </w:tc>
        <w:tc>
          <w:tcPr>
            <w:tcW w:w="88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8"/>
              </w:rPr>
              <w:t>ARTICLE 18</w:t>
            </w:r>
          </w:p>
        </w:tc>
        <w:tc>
          <w:tcPr>
            <w:tcW w:w="1240" w:type="dxa"/>
            <w:vAlign w:val="bottom"/>
            <w:shd w:val="clear" w:color="auto" w:fill="CCEEFF"/>
          </w:tcPr>
          <w:p>
            <w:pPr>
              <w:spacing w:after="0"/>
              <w:rPr>
                <w:sz w:val="15"/>
                <w:szCs w:val="15"/>
                <w:color w:val="auto"/>
              </w:rPr>
            </w:pPr>
          </w:p>
        </w:tc>
      </w:tr>
      <w:tr>
        <w:trPr>
          <w:trHeight w:val="208"/>
        </w:trPr>
        <w:tc>
          <w:tcPr>
            <w:tcW w:w="1200" w:type="dxa"/>
            <w:vAlign w:val="bottom"/>
            <w:shd w:val="clear" w:color="auto" w:fill="CCEEFF"/>
          </w:tcPr>
          <w:p>
            <w:pPr>
              <w:spacing w:after="0"/>
              <w:rPr>
                <w:sz w:val="18"/>
                <w:szCs w:val="18"/>
                <w:color w:val="auto"/>
              </w:rPr>
            </w:pPr>
          </w:p>
        </w:tc>
        <w:tc>
          <w:tcPr>
            <w:tcW w:w="8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M</w:t>
            </w:r>
            <w:r>
              <w:rPr>
                <w:rFonts w:ascii="Times New Roman" w:cs="Times New Roman" w:eastAsia="Times New Roman" w:hAnsi="Times New Roman"/>
                <w:sz w:val="10"/>
                <w:szCs w:val="10"/>
                <w:color w:val="auto"/>
              </w:rPr>
              <w:t>iscellaneous</w:t>
            </w:r>
            <w:r>
              <w:rPr>
                <w:rFonts w:ascii="Times New Roman" w:cs="Times New Roman" w:eastAsia="Times New Roman" w:hAnsi="Times New Roman"/>
                <w:sz w:val="16"/>
                <w:szCs w:val="16"/>
                <w:color w:val="auto"/>
              </w:rPr>
              <w:t xml:space="preserve"> P</w:t>
            </w:r>
            <w:r>
              <w:rPr>
                <w:rFonts w:ascii="Times New Roman" w:cs="Times New Roman" w:eastAsia="Times New Roman" w:hAnsi="Times New Roman"/>
                <w:sz w:val="10"/>
                <w:szCs w:val="10"/>
                <w:color w:val="auto"/>
              </w:rPr>
              <w:t>rovisions</w:t>
            </w:r>
          </w:p>
        </w:tc>
        <w:tc>
          <w:tcPr>
            <w:tcW w:w="1240" w:type="dxa"/>
            <w:vAlign w:val="bottom"/>
            <w:shd w:val="clear" w:color="auto" w:fill="CCEEFF"/>
          </w:tcPr>
          <w:p>
            <w:pPr>
              <w:spacing w:after="0"/>
              <w:rPr>
                <w:sz w:val="18"/>
                <w:szCs w:val="18"/>
                <w:color w:val="auto"/>
              </w:rPr>
            </w:pP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18.01.</w:t>
            </w: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Provisions Binding on Company’s Successors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79</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18.02.</w:t>
            </w:r>
          </w:p>
        </w:tc>
        <w:tc>
          <w:tcPr>
            <w:tcW w:w="8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i w:val="1"/>
                <w:iCs w:val="1"/>
                <w:color w:val="auto"/>
              </w:rPr>
              <w:t>Official Acts by Successor Corporation</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79</w:t>
            </w: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18.03.</w:t>
            </w: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Addresses for Notices, Etc</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80</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18.04.</w:t>
            </w:r>
          </w:p>
        </w:tc>
        <w:tc>
          <w:tcPr>
            <w:tcW w:w="8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i w:val="1"/>
                <w:iCs w:val="1"/>
                <w:color w:val="auto"/>
              </w:rPr>
              <w:t>Governing Law; Jurisdiction</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80</w:t>
            </w: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18.05.</w:t>
            </w: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Evidence of Compliance with Conditions Precedent; Certificates and Opinions of Counsel to Trustee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80</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18.06.</w:t>
            </w:r>
          </w:p>
        </w:tc>
        <w:tc>
          <w:tcPr>
            <w:tcW w:w="8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i w:val="1"/>
                <w:iCs w:val="1"/>
                <w:color w:val="auto"/>
              </w:rPr>
              <w:t>Legal Holidays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81</w:t>
            </w:r>
          </w:p>
        </w:tc>
      </w:tr>
    </w:tbl>
    <w:p>
      <w:pPr>
        <w:spacing w:after="0" w:line="3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6" w:right="31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14"/>
        </w:trPr>
        <w:tc>
          <w:tcPr>
            <w:tcW w:w="1200" w:type="dxa"/>
            <w:vAlign w:val="bottom"/>
            <w:tcBorders>
              <w:bottom w:val="single" w:sz="8" w:color="CCEEFF"/>
            </w:tcBorders>
          </w:tcPr>
          <w:p>
            <w:pPr>
              <w:spacing w:after="0"/>
              <w:rPr>
                <w:sz w:val="18"/>
                <w:szCs w:val="18"/>
                <w:color w:val="auto"/>
              </w:rPr>
            </w:pPr>
          </w:p>
        </w:tc>
        <w:tc>
          <w:tcPr>
            <w:tcW w:w="88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Page No</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18.07.</w:t>
            </w:r>
          </w:p>
        </w:tc>
        <w:tc>
          <w:tcPr>
            <w:tcW w:w="8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i w:val="1"/>
                <w:iCs w:val="1"/>
                <w:color w:val="auto"/>
              </w:rPr>
              <w:t>No Security Interest Created</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81</w:t>
            </w: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18.08.</w:t>
            </w: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Benefits of Indenture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81</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18.09.</w:t>
            </w:r>
          </w:p>
        </w:tc>
        <w:tc>
          <w:tcPr>
            <w:tcW w:w="8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i w:val="1"/>
                <w:iCs w:val="1"/>
                <w:color w:val="auto"/>
              </w:rPr>
              <w:t>Table of Contents, Headings, Etc</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81</w:t>
            </w: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18.10.</w:t>
            </w: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Authenticating Agent</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81</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18.11.</w:t>
            </w:r>
          </w:p>
        </w:tc>
        <w:tc>
          <w:tcPr>
            <w:tcW w:w="8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i w:val="1"/>
                <w:iCs w:val="1"/>
                <w:color w:val="auto"/>
              </w:rPr>
              <w:t>Execution in Counterparts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82</w:t>
            </w: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18.12.</w:t>
            </w: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Severability</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82</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18.13.</w:t>
            </w:r>
          </w:p>
        </w:tc>
        <w:tc>
          <w:tcPr>
            <w:tcW w:w="8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i w:val="1"/>
                <w:iCs w:val="1"/>
                <w:color w:val="auto"/>
              </w:rPr>
              <w:t>Waiver of Jury Trial</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82</w:t>
            </w: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18.14.</w:t>
            </w: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Force Majeure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82</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18.15.</w:t>
            </w:r>
          </w:p>
        </w:tc>
        <w:tc>
          <w:tcPr>
            <w:tcW w:w="8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i w:val="1"/>
                <w:iCs w:val="1"/>
                <w:color w:val="auto"/>
              </w:rPr>
              <w:t>Calculations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83</w:t>
            </w:r>
          </w:p>
        </w:tc>
      </w:tr>
      <w:tr>
        <w:trPr>
          <w:trHeight w:val="210"/>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18.16.</w:t>
            </w: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USA PATRIOT Act</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83</w:t>
            </w:r>
          </w:p>
        </w:tc>
      </w:tr>
    </w:tbl>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7680" w:type="dxa"/>
            <w:vAlign w:val="bottom"/>
          </w:tcPr>
          <w:p>
            <w:pPr>
              <w:jc w:val="center"/>
              <w:ind w:right="3520"/>
              <w:spacing w:after="0"/>
              <w:rPr>
                <w:sz w:val="20"/>
                <w:szCs w:val="20"/>
                <w:color w:val="auto"/>
              </w:rPr>
            </w:pPr>
            <w:r>
              <w:rPr>
                <w:rFonts w:ascii="Times New Roman" w:cs="Times New Roman" w:eastAsia="Times New Roman" w:hAnsi="Times New Roman"/>
                <w:sz w:val="16"/>
                <w:szCs w:val="16"/>
                <w:b w:val="1"/>
                <w:bCs w:val="1"/>
                <w:color w:val="auto"/>
                <w:w w:val="99"/>
              </w:rPr>
              <w:t>EXHIBIT</w:t>
            </w:r>
          </w:p>
        </w:tc>
      </w:tr>
      <w:tr>
        <w:trPr>
          <w:trHeight w:val="191"/>
        </w:trPr>
        <w:tc>
          <w:tcPr>
            <w:tcW w:w="8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7680" w:type="dxa"/>
            <w:vAlign w:val="bottom"/>
          </w:tcPr>
          <w:p>
            <w:pPr>
              <w:spacing w:after="0"/>
              <w:rPr>
                <w:sz w:val="16"/>
                <w:szCs w:val="16"/>
                <w:color w:val="auto"/>
              </w:rPr>
            </w:pPr>
          </w:p>
        </w:tc>
      </w:tr>
      <w:tr>
        <w:trPr>
          <w:trHeight w:val="191"/>
        </w:trPr>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Exhibit A</w:t>
            </w:r>
          </w:p>
        </w:tc>
        <w:tc>
          <w:tcPr>
            <w:tcW w:w="2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Form of Note</w:t>
            </w:r>
          </w:p>
        </w:tc>
        <w:tc>
          <w:tcPr>
            <w:tcW w:w="768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85</w:t>
            </w:r>
          </w:p>
        </w:tc>
      </w:tr>
      <w:tr>
        <w:trPr>
          <w:trHeight w:val="577"/>
        </w:trPr>
        <w:tc>
          <w:tcPr>
            <w:tcW w:w="8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7680" w:type="dxa"/>
            <w:vAlign w:val="bottom"/>
            <w:tcBorders>
              <w:bottom w:val="single" w:sz="8" w:color="auto"/>
            </w:tcBorders>
          </w:tcPr>
          <w:p>
            <w:pPr>
              <w:jc w:val="center"/>
              <w:ind w:right="3520"/>
              <w:spacing w:after="0"/>
              <w:rPr>
                <w:sz w:val="20"/>
                <w:szCs w:val="20"/>
                <w:color w:val="auto"/>
              </w:rPr>
            </w:pPr>
            <w:r>
              <w:rPr>
                <w:rFonts w:ascii="Times New Roman" w:cs="Times New Roman" w:eastAsia="Times New Roman" w:hAnsi="Times New Roman"/>
                <w:sz w:val="16"/>
                <w:szCs w:val="16"/>
                <w:color w:val="auto"/>
                <w:w w:val="95"/>
              </w:rPr>
              <w:t>iv</w:t>
            </w:r>
          </w:p>
        </w:tc>
      </w:tr>
    </w:tbl>
    <w:p>
      <w:pPr>
        <w:sectPr>
          <w:pgSz w:w="11900" w:h="16838" w:orient="portrait"/>
          <w:cols w:equalWidth="0" w:num="1">
            <w:col w:w="11260"/>
          </w:cols>
          <w:pgMar w:left="320" w:top="826" w:right="319" w:bottom="1440" w:gutter="0" w:footer="0" w:header="0"/>
        </w:sectPr>
      </w:pPr>
    </w:p>
    <w:bookmarkStart w:id="20" w:name="page21"/>
    <w:bookmarkEnd w:id="20"/>
    <w:p>
      <w:pPr>
        <w:jc w:val="both"/>
        <w:ind w:right="20" w:firstLine="382"/>
        <w:spacing w:after="0" w:line="283" w:lineRule="auto"/>
        <w:rPr>
          <w:sz w:val="20"/>
          <w:szCs w:val="20"/>
          <w:color w:val="auto"/>
        </w:rPr>
      </w:pPr>
      <w:r>
        <w:rPr>
          <w:rFonts w:ascii="Times New Roman" w:cs="Times New Roman" w:eastAsia="Times New Roman" w:hAnsi="Times New Roman"/>
          <w:sz w:val="16"/>
          <w:szCs w:val="16"/>
          <w:color w:val="auto"/>
        </w:rPr>
        <w:t>INDENTURE dated as of [ ● ], 2022 between [ ● ], a Delaware corporation, as issuer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as more fully set forth in Section 1.01) and U.S. BANK NATIONAL ASSOCIATION, as trustee (the “</w:t>
      </w:r>
      <w:r>
        <w:rPr>
          <w:rFonts w:ascii="Times New Roman" w:cs="Times New Roman" w:eastAsia="Times New Roman" w:hAnsi="Times New Roman"/>
          <w:sz w:val="16"/>
          <w:szCs w:val="16"/>
          <w:b w:val="1"/>
          <w:bCs w:val="1"/>
          <w:color w:val="auto"/>
        </w:rPr>
        <w:t>Trustee</w:t>
      </w:r>
      <w:r>
        <w:rPr>
          <w:rFonts w:ascii="Times New Roman" w:cs="Times New Roman" w:eastAsia="Times New Roman" w:hAnsi="Times New Roman"/>
          <w:sz w:val="16"/>
          <w:szCs w:val="16"/>
          <w:color w:val="auto"/>
        </w:rPr>
        <w:t>,” as more fully set forth in Section 1.01).</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 I T N E S S E T H:</w:t>
      </w:r>
    </w:p>
    <w:p>
      <w:pPr>
        <w:spacing w:after="0" w:line="198" w:lineRule="exact"/>
        <w:rPr>
          <w:sz w:val="20"/>
          <w:szCs w:val="20"/>
          <w:color w:val="auto"/>
        </w:rPr>
      </w:pPr>
    </w:p>
    <w:p>
      <w:pPr>
        <w:jc w:val="both"/>
        <w:ind w:firstLine="382"/>
        <w:spacing w:after="0" w:line="265" w:lineRule="auto"/>
        <w:rPr>
          <w:sz w:val="20"/>
          <w:szCs w:val="20"/>
          <w:color w:val="auto"/>
        </w:rPr>
      </w:pPr>
      <w:r>
        <w:rPr>
          <w:rFonts w:ascii="Times New Roman" w:cs="Times New Roman" w:eastAsia="Times New Roman" w:hAnsi="Times New Roman"/>
          <w:sz w:val="16"/>
          <w:szCs w:val="16"/>
          <w:color w:val="auto"/>
        </w:rPr>
        <w:t>WHEREAS, for its lawful corporate purposes, the Company has duly authorized the issuance of its 15.0% Cash + 5.0% PIK Convertible Senior Notes due 2026 (the “</w:t>
      </w:r>
      <w:r>
        <w:rPr>
          <w:rFonts w:ascii="Times New Roman" w:cs="Times New Roman" w:eastAsia="Times New Roman" w:hAnsi="Times New Roman"/>
          <w:sz w:val="16"/>
          <w:szCs w:val="16"/>
          <w:b w:val="1"/>
          <w:bCs w:val="1"/>
          <w:color w:val="auto"/>
        </w:rPr>
        <w:t>Notes</w:t>
      </w:r>
      <w:r>
        <w:rPr>
          <w:rFonts w:ascii="Times New Roman" w:cs="Times New Roman" w:eastAsia="Times New Roman" w:hAnsi="Times New Roman"/>
          <w:sz w:val="16"/>
          <w:szCs w:val="16"/>
          <w:color w:val="auto"/>
        </w:rPr>
        <w:t>”), initially in an aggregate principal amount not to exceed $25,000,000, and in order to provide the terms and conditions upon which the Notes are to be authenticated, issued and delivered, the Company has duly authorized the execution and delivery of this Indenture; and</w:t>
      </w:r>
    </w:p>
    <w:p>
      <w:pPr>
        <w:spacing w:after="0" w:line="155" w:lineRule="exact"/>
        <w:rPr>
          <w:sz w:val="20"/>
          <w:szCs w:val="20"/>
          <w:color w:val="auto"/>
        </w:rPr>
      </w:pPr>
    </w:p>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WHEREAS, the Form of Note, the certificate of authentication to be borne by each Note, the Form of Notice of Conversion, the Form of Fundamental Change Repurchase Notice and the Form of Assignment and Transfer to be borne by the Notes are to be substantially in the forms herein provided; and</w:t>
      </w:r>
    </w:p>
    <w:p>
      <w:pPr>
        <w:spacing w:after="0" w:line="144" w:lineRule="exact"/>
        <w:rPr>
          <w:sz w:val="20"/>
          <w:szCs w:val="20"/>
          <w:color w:val="auto"/>
        </w:rPr>
      </w:pPr>
    </w:p>
    <w:p>
      <w:pPr>
        <w:jc w:val="both"/>
        <w:ind w:right="20" w:firstLine="382"/>
        <w:spacing w:after="0" w:line="265" w:lineRule="auto"/>
        <w:rPr>
          <w:sz w:val="20"/>
          <w:szCs w:val="20"/>
          <w:color w:val="auto"/>
        </w:rPr>
      </w:pPr>
      <w:r>
        <w:rPr>
          <w:rFonts w:ascii="Times New Roman" w:cs="Times New Roman" w:eastAsia="Times New Roman" w:hAnsi="Times New Roman"/>
          <w:sz w:val="16"/>
          <w:szCs w:val="16"/>
          <w:color w:val="auto"/>
        </w:rPr>
        <w:t>WHEREAS, all acts and things necessary to make the Notes, when executed by the Company and authenticated and delivered by the Trustee or a duly authorized authenticating agent, as in this Indenture provided, the valid, binding and legal obligations of the Company, and this Indenture a valid agreement according to its terms, have been done and performed, and the execution of this Indenture and the issuance hereunder of the Notes have in all respects been duly authorized.</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NOW, THEREFORE, THIS INDENTURE WITNESSETH:</w:t>
      </w:r>
    </w:p>
    <w:p>
      <w:pPr>
        <w:spacing w:after="0" w:line="198" w:lineRule="exact"/>
        <w:rPr>
          <w:sz w:val="20"/>
          <w:szCs w:val="20"/>
          <w:color w:val="auto"/>
        </w:rPr>
      </w:pPr>
    </w:p>
    <w:p>
      <w:pPr>
        <w:jc w:val="both"/>
        <w:ind w:firstLine="382"/>
        <w:spacing w:after="0" w:line="265" w:lineRule="auto"/>
        <w:rPr>
          <w:sz w:val="20"/>
          <w:szCs w:val="20"/>
          <w:color w:val="auto"/>
        </w:rPr>
      </w:pPr>
      <w:r>
        <w:rPr>
          <w:rFonts w:ascii="Times New Roman" w:cs="Times New Roman" w:eastAsia="Times New Roman" w:hAnsi="Times New Roman"/>
          <w:sz w:val="16"/>
          <w:szCs w:val="16"/>
          <w:color w:val="auto"/>
        </w:rPr>
        <w:t>That in order to declare the terms and conditions upon which the Notes are, and are to be, authenticated, issued and delivered, and in consideration of the premises and of the purchase and acceptance of the Notes by the Holders thereof, the Company covenants and agrees with the Trustee for the equal and proportionate benefit of the respective Holders from time to time of the Notes (except as otherwise provided below), as 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1</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w:t>
      </w:r>
      <w:r>
        <w:rPr>
          <w:rFonts w:ascii="Times New Roman" w:cs="Times New Roman" w:eastAsia="Times New Roman" w:hAnsi="Times New Roman"/>
          <w:sz w:val="10"/>
          <w:szCs w:val="10"/>
          <w:color w:val="auto"/>
        </w:rPr>
        <w:t>efinitions</w:t>
      </w:r>
    </w:p>
    <w:p>
      <w:pPr>
        <w:spacing w:after="0" w:line="180" w:lineRule="exact"/>
        <w:rPr>
          <w:sz w:val="20"/>
          <w:szCs w:val="20"/>
          <w:color w:val="auto"/>
        </w:rPr>
      </w:pPr>
    </w:p>
    <w:p>
      <w:pPr>
        <w:jc w:val="both"/>
        <w:ind w:firstLine="382"/>
        <w:spacing w:after="0" w:line="260" w:lineRule="auto"/>
        <w:rPr>
          <w:sz w:val="20"/>
          <w:szCs w:val="20"/>
          <w:color w:val="auto"/>
        </w:rPr>
      </w:pPr>
      <w:r>
        <w:rPr>
          <w:rFonts w:ascii="Times New Roman" w:cs="Times New Roman" w:eastAsia="Times New Roman" w:hAnsi="Times New Roman"/>
          <w:sz w:val="16"/>
          <w:szCs w:val="16"/>
          <w:color w:val="auto"/>
        </w:rPr>
        <w:t xml:space="preserve">Section 1.01. </w:t>
      </w:r>
      <w:r>
        <w:rPr>
          <w:rFonts w:ascii="Times New Roman" w:cs="Times New Roman" w:eastAsia="Times New Roman" w:hAnsi="Times New Roman"/>
          <w:sz w:val="16"/>
          <w:szCs w:val="16"/>
          <w:i w:val="1"/>
          <w:iCs w:val="1"/>
          <w:color w:val="auto"/>
        </w:rPr>
        <w:t>Definitions.</w:t>
      </w:r>
      <w:r>
        <w:rPr>
          <w:rFonts w:ascii="Times New Roman" w:cs="Times New Roman" w:eastAsia="Times New Roman" w:hAnsi="Times New Roman"/>
          <w:sz w:val="16"/>
          <w:szCs w:val="16"/>
          <w:color w:val="auto"/>
        </w:rPr>
        <w:t xml:space="preserve"> The terms defined in this Section 1.01 (except as herein otherwise expressly provided or unless the context otherwise requires) for all purposes of this Indenture and of any indenture supplemental hereto shall have the respective meanings specified in this Section 1.01. The words “herein,” “hereof,” “hereunder” and words of similar import refer to this Indenture as a whole and not to any particular Article, Section or other subdivision. The terms defined in this Article include the plural as well as the singular.</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1% Provision</w:t>
      </w:r>
      <w:r>
        <w:rPr>
          <w:rFonts w:ascii="Times New Roman" w:cs="Times New Roman" w:eastAsia="Times New Roman" w:hAnsi="Times New Roman"/>
          <w:sz w:val="16"/>
          <w:szCs w:val="16"/>
          <w:color w:val="auto"/>
        </w:rPr>
        <w:t>” shall have the meaning specified in Section 14.04(l).</w:t>
      </w:r>
    </w:p>
    <w:p>
      <w:pPr>
        <w:spacing w:after="0" w:line="198" w:lineRule="exact"/>
        <w:rPr>
          <w:sz w:val="20"/>
          <w:szCs w:val="20"/>
          <w:color w:val="auto"/>
        </w:rPr>
      </w:pPr>
    </w:p>
    <w:p>
      <w:pPr>
        <w:jc w:val="both"/>
        <w:ind w:firstLine="382"/>
        <w:spacing w:after="0" w:line="25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30-Day ADTV</w:t>
      </w:r>
      <w:r>
        <w:rPr>
          <w:rFonts w:ascii="Times New Roman" w:cs="Times New Roman" w:eastAsia="Times New Roman" w:hAnsi="Times New Roman"/>
          <w:sz w:val="16"/>
          <w:szCs w:val="16"/>
          <w:color w:val="auto"/>
        </w:rPr>
        <w:t>” means, as of any date and with respect to any shares of Common Stock, an amount equal to the arithmetic average of the products, for each Trading Day in the 30 Trading Day period ending on, and including, the Trading Day immediately preceding such date, of (i) the daily trading volume in such shares of Common Stock on the applicable exchange for such Trading Day and (ii) the Daily VWAP for such Trading Day; provided that in the case of calculating the amount in this clause (ii) with respect to any shares of Common Stock, in respect of any Trading Day occurring on or subsequent to the Ex-Dividend Date for such dividend or distribution, such amount shall be increased by an amount of cash in U.S. dollars per share of Common Stock distributed, or to be distributed, in such dividend or distribution, net of any applicable withholding taxes, as determined by the Conversion Agent, unless such dividend or distribution does not occur, in which case such amount shall be reduced to the amount that would then be in effect if such dividend or distribution had not been declared.</w:t>
      </w:r>
    </w:p>
    <w:p>
      <w:pPr>
        <w:spacing w:after="0" w:line="1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Additional Interest</w:t>
      </w:r>
      <w:r>
        <w:rPr>
          <w:rFonts w:ascii="Times New Roman" w:cs="Times New Roman" w:eastAsia="Times New Roman" w:hAnsi="Times New Roman"/>
          <w:sz w:val="16"/>
          <w:szCs w:val="16"/>
          <w:color w:val="auto"/>
        </w:rPr>
        <w:t>” means all amounts, if any, payable pursuant to Section 4.06(d) and Section 6.03, as applicable.</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Additional Shares</w:t>
      </w:r>
      <w:r>
        <w:rPr>
          <w:rFonts w:ascii="Times New Roman" w:cs="Times New Roman" w:eastAsia="Times New Roman" w:hAnsi="Times New Roman"/>
          <w:sz w:val="16"/>
          <w:szCs w:val="16"/>
          <w:color w:val="auto"/>
        </w:rPr>
        <w:t>” shall have the meaning specified in Section 14.03(a).</w:t>
      </w:r>
    </w:p>
    <w:p>
      <w:pPr>
        <w:spacing w:after="0" w:line="198" w:lineRule="exact"/>
        <w:rPr>
          <w:sz w:val="20"/>
          <w:szCs w:val="20"/>
          <w:color w:val="auto"/>
        </w:rPr>
      </w:pPr>
    </w:p>
    <w:p>
      <w:pPr>
        <w:jc w:val="both"/>
        <w:ind w:firstLine="382"/>
        <w:spacing w:after="0" w:line="26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Additional Warrants</w:t>
      </w:r>
      <w:r>
        <w:rPr>
          <w:rFonts w:ascii="Times New Roman" w:cs="Times New Roman" w:eastAsia="Times New Roman" w:hAnsi="Times New Roman"/>
          <w:sz w:val="16"/>
          <w:szCs w:val="16"/>
          <w:color w:val="auto"/>
        </w:rPr>
        <w:t>” shall mean warrants to purchase a number of shares of Common Stock equal to 50% of the number of shares of Common Stock into which the Notes redeemed pursuant to Section 16.01 were convertible on the Trading Day immediately prior to the Redemption Date. The Additional Warrants shall be identical to the Warrants (as such term is defined in the Amended and Restated Subscription Agreement dated [●], 2022 by and between the Company and Lake Vineyard Fund LP and Silver Rock Empire Fund LP—Series 2022) except that the exercise period of the Additional Warrants shall terminate on the Maturity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370840</wp:posOffset>
            </wp:positionV>
            <wp:extent cx="7148195"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21" w:name="page22"/>
    <w:bookmarkEnd w:id="21"/>
    <w:p>
      <w:pPr>
        <w:jc w:val="both"/>
        <w:ind w:left="4" w:firstLine="382"/>
        <w:spacing w:after="0" w:line="26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Acquired Indebtedness</w:t>
      </w:r>
      <w:r>
        <w:rPr>
          <w:rFonts w:ascii="Times New Roman" w:cs="Times New Roman" w:eastAsia="Times New Roman" w:hAnsi="Times New Roman"/>
          <w:sz w:val="16"/>
          <w:szCs w:val="16"/>
          <w:color w:val="auto"/>
        </w:rPr>
        <w:t>” means Indebtedness of a Person or any of its Subsidiaries existing at the time such Person becomes a Subsidiary of the Company or at the time it merges or consolidates with or into the Company or any of its Subsidiaries or assumed in connection with the acquisition of assets from such Person and in each case whether or not incurred by such Person in connection with, or in anticipation or contemplation of, such Person becoming a Subsidiary of the Company or such acquisition, merger or consolidation.</w:t>
      </w:r>
    </w:p>
    <w:p>
      <w:pPr>
        <w:spacing w:after="0" w:line="159" w:lineRule="exact"/>
        <w:rPr>
          <w:sz w:val="20"/>
          <w:szCs w:val="20"/>
          <w:color w:val="auto"/>
        </w:rPr>
      </w:pPr>
    </w:p>
    <w:p>
      <w:pPr>
        <w:jc w:val="both"/>
        <w:ind w:left="4" w:firstLine="382"/>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Affiliate</w:t>
      </w:r>
      <w:r>
        <w:rPr>
          <w:rFonts w:ascii="Times New Roman" w:cs="Times New Roman" w:eastAsia="Times New Roman" w:hAnsi="Times New Roman"/>
          <w:sz w:val="16"/>
          <w:szCs w:val="16"/>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or cause the direction of the management and policies of such Person, directly or indirectly, whether through the ownership of voting securities, by contract or otherwise; and the terms “controlling” and “controlled” have meanings correlative to the foregoing. Notwithstanding anything to the contrary herein, the determination of whether one Person is an “</w:t>
      </w:r>
      <w:r>
        <w:rPr>
          <w:rFonts w:ascii="Times New Roman" w:cs="Times New Roman" w:eastAsia="Times New Roman" w:hAnsi="Times New Roman"/>
          <w:sz w:val="16"/>
          <w:szCs w:val="16"/>
          <w:b w:val="1"/>
          <w:bCs w:val="1"/>
          <w:color w:val="auto"/>
        </w:rPr>
        <w:t>Affiliate</w:t>
      </w:r>
      <w:r>
        <w:rPr>
          <w:rFonts w:ascii="Times New Roman" w:cs="Times New Roman" w:eastAsia="Times New Roman" w:hAnsi="Times New Roman"/>
          <w:sz w:val="16"/>
          <w:szCs w:val="16"/>
          <w:color w:val="auto"/>
        </w:rPr>
        <w:t>” of another Person for purposes of this Indenture shall be made based on the facts at the time such determination is made or required to be made, as the case may be, hereunder.</w:t>
      </w:r>
    </w:p>
    <w:p>
      <w:pPr>
        <w:spacing w:after="0" w:line="162" w:lineRule="exact"/>
        <w:rPr>
          <w:sz w:val="20"/>
          <w:szCs w:val="20"/>
          <w:color w:val="auto"/>
        </w:rPr>
      </w:pPr>
    </w:p>
    <w:p>
      <w:pPr>
        <w:jc w:val="both"/>
        <w:ind w:left="4" w:right="20" w:firstLine="382"/>
        <w:spacing w:after="0" w:line="26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Applicable Premium</w:t>
      </w:r>
      <w:r>
        <w:rPr>
          <w:rFonts w:ascii="Times New Roman" w:cs="Times New Roman" w:eastAsia="Times New Roman" w:hAnsi="Times New Roman"/>
          <w:sz w:val="16"/>
          <w:szCs w:val="16"/>
          <w:color w:val="auto"/>
        </w:rPr>
        <w:t>” means the present value at such Redemption Date of all required remaining scheduled interest payments (calculated, for the avoidance of doubt, including PIK Interest compounding upon each Interest Payment Date) due on such Note through the Maturity Date (but excluding accrued and unpaid interest to the</w:t>
      </w:r>
    </w:p>
    <w:p>
      <w:pPr>
        <w:spacing w:after="0" w:line="1" w:lineRule="exact"/>
        <w:rPr>
          <w:sz w:val="20"/>
          <w:szCs w:val="20"/>
          <w:color w:val="auto"/>
        </w:rPr>
      </w:pPr>
    </w:p>
    <w:p>
      <w:pPr>
        <w:jc w:val="both"/>
        <w:ind w:left="4" w:right="20"/>
        <w:spacing w:after="0" w:line="207" w:lineRule="auto"/>
        <w:rPr>
          <w:sz w:val="20"/>
          <w:szCs w:val="20"/>
          <w:color w:val="auto"/>
        </w:rPr>
      </w:pPr>
      <w:r>
        <w:rPr>
          <w:rFonts w:ascii="Times New Roman" w:cs="Times New Roman" w:eastAsia="Times New Roman" w:hAnsi="Times New Roman"/>
          <w:sz w:val="16"/>
          <w:szCs w:val="16"/>
          <w:color w:val="auto"/>
        </w:rPr>
        <w:t xml:space="preserve">Redemption Date), computed using a discount rate equal to the Treasury Rate;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with respect to a Note at any Redemption Date occurring before [●], 2025,</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6"/>
          <w:szCs w:val="16"/>
          <w:color w:val="auto"/>
        </w:rPr>
        <w:t xml:space="preserve"> such Applicable Premium shall also include the Additional Warrants.</w:t>
      </w:r>
    </w:p>
    <w:p>
      <w:pPr>
        <w:spacing w:after="0" w:line="174" w:lineRule="exact"/>
        <w:rPr>
          <w:sz w:val="20"/>
          <w:szCs w:val="20"/>
          <w:color w:val="auto"/>
        </w:rPr>
      </w:pPr>
    </w:p>
    <w:p>
      <w:pPr>
        <w:ind w:left="38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Asset Sale</w:t>
      </w:r>
      <w:r>
        <w:rPr>
          <w:rFonts w:ascii="Times New Roman" w:cs="Times New Roman" w:eastAsia="Times New Roman" w:hAnsi="Times New Roman"/>
          <w:sz w:val="16"/>
          <w:szCs w:val="16"/>
          <w:color w:val="auto"/>
        </w:rPr>
        <w:t>” means:</w:t>
      </w:r>
    </w:p>
    <w:p>
      <w:pPr>
        <w:spacing w:after="0" w:line="200" w:lineRule="exact"/>
        <w:rPr>
          <w:sz w:val="20"/>
          <w:szCs w:val="20"/>
          <w:color w:val="auto"/>
        </w:rPr>
      </w:pPr>
    </w:p>
    <w:p>
      <w:pPr>
        <w:ind w:left="4" w:firstLine="378"/>
        <w:spacing w:after="0" w:line="280" w:lineRule="auto"/>
        <w:tabs>
          <w:tab w:leader="none" w:pos="622"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sale, lease, conveyance or other disposition of any assets or rights; provided that the sale, lease, conveyance or other disposition of all or substantially all of the assets of the Company and its Subsidiaries, taken as a whole, will be governed by Article 11 and/or Article 15 and not by the provisions of the Asset Sale covenant; and</w:t>
      </w:r>
    </w:p>
    <w:p>
      <w:pPr>
        <w:spacing w:after="0" w:line="144" w:lineRule="exact"/>
        <w:rPr>
          <w:rFonts w:ascii="Times New Roman" w:cs="Times New Roman" w:eastAsia="Times New Roman" w:hAnsi="Times New Roman"/>
          <w:sz w:val="16"/>
          <w:szCs w:val="16"/>
          <w:color w:val="auto"/>
        </w:rPr>
      </w:pPr>
    </w:p>
    <w:p>
      <w:pPr>
        <w:ind w:left="604" w:hanging="222"/>
        <w:spacing w:after="0"/>
        <w:tabs>
          <w:tab w:leader="none" w:pos="604"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issuance of Equity Interests in any of the Company’s Subsidiaries or the sale of Equity Interests in any of its Subsidiaries.</w:t>
      </w:r>
    </w:p>
    <w:p>
      <w:pPr>
        <w:spacing w:after="0" w:line="198" w:lineRule="exact"/>
        <w:rPr>
          <w:sz w:val="20"/>
          <w:szCs w:val="20"/>
          <w:color w:val="auto"/>
        </w:rPr>
      </w:pPr>
    </w:p>
    <w:p>
      <w:pPr>
        <w:ind w:left="384"/>
        <w:spacing w:after="0"/>
        <w:rPr>
          <w:sz w:val="20"/>
          <w:szCs w:val="20"/>
          <w:color w:val="auto"/>
        </w:rPr>
      </w:pPr>
      <w:r>
        <w:rPr>
          <w:rFonts w:ascii="Times New Roman" w:cs="Times New Roman" w:eastAsia="Times New Roman" w:hAnsi="Times New Roman"/>
          <w:sz w:val="16"/>
          <w:szCs w:val="16"/>
          <w:color w:val="auto"/>
        </w:rPr>
        <w:t>Notwithstanding the preceding, none of the following items will be deemed to be an Asset Sale:</w:t>
      </w:r>
    </w:p>
    <w:p>
      <w:pPr>
        <w:spacing w:after="0" w:line="198" w:lineRule="exact"/>
        <w:rPr>
          <w:sz w:val="20"/>
          <w:szCs w:val="20"/>
          <w:color w:val="auto"/>
        </w:rPr>
      </w:pPr>
    </w:p>
    <w:p>
      <w:pPr>
        <w:ind w:left="604" w:hanging="222"/>
        <w:spacing w:after="0"/>
        <w:tabs>
          <w:tab w:leader="none" w:pos="604"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single transaction or series of related transactions that involves assets having a Fair Market Value of less than $1.0 million at such time;</w:t>
      </w:r>
    </w:p>
    <w:p>
      <w:pPr>
        <w:spacing w:after="0" w:line="198" w:lineRule="exact"/>
        <w:rPr>
          <w:rFonts w:ascii="Times New Roman" w:cs="Times New Roman" w:eastAsia="Times New Roman" w:hAnsi="Times New Roman"/>
          <w:sz w:val="16"/>
          <w:szCs w:val="16"/>
          <w:color w:val="auto"/>
        </w:rPr>
      </w:pPr>
    </w:p>
    <w:p>
      <w:pPr>
        <w:ind w:left="604" w:hanging="222"/>
        <w:spacing w:after="0"/>
        <w:tabs>
          <w:tab w:leader="none" w:pos="604"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transfer of assets (including Equity Interests of Subsidiaries) between or among the Company and its Subsidiaries;</w:t>
      </w:r>
    </w:p>
    <w:p>
      <w:pPr>
        <w:spacing w:after="0" w:line="198" w:lineRule="exact"/>
        <w:rPr>
          <w:rFonts w:ascii="Times New Roman" w:cs="Times New Roman" w:eastAsia="Times New Roman" w:hAnsi="Times New Roman"/>
          <w:sz w:val="16"/>
          <w:szCs w:val="16"/>
          <w:color w:val="auto"/>
        </w:rPr>
      </w:pPr>
    </w:p>
    <w:p>
      <w:pPr>
        <w:ind w:left="604" w:hanging="222"/>
        <w:spacing w:after="0"/>
        <w:tabs>
          <w:tab w:leader="none" w:pos="604"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issuance of Equity Interests by a Subsidiary of the Company to the Company or to another Subsidiary of the Company;</w:t>
      </w:r>
    </w:p>
    <w:p>
      <w:pPr>
        <w:spacing w:after="0" w:line="198" w:lineRule="exact"/>
        <w:rPr>
          <w:rFonts w:ascii="Times New Roman" w:cs="Times New Roman" w:eastAsia="Times New Roman" w:hAnsi="Times New Roman"/>
          <w:sz w:val="16"/>
          <w:szCs w:val="16"/>
          <w:color w:val="auto"/>
        </w:rPr>
      </w:pPr>
    </w:p>
    <w:p>
      <w:pPr>
        <w:jc w:val="both"/>
        <w:ind w:left="4" w:right="20" w:firstLine="378"/>
        <w:spacing w:after="0" w:line="259" w:lineRule="auto"/>
        <w:tabs>
          <w:tab w:leader="none" w:pos="624"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sale, abandonment, disposition, lease or sublease of products, inventory, equipment, services, accounts receivable or other assets or property (including, but not limited to, real property), or the granting of any option or other right to purchase, lease or otherwise acquire such assets, in each case, in the ordinary course of business and any sale or other disposition of assets that are damaged, worn out, obsolete or otherwise unsuitable for use or unusable by the Company or its Subsidiaries in connection with the conduct of their business as determined in good faith by the Company’s executive officers;</w:t>
      </w:r>
    </w:p>
    <w:p>
      <w:pPr>
        <w:spacing w:after="0" w:line="161" w:lineRule="exact"/>
        <w:rPr>
          <w:rFonts w:ascii="Times New Roman" w:cs="Times New Roman" w:eastAsia="Times New Roman" w:hAnsi="Times New Roman"/>
          <w:sz w:val="16"/>
          <w:szCs w:val="16"/>
          <w:color w:val="auto"/>
        </w:rPr>
      </w:pPr>
    </w:p>
    <w:p>
      <w:pPr>
        <w:ind w:left="604" w:hanging="222"/>
        <w:spacing w:after="0"/>
        <w:tabs>
          <w:tab w:leader="none" w:pos="604"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sale or other disposition of cash or Cash Equivalents;</w:t>
      </w:r>
    </w:p>
    <w:p>
      <w:pPr>
        <w:spacing w:after="0" w:line="198" w:lineRule="exact"/>
        <w:rPr>
          <w:rFonts w:ascii="Times New Roman" w:cs="Times New Roman" w:eastAsia="Times New Roman" w:hAnsi="Times New Roman"/>
          <w:sz w:val="16"/>
          <w:szCs w:val="16"/>
          <w:color w:val="auto"/>
        </w:rPr>
      </w:pPr>
    </w:p>
    <w:p>
      <w:pPr>
        <w:ind w:left="604" w:hanging="222"/>
        <w:spacing w:after="0"/>
        <w:tabs>
          <w:tab w:leader="none" w:pos="604"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Restricted Payment that does not violate Section 4.10 of this Indenture or a Permitted Investment;</w:t>
      </w:r>
    </w:p>
    <w:p>
      <w:pPr>
        <w:spacing w:after="0" w:line="198" w:lineRule="exact"/>
        <w:rPr>
          <w:rFonts w:ascii="Times New Roman" w:cs="Times New Roman" w:eastAsia="Times New Roman" w:hAnsi="Times New Roman"/>
          <w:sz w:val="16"/>
          <w:szCs w:val="16"/>
          <w:color w:val="auto"/>
        </w:rPr>
      </w:pPr>
    </w:p>
    <w:p>
      <w:pPr>
        <w:ind w:left="644" w:hanging="262"/>
        <w:spacing w:after="0"/>
        <w:tabs>
          <w:tab w:leader="none" w:pos="644"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sale or disposition deemed to occur in connection with the granting or creating of a Permitted Lien;</w:t>
      </w:r>
    </w:p>
    <w:p>
      <w:pPr>
        <w:spacing w:after="0" w:line="198" w:lineRule="exact"/>
        <w:rPr>
          <w:rFonts w:ascii="Times New Roman" w:cs="Times New Roman" w:eastAsia="Times New Roman" w:hAnsi="Times New Roman"/>
          <w:sz w:val="16"/>
          <w:szCs w:val="16"/>
          <w:color w:val="auto"/>
        </w:rPr>
      </w:pPr>
    </w:p>
    <w:p>
      <w:pPr>
        <w:ind w:left="604" w:hanging="222"/>
        <w:spacing w:after="0"/>
        <w:tabs>
          <w:tab w:leader="none" w:pos="604"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licensing of patents, trademarks, copyrights, and other intellectual property rights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1790700"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214" w:lineRule="exact"/>
        <w:rPr>
          <w:sz w:val="20"/>
          <w:szCs w:val="20"/>
          <w:color w:val="auto"/>
        </w:rPr>
      </w:pPr>
    </w:p>
    <w:p>
      <w:pPr>
        <w:ind w:left="284" w:hanging="284"/>
        <w:spacing w:after="0"/>
        <w:tabs>
          <w:tab w:leader="none" w:pos="284"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NTD: Insert date that is the third anniversary of issuance.</w:t>
      </w:r>
    </w:p>
    <w:p>
      <w:pPr>
        <w:spacing w:after="0" w:line="3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4" w:right="319" w:bottom="1440" w:gutter="0" w:footer="0" w:header="0"/>
        </w:sectPr>
      </w:pPr>
    </w:p>
    <w:bookmarkStart w:id="22" w:name="page23"/>
    <w:bookmarkEnd w:id="22"/>
    <w:p>
      <w:pPr>
        <w:ind w:left="600" w:hanging="222"/>
        <w:spacing w:after="0"/>
        <w:tabs>
          <w:tab w:leader="none" w:pos="6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involuntary loss, damage or destruction of property;</w:t>
      </w:r>
    </w:p>
    <w:p>
      <w:pPr>
        <w:spacing w:after="0" w:line="198" w:lineRule="exact"/>
        <w:rPr>
          <w:rFonts w:ascii="Times New Roman" w:cs="Times New Roman" w:eastAsia="Times New Roman" w:hAnsi="Times New Roman"/>
          <w:sz w:val="16"/>
          <w:szCs w:val="16"/>
          <w:color w:val="auto"/>
        </w:rPr>
      </w:pPr>
    </w:p>
    <w:p>
      <w:pPr>
        <w:ind w:left="680" w:hanging="302"/>
        <w:spacing w:after="0"/>
        <w:tabs>
          <w:tab w:leader="none" w:pos="6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involuntary condemnation, seizure or taking, by exercise of the power of eminent domain or otherwise, or confiscation or requisition of use of property; and</w:t>
      </w:r>
    </w:p>
    <w:p>
      <w:pPr>
        <w:spacing w:after="0" w:line="198" w:lineRule="exact"/>
        <w:rPr>
          <w:rFonts w:ascii="Times New Roman" w:cs="Times New Roman" w:eastAsia="Times New Roman" w:hAnsi="Times New Roman"/>
          <w:sz w:val="16"/>
          <w:szCs w:val="16"/>
          <w:color w:val="auto"/>
        </w:rPr>
      </w:pPr>
    </w:p>
    <w:p>
      <w:pPr>
        <w:ind w:firstLine="378"/>
        <w:spacing w:after="0" w:line="280" w:lineRule="auto"/>
        <w:tabs>
          <w:tab w:leader="none" w:pos="682"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lapse of registered patents, trademarks and other intellectual property of the Company and its Subsidiaries to the extent not economically desirable in the conduct of their business and so long as such lapse does not materially interfere with the business of the Company and its Subsidiaries.</w:t>
      </w:r>
    </w:p>
    <w:p>
      <w:pPr>
        <w:spacing w:after="0" w:line="14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Board of Directors</w:t>
      </w:r>
      <w:r>
        <w:rPr>
          <w:rFonts w:ascii="Times New Roman" w:cs="Times New Roman" w:eastAsia="Times New Roman" w:hAnsi="Times New Roman"/>
          <w:sz w:val="16"/>
          <w:szCs w:val="16"/>
          <w:color w:val="auto"/>
        </w:rPr>
        <w:t>” means the board of directors of the Company or a committee of such board duly authorized to act for it hereunder.</w:t>
      </w:r>
    </w:p>
    <w:p>
      <w:pPr>
        <w:spacing w:after="0" w:line="198" w:lineRule="exact"/>
        <w:rPr>
          <w:sz w:val="20"/>
          <w:szCs w:val="20"/>
          <w:color w:val="auto"/>
        </w:rPr>
      </w:pPr>
    </w:p>
    <w:p>
      <w:pPr>
        <w:jc w:val="both"/>
        <w:ind w:right="20" w:firstLine="382"/>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Board Resolution</w:t>
      </w:r>
      <w:r>
        <w:rPr>
          <w:rFonts w:ascii="Times New Roman" w:cs="Times New Roman" w:eastAsia="Times New Roman" w:hAnsi="Times New Roman"/>
          <w:sz w:val="16"/>
          <w:szCs w:val="16"/>
          <w:color w:val="auto"/>
        </w:rPr>
        <w:t>”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40" w:lineRule="exact"/>
        <w:rPr>
          <w:sz w:val="20"/>
          <w:szCs w:val="20"/>
          <w:color w:val="auto"/>
        </w:rPr>
      </w:pPr>
    </w:p>
    <w:p>
      <w:pPr>
        <w:jc w:val="both"/>
        <w:ind w:firstLine="382"/>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Business Day</w:t>
      </w:r>
      <w:r>
        <w:rPr>
          <w:rFonts w:ascii="Times New Roman" w:cs="Times New Roman" w:eastAsia="Times New Roman" w:hAnsi="Times New Roman"/>
          <w:sz w:val="16"/>
          <w:szCs w:val="16"/>
          <w:color w:val="auto"/>
        </w:rPr>
        <w:t>” means, with respect to any Note, any day other than a Saturday, a Sunday or a day on which the Federal Reserve Bank of New York is authorized or required by law or executive order to close or be closed. However, solely for purposes of Section 18.06, a day on which the applicable place of payment is authorized or required by law or executive order to close or be closed will be deemed not to be a “Business Day.”</w:t>
      </w:r>
    </w:p>
    <w:p>
      <w:pPr>
        <w:spacing w:after="0" w:line="153" w:lineRule="exact"/>
        <w:rPr>
          <w:sz w:val="20"/>
          <w:szCs w:val="20"/>
          <w:color w:val="auto"/>
        </w:rPr>
      </w:pPr>
    </w:p>
    <w:p>
      <w:pPr>
        <w:jc w:val="both"/>
        <w:ind w:right="20" w:firstLine="382"/>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Capital Stock</w:t>
      </w:r>
      <w:r>
        <w:rPr>
          <w:rFonts w:ascii="Times New Roman" w:cs="Times New Roman" w:eastAsia="Times New Roman" w:hAnsi="Times New Roman"/>
          <w:sz w:val="16"/>
          <w:szCs w:val="16"/>
          <w:color w:val="auto"/>
        </w:rPr>
        <w:t>” means, for any entity, any and all shares, interests, rights to purchase, warrants, options, participations or other equivalents of or interests in (however designated) stock issued by that entity, but shall not include any debt securities convertible or exchangeable for any securities otherwise constituting Capital Stock pursuant to this definition until so converted or exchanged.</w:t>
      </w:r>
    </w:p>
    <w:p>
      <w:pPr>
        <w:spacing w:after="0" w:line="153" w:lineRule="exact"/>
        <w:rPr>
          <w:sz w:val="20"/>
          <w:szCs w:val="20"/>
          <w:color w:val="auto"/>
        </w:rPr>
      </w:pPr>
    </w:p>
    <w:p>
      <w:pPr>
        <w:jc w:val="both"/>
        <w:ind w:firstLine="382"/>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Capitalized Lease Obligation</w:t>
      </w:r>
      <w:r>
        <w:rPr>
          <w:rFonts w:ascii="Times New Roman" w:cs="Times New Roman" w:eastAsia="Times New Roman" w:hAnsi="Times New Roman"/>
          <w:sz w:val="16"/>
          <w:szCs w:val="16"/>
          <w:color w:val="auto"/>
        </w:rPr>
        <w:t>” means, as to any Person, the obligations of such Person under a lease that are required to be classified and accounted for as capital lease obligations under GAAP and, for purposes of this definition, the amount of such obligations at any date shall be the capitalized amount of such obligations at such date, determined in accordance with GAAP.</w:t>
      </w:r>
    </w:p>
    <w:p>
      <w:pPr>
        <w:spacing w:after="0" w:line="1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Cash Covenant Reversion Date</w:t>
      </w:r>
      <w:r>
        <w:rPr>
          <w:rFonts w:ascii="Times New Roman" w:cs="Times New Roman" w:eastAsia="Times New Roman" w:hAnsi="Times New Roman"/>
          <w:sz w:val="16"/>
          <w:szCs w:val="16"/>
          <w:color w:val="auto"/>
        </w:rPr>
        <w:t>” shall have the meaning specified in Section 4.19(e).</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Cash Covenant Suspension Date</w:t>
      </w:r>
      <w:r>
        <w:rPr>
          <w:rFonts w:ascii="Times New Roman" w:cs="Times New Roman" w:eastAsia="Times New Roman" w:hAnsi="Times New Roman"/>
          <w:sz w:val="16"/>
          <w:szCs w:val="16"/>
          <w:color w:val="auto"/>
        </w:rPr>
        <w:t>” shall have the meaning specified in Section 4.19(c).</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Cash Covenant Suspension Event</w:t>
      </w:r>
      <w:r>
        <w:rPr>
          <w:rFonts w:ascii="Times New Roman" w:cs="Times New Roman" w:eastAsia="Times New Roman" w:hAnsi="Times New Roman"/>
          <w:sz w:val="16"/>
          <w:szCs w:val="16"/>
          <w:color w:val="auto"/>
        </w:rPr>
        <w:t>” shall have the meaning specified in Section 4.19(c).</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Cash Equivalents</w:t>
      </w:r>
      <w:r>
        <w:rPr>
          <w:rFonts w:ascii="Times New Roman" w:cs="Times New Roman" w:eastAsia="Times New Roman" w:hAnsi="Times New Roman"/>
          <w:sz w:val="16"/>
          <w:szCs w:val="16"/>
          <w:color w:val="auto"/>
        </w:rPr>
        <w:t>” means:</w:t>
      </w:r>
    </w:p>
    <w:p>
      <w:pPr>
        <w:spacing w:after="0" w:line="200" w:lineRule="exact"/>
        <w:rPr>
          <w:sz w:val="20"/>
          <w:szCs w:val="20"/>
          <w:color w:val="auto"/>
        </w:rPr>
      </w:pPr>
    </w:p>
    <w:p>
      <w:pPr>
        <w:ind w:right="20" w:firstLine="378"/>
        <w:spacing w:after="0" w:line="280" w:lineRule="auto"/>
        <w:tabs>
          <w:tab w:leader="none" w:pos="613"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marketable direct obligations issued by, or unconditionally guaranteed by, the United States Government or issued by any agency thereof and backed by the full faith and credit of the United States, in each case maturing within one year from the date of acquisition thereof;</w:t>
      </w:r>
    </w:p>
    <w:p>
      <w:pPr>
        <w:spacing w:after="0" w:line="144" w:lineRule="exact"/>
        <w:rPr>
          <w:rFonts w:ascii="Times New Roman" w:cs="Times New Roman" w:eastAsia="Times New Roman" w:hAnsi="Times New Roman"/>
          <w:sz w:val="16"/>
          <w:szCs w:val="16"/>
          <w:color w:val="auto"/>
        </w:rPr>
      </w:pPr>
    </w:p>
    <w:p>
      <w:pPr>
        <w:jc w:val="both"/>
        <w:ind w:right="20" w:firstLine="378"/>
        <w:spacing w:after="0" w:line="265" w:lineRule="auto"/>
        <w:tabs>
          <w:tab w:leader="none" w:pos="625"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marketable direct obligations issued or fully guaranteed by any state of the United States of America or any political subdivision of any such state or any public instrumentality thereof, maturing within one year from the date of acquisition thereof and, at the time of acquisition, having one of the two highest ratings obtainable from either S&amp;P or Moody’s;</w:t>
      </w:r>
    </w:p>
    <w:p>
      <w:pPr>
        <w:spacing w:after="0" w:line="155" w:lineRule="exact"/>
        <w:rPr>
          <w:rFonts w:ascii="Times New Roman" w:cs="Times New Roman" w:eastAsia="Times New Roman" w:hAnsi="Times New Roman"/>
          <w:sz w:val="16"/>
          <w:szCs w:val="16"/>
          <w:color w:val="auto"/>
        </w:rPr>
      </w:pPr>
    </w:p>
    <w:p>
      <w:pPr>
        <w:ind w:right="20" w:firstLine="378"/>
        <w:spacing w:after="0" w:line="280" w:lineRule="auto"/>
        <w:tabs>
          <w:tab w:leader="none" w:pos="609"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commercial paper maturing no more than 270 days from the date of creation thereof and, at the time of acquisition, having a rating of at least A-2 from S&amp;P or at least P-2 from Moody’s;</w:t>
      </w:r>
    </w:p>
    <w:p>
      <w:pPr>
        <w:spacing w:after="0" w:line="144" w:lineRule="exact"/>
        <w:rPr>
          <w:rFonts w:ascii="Times New Roman" w:cs="Times New Roman" w:eastAsia="Times New Roman" w:hAnsi="Times New Roman"/>
          <w:sz w:val="16"/>
          <w:szCs w:val="16"/>
          <w:color w:val="auto"/>
        </w:rPr>
      </w:pPr>
    </w:p>
    <w:p>
      <w:pPr>
        <w:ind w:right="20" w:firstLine="378"/>
        <w:spacing w:after="0" w:line="280" w:lineRule="auto"/>
        <w:tabs>
          <w:tab w:leader="none" w:pos="613"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any foreign Subsidiary of the Company, such local currencies held by it from time to time in the ordinary course of business and the foreign equivalent of Cash Equivalents described in clause (2) above;</w:t>
      </w:r>
    </w:p>
    <w:p>
      <w:pPr>
        <w:spacing w:after="0" w:line="144" w:lineRule="exact"/>
        <w:rPr>
          <w:rFonts w:ascii="Times New Roman" w:cs="Times New Roman" w:eastAsia="Times New Roman" w:hAnsi="Times New Roman"/>
          <w:sz w:val="16"/>
          <w:szCs w:val="16"/>
          <w:color w:val="auto"/>
        </w:rPr>
      </w:pPr>
    </w:p>
    <w:p>
      <w:pPr>
        <w:jc w:val="both"/>
        <w:ind w:firstLine="378"/>
        <w:spacing w:after="0" w:line="265" w:lineRule="auto"/>
        <w:tabs>
          <w:tab w:leader="none" w:pos="611"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demand or time deposit accounts with commercial banks that satisfy the criteria described in clause (6) below or any other commercial bank organized under the laws of the United States of America, any state thereof, the District of Columbia, Canada or any province or territory thereof; provided that the full amount maintained with any such other bank is insured by the Federal Deposit Insurance Corporation or the Canadian Deposit Insurance Corporation, as applicable;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3" w:name="page24"/>
    <w:bookmarkEnd w:id="23"/>
    <w:p>
      <w:pPr>
        <w:jc w:val="both"/>
        <w:ind w:firstLine="378"/>
        <w:spacing w:after="0" w:line="257" w:lineRule="auto"/>
        <w:tabs>
          <w:tab w:leader="none" w:pos="608"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obligations (including, but not limited to, overnight bank deposits, demand or time deposits, bankers’ acceptances and certificates of deposit) issued or guaranteed by a depository institution or trust company organized under the laws of the United States of America, any state thereof, the District of Columbia, Canada or any province or territory thereof or any United States branch of a foreign bank or any member of the European Union; provided that (A) such instrument has a final maturity not more than one year from the date of purchase thereof by the Company or any Subsidiary of the Company and (B) such depository institution or trust company has at the date of acquisition thereof combined capital and surplus in excess of $500.0 million;</w:t>
      </w:r>
    </w:p>
    <w:p>
      <w:pPr>
        <w:spacing w:after="0" w:line="162" w:lineRule="exact"/>
        <w:rPr>
          <w:rFonts w:ascii="Times New Roman" w:cs="Times New Roman" w:eastAsia="Times New Roman" w:hAnsi="Times New Roman"/>
          <w:sz w:val="16"/>
          <w:szCs w:val="16"/>
          <w:color w:val="auto"/>
        </w:rPr>
      </w:pPr>
    </w:p>
    <w:p>
      <w:pPr>
        <w:ind w:right="20" w:firstLine="378"/>
        <w:spacing w:after="0" w:line="280" w:lineRule="auto"/>
        <w:tabs>
          <w:tab w:leader="none" w:pos="623"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debt securities with maturities of six months or less from the date of acquisition backed by standby letters of credit issued by any commercial bank satisfying the criteria described in clause (6) above;</w:t>
      </w:r>
    </w:p>
    <w:p>
      <w:pPr>
        <w:spacing w:after="0" w:line="144" w:lineRule="exact"/>
        <w:rPr>
          <w:rFonts w:ascii="Times New Roman" w:cs="Times New Roman" w:eastAsia="Times New Roman" w:hAnsi="Times New Roman"/>
          <w:sz w:val="16"/>
          <w:szCs w:val="16"/>
          <w:color w:val="auto"/>
        </w:rPr>
      </w:pPr>
    </w:p>
    <w:p>
      <w:pPr>
        <w:ind w:right="20" w:firstLine="378"/>
        <w:spacing w:after="0" w:line="280" w:lineRule="auto"/>
        <w:tabs>
          <w:tab w:leader="none" w:pos="612"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repurchase obligations with a term of not more than seven days for underlying securities of the types described in clauses (1), (2) and (6) above entered into with any bank meeting the qualifications specified in clause (6) above; and</w:t>
      </w:r>
    </w:p>
    <w:p>
      <w:pPr>
        <w:spacing w:after="0" w:line="144" w:lineRule="exact"/>
        <w:rPr>
          <w:rFonts w:ascii="Times New Roman" w:cs="Times New Roman" w:eastAsia="Times New Roman" w:hAnsi="Times New Roman"/>
          <w:sz w:val="16"/>
          <w:szCs w:val="16"/>
          <w:color w:val="auto"/>
        </w:rPr>
      </w:pPr>
    </w:p>
    <w:p>
      <w:pPr>
        <w:ind w:left="600" w:hanging="222"/>
        <w:spacing w:after="0"/>
        <w:tabs>
          <w:tab w:leader="none" w:pos="60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investments in money market funds which invest substantially all their assets in securities of the types described in clauses (1) through (7) above.</w:t>
      </w:r>
    </w:p>
    <w:p>
      <w:pPr>
        <w:spacing w:after="0" w:line="196" w:lineRule="exact"/>
        <w:rPr>
          <w:sz w:val="20"/>
          <w:szCs w:val="20"/>
          <w:color w:val="auto"/>
        </w:rPr>
      </w:pPr>
    </w:p>
    <w:p>
      <w:pPr>
        <w:jc w:val="both"/>
        <w:ind w:firstLine="382"/>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Cash Interest</w:t>
      </w:r>
      <w:r>
        <w:rPr>
          <w:rFonts w:ascii="Times New Roman" w:cs="Times New Roman" w:eastAsia="Times New Roman" w:hAnsi="Times New Roman"/>
          <w:sz w:val="16"/>
          <w:szCs w:val="16"/>
          <w:color w:val="auto"/>
        </w:rPr>
        <w:t>” means the portion of an installment of interest due on an Interest Payment Date in respect of Notes that is payable in cash, in each case as provided in the Notes.</w:t>
      </w:r>
    </w:p>
    <w:p>
      <w:pPr>
        <w:spacing w:after="0" w:line="14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Cash Settlement</w:t>
      </w:r>
      <w:r>
        <w:rPr>
          <w:rFonts w:ascii="Times New Roman" w:cs="Times New Roman" w:eastAsia="Times New Roman" w:hAnsi="Times New Roman"/>
          <w:sz w:val="16"/>
          <w:szCs w:val="16"/>
          <w:color w:val="auto"/>
        </w:rPr>
        <w:t>” shall have the meaning specified in Section 14.02(a)(i).</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Certificate of Designations</w:t>
      </w:r>
      <w:r>
        <w:rPr>
          <w:rFonts w:ascii="Times New Roman" w:cs="Times New Roman" w:eastAsia="Times New Roman" w:hAnsi="Times New Roman"/>
          <w:sz w:val="16"/>
          <w:szCs w:val="16"/>
          <w:color w:val="auto"/>
        </w:rPr>
        <w:t>” means the certificate of designations of the Company in effect on the date hereof, as amended from time to time.</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Clause A Distribution</w:t>
      </w:r>
      <w:r>
        <w:rPr>
          <w:rFonts w:ascii="Times New Roman" w:cs="Times New Roman" w:eastAsia="Times New Roman" w:hAnsi="Times New Roman"/>
          <w:sz w:val="16"/>
          <w:szCs w:val="16"/>
          <w:color w:val="auto"/>
        </w:rPr>
        <w:t>” shall have the meaning specified in Section 14.04(c).</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Clause B Distribution</w:t>
      </w:r>
      <w:r>
        <w:rPr>
          <w:rFonts w:ascii="Times New Roman" w:cs="Times New Roman" w:eastAsia="Times New Roman" w:hAnsi="Times New Roman"/>
          <w:sz w:val="16"/>
          <w:szCs w:val="16"/>
          <w:color w:val="auto"/>
        </w:rPr>
        <w:t>” shall have the meaning specified in Section 14.04(c).</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Clause C Distribution</w:t>
      </w:r>
      <w:r>
        <w:rPr>
          <w:rFonts w:ascii="Times New Roman" w:cs="Times New Roman" w:eastAsia="Times New Roman" w:hAnsi="Times New Roman"/>
          <w:sz w:val="16"/>
          <w:szCs w:val="16"/>
          <w:color w:val="auto"/>
        </w:rPr>
        <w:t>” shall have the meaning specified in Section 14.04(c).</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close of business</w:t>
      </w:r>
      <w:r>
        <w:rPr>
          <w:rFonts w:ascii="Times New Roman" w:cs="Times New Roman" w:eastAsia="Times New Roman" w:hAnsi="Times New Roman"/>
          <w:sz w:val="16"/>
          <w:szCs w:val="16"/>
          <w:color w:val="auto"/>
        </w:rPr>
        <w:t>” means 5:00 p.m. (New York City time).</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Combination Settlement</w:t>
      </w:r>
      <w:r>
        <w:rPr>
          <w:rFonts w:ascii="Times New Roman" w:cs="Times New Roman" w:eastAsia="Times New Roman" w:hAnsi="Times New Roman"/>
          <w:sz w:val="16"/>
          <w:szCs w:val="16"/>
          <w:color w:val="auto"/>
        </w:rPr>
        <w:t>” shall have the meaning specified in Section 14.02(a)(i).</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Commission</w:t>
      </w:r>
      <w:r>
        <w:rPr>
          <w:rFonts w:ascii="Times New Roman" w:cs="Times New Roman" w:eastAsia="Times New Roman" w:hAnsi="Times New Roman"/>
          <w:sz w:val="16"/>
          <w:szCs w:val="16"/>
          <w:color w:val="auto"/>
        </w:rPr>
        <w:t>” means the U.S. Securities and Exchange Commission.</w:t>
      </w:r>
    </w:p>
    <w:p>
      <w:pPr>
        <w:spacing w:after="0" w:line="198" w:lineRule="exact"/>
        <w:rPr>
          <w:sz w:val="20"/>
          <w:szCs w:val="20"/>
          <w:color w:val="auto"/>
        </w:rPr>
      </w:pPr>
    </w:p>
    <w:p>
      <w:pPr>
        <w:jc w:val="both"/>
        <w:ind w:firstLine="382"/>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Common Equity</w:t>
      </w:r>
      <w:r>
        <w:rPr>
          <w:rFonts w:ascii="Times New Roman" w:cs="Times New Roman" w:eastAsia="Times New Roman" w:hAnsi="Times New Roman"/>
          <w:sz w:val="16"/>
          <w:szCs w:val="16"/>
          <w:color w:val="auto"/>
        </w:rPr>
        <w:t>” of any Person means Capital Stock of such Person that is generally entitled (a) to vote in the election of directors of such Person or (b) if such Person is not a corporation, to vote or otherwise participate in the selection of the governing body, partners, managers or others that will control the management or policies of such Person.</w:t>
      </w:r>
    </w:p>
    <w:p>
      <w:pPr>
        <w:spacing w:after="0" w:line="1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Common Stock</w:t>
      </w:r>
      <w:r>
        <w:rPr>
          <w:rFonts w:ascii="Times New Roman" w:cs="Times New Roman" w:eastAsia="Times New Roman" w:hAnsi="Times New Roman"/>
          <w:sz w:val="16"/>
          <w:szCs w:val="16"/>
          <w:color w:val="auto"/>
        </w:rPr>
        <w:t>” means the voting common stock of the Company, par value $0.0001 per share, at the date of this Indenture, subject to Section 14.07.</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shall have the meaning specified in the first paragraph of this Indenture, and subject to the provisions of Article 11, shall include its successors and assigns.</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Company Order</w:t>
      </w:r>
      <w:r>
        <w:rPr>
          <w:rFonts w:ascii="Times New Roman" w:cs="Times New Roman" w:eastAsia="Times New Roman" w:hAnsi="Times New Roman"/>
          <w:sz w:val="16"/>
          <w:szCs w:val="16"/>
          <w:color w:val="auto"/>
        </w:rPr>
        <w:t>” means a written order of the Company signed by any of its Officers and delivered to the Trustee.</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Conversion Agent</w:t>
      </w:r>
      <w:r>
        <w:rPr>
          <w:rFonts w:ascii="Times New Roman" w:cs="Times New Roman" w:eastAsia="Times New Roman" w:hAnsi="Times New Roman"/>
          <w:sz w:val="16"/>
          <w:szCs w:val="16"/>
          <w:color w:val="auto"/>
        </w:rPr>
        <w:t>” shall have the meaning specified in Section 4.02.</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Conversion Consideration</w:t>
      </w:r>
      <w:r>
        <w:rPr>
          <w:rFonts w:ascii="Times New Roman" w:cs="Times New Roman" w:eastAsia="Times New Roman" w:hAnsi="Times New Roman"/>
          <w:sz w:val="16"/>
          <w:szCs w:val="16"/>
          <w:color w:val="auto"/>
        </w:rPr>
        <w:t>” shall have the meaning specified in Section 14.12(a).</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Conversion Date</w:t>
      </w:r>
      <w:r>
        <w:rPr>
          <w:rFonts w:ascii="Times New Roman" w:cs="Times New Roman" w:eastAsia="Times New Roman" w:hAnsi="Times New Roman"/>
          <w:sz w:val="16"/>
          <w:szCs w:val="16"/>
          <w:color w:val="auto"/>
        </w:rPr>
        <w:t>” shall have the meaning specified in Section 14.02(c).</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Conversion Obligation</w:t>
      </w:r>
      <w:r>
        <w:rPr>
          <w:rFonts w:ascii="Times New Roman" w:cs="Times New Roman" w:eastAsia="Times New Roman" w:hAnsi="Times New Roman"/>
          <w:sz w:val="16"/>
          <w:szCs w:val="16"/>
          <w:color w:val="auto"/>
        </w:rPr>
        <w:t>” shall have the meaning specified in Section 14.01(a).</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Conversion Price</w:t>
      </w:r>
      <w:r>
        <w:rPr>
          <w:rFonts w:ascii="Times New Roman" w:cs="Times New Roman" w:eastAsia="Times New Roman" w:hAnsi="Times New Roman"/>
          <w:sz w:val="16"/>
          <w:szCs w:val="16"/>
          <w:color w:val="auto"/>
        </w:rPr>
        <w:t xml:space="preserve">” means as of any time, $1,000, </w:t>
      </w:r>
      <w:r>
        <w:rPr>
          <w:rFonts w:ascii="Times New Roman" w:cs="Times New Roman" w:eastAsia="Times New Roman" w:hAnsi="Times New Roman"/>
          <w:sz w:val="16"/>
          <w:szCs w:val="16"/>
          <w:i w:val="1"/>
          <w:iCs w:val="1"/>
          <w:color w:val="auto"/>
        </w:rPr>
        <w:t>divided by</w:t>
      </w:r>
      <w:r>
        <w:rPr>
          <w:rFonts w:ascii="Times New Roman" w:cs="Times New Roman" w:eastAsia="Times New Roman" w:hAnsi="Times New Roman"/>
          <w:sz w:val="16"/>
          <w:szCs w:val="16"/>
          <w:color w:val="auto"/>
        </w:rPr>
        <w:t xml:space="preserve"> the Conversion Rate as of such time.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4" w:name="page25"/>
    <w:bookmarkEnd w:id="24"/>
    <w:p>
      <w:pPr>
        <w:ind w:left="38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Conversion Rate</w:t>
      </w:r>
      <w:r>
        <w:rPr>
          <w:rFonts w:ascii="Times New Roman" w:cs="Times New Roman" w:eastAsia="Times New Roman" w:hAnsi="Times New Roman"/>
          <w:sz w:val="16"/>
          <w:szCs w:val="16"/>
          <w:color w:val="auto"/>
        </w:rPr>
        <w:t>” shall have the meaning specified in Section 14.01(a).</w:t>
      </w:r>
    </w:p>
    <w:p>
      <w:pPr>
        <w:spacing w:after="0" w:line="198" w:lineRule="exact"/>
        <w:rPr>
          <w:sz w:val="20"/>
          <w:szCs w:val="20"/>
          <w:color w:val="auto"/>
        </w:rPr>
      </w:pPr>
    </w:p>
    <w:p>
      <w:pPr>
        <w:jc w:val="both"/>
        <w:ind w:left="4" w:right="20" w:firstLine="382"/>
        <w:spacing w:after="0" w:line="23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Corporate Trust Office</w:t>
      </w:r>
      <w:r>
        <w:rPr>
          <w:rFonts w:ascii="Times New Roman" w:cs="Times New Roman" w:eastAsia="Times New Roman" w:hAnsi="Times New Roman"/>
          <w:sz w:val="16"/>
          <w:szCs w:val="16"/>
          <w:color w:val="auto"/>
        </w:rPr>
        <w:t>” means the designated office of the Trustee at which at any time this Indenture shall be administered, which office at the date hereof is located at U.S. Bank National Association, [●]</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6"/>
          <w:szCs w:val="16"/>
          <w:color w:val="auto"/>
        </w:rPr>
        <w:t xml:space="preserve"> Attention: [●], or such other address as the Trustee may designate from time to time by notice to the Holders and the Company, or the designated corporate trust office of any successor trustee (or such other address as such successor trustee may designate from time to time by notice to the Holders and the Company).</w:t>
      </w:r>
    </w:p>
    <w:p>
      <w:pPr>
        <w:spacing w:after="0" w:line="173" w:lineRule="exact"/>
        <w:rPr>
          <w:sz w:val="20"/>
          <w:szCs w:val="20"/>
          <w:color w:val="auto"/>
        </w:rPr>
      </w:pPr>
    </w:p>
    <w:p>
      <w:pPr>
        <w:jc w:val="both"/>
        <w:ind w:left="4" w:firstLine="382"/>
        <w:spacing w:after="0" w:line="25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Credit Facility</w:t>
      </w:r>
      <w:r>
        <w:rPr>
          <w:rFonts w:ascii="Times New Roman" w:cs="Times New Roman" w:eastAsia="Times New Roman" w:hAnsi="Times New Roman"/>
          <w:sz w:val="16"/>
          <w:szCs w:val="16"/>
          <w:color w:val="auto"/>
        </w:rPr>
        <w:t>” means any credit or debt facilities, commercial paper facilities or other debt instruments, indentures or agreements, in each case providing for revolving credit loans, term loans, receivables financings, letters of credit or other Indebtedness, in each case, including all agreements, instruments and documents executed and delivered pursuant to or in connection with any of the foregoing, including but not limited to any notes and letters of credit issued pursuant thereto and any guarantee and collateral agreement, patent and trademark security agreement, mortgages or letter of credit applications and other guarantees, pledge agreements, security agreements and collateral documents, in each case as the same may be amended, supplemented, waived or otherwise modified from time to time, or refunded, refinanced, restructured, replaced, renewed, repaid, increased or extended from time to time (whether in whole or in part, whether with the original banks, lenders or institutions or other banks, lenders or institutions or otherwise, and whether provided under any original Credit Facility or one or more other credit agreements, indentures, financing agreements or other Credit Facilities or otherwise). Without limiting the generality of the foregoing, the term “Credit Facility” shall include any (i) agreement changing the maturity of any Indebtedness incurred thereunder or contemplated thereby, (ii) agreement adding Subsidiaries as additional borrowers or guarantors thereunder, (iii) agreement increasing the amount of Indebtedness incurred thereunder or available to be borrowed thereunder, (iv) Hedging Agreement or other similar agreement or arrangement with respect thereto or (v) agreement otherwise altering the terms and conditions thereof.</w:t>
      </w:r>
    </w:p>
    <w:p>
      <w:pPr>
        <w:spacing w:after="0" w:line="169" w:lineRule="exact"/>
        <w:rPr>
          <w:sz w:val="20"/>
          <w:szCs w:val="20"/>
          <w:color w:val="auto"/>
        </w:rPr>
      </w:pPr>
    </w:p>
    <w:p>
      <w:pPr>
        <w:ind w:left="38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Custodian</w:t>
      </w:r>
      <w:r>
        <w:rPr>
          <w:rFonts w:ascii="Times New Roman" w:cs="Times New Roman" w:eastAsia="Times New Roman" w:hAnsi="Times New Roman"/>
          <w:sz w:val="16"/>
          <w:szCs w:val="16"/>
          <w:color w:val="auto"/>
        </w:rPr>
        <w:t>” means the Trustee, as custodian for The Depository Trust Company, with respect to the Global Notes, or any successor entity thereto.</w:t>
      </w:r>
    </w:p>
    <w:p>
      <w:pPr>
        <w:spacing w:after="0" w:line="204" w:lineRule="exact"/>
        <w:rPr>
          <w:sz w:val="20"/>
          <w:szCs w:val="20"/>
          <w:color w:val="auto"/>
        </w:rPr>
      </w:pPr>
    </w:p>
    <w:p>
      <w:pPr>
        <w:jc w:val="both"/>
        <w:ind w:left="4" w:right="20" w:firstLine="382"/>
        <w:spacing w:after="0" w:line="21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Daily Conversion Value</w:t>
      </w:r>
      <w:r>
        <w:rPr>
          <w:rFonts w:ascii="Times New Roman" w:cs="Times New Roman" w:eastAsia="Times New Roman" w:hAnsi="Times New Roman"/>
          <w:sz w:val="16"/>
          <w:szCs w:val="16"/>
          <w:color w:val="auto"/>
        </w:rPr>
        <w:t>” means, for each of the 30 consecutive Trading Days during the Observation Period, 1/30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of the product of (a) the Conversion Rate on such Trading Day and (b) the Daily VWAP for such Trading Day.</w:t>
      </w:r>
    </w:p>
    <w:p>
      <w:pPr>
        <w:spacing w:after="0" w:line="173" w:lineRule="exact"/>
        <w:rPr>
          <w:sz w:val="20"/>
          <w:szCs w:val="20"/>
          <w:color w:val="auto"/>
        </w:rPr>
      </w:pPr>
    </w:p>
    <w:p>
      <w:pPr>
        <w:ind w:left="38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Daily Measurement Value</w:t>
      </w:r>
      <w:r>
        <w:rPr>
          <w:rFonts w:ascii="Times New Roman" w:cs="Times New Roman" w:eastAsia="Times New Roman" w:hAnsi="Times New Roman"/>
          <w:sz w:val="16"/>
          <w:szCs w:val="16"/>
          <w:color w:val="auto"/>
        </w:rPr>
        <w:t xml:space="preserve">” means the Specified Dollar Amount (if any), </w:t>
      </w:r>
      <w:r>
        <w:rPr>
          <w:rFonts w:ascii="Times New Roman" w:cs="Times New Roman" w:eastAsia="Times New Roman" w:hAnsi="Times New Roman"/>
          <w:sz w:val="16"/>
          <w:szCs w:val="16"/>
          <w:i w:val="1"/>
          <w:iCs w:val="1"/>
          <w:color w:val="auto"/>
        </w:rPr>
        <w:t>divided by</w:t>
      </w:r>
      <w:r>
        <w:rPr>
          <w:rFonts w:ascii="Times New Roman" w:cs="Times New Roman" w:eastAsia="Times New Roman" w:hAnsi="Times New Roman"/>
          <w:sz w:val="16"/>
          <w:szCs w:val="16"/>
          <w:color w:val="auto"/>
        </w:rPr>
        <w:t xml:space="preserve"> 30.</w:t>
      </w:r>
    </w:p>
    <w:p>
      <w:pPr>
        <w:spacing w:after="0" w:line="198" w:lineRule="exact"/>
        <w:rPr>
          <w:sz w:val="20"/>
          <w:szCs w:val="20"/>
          <w:color w:val="auto"/>
        </w:rPr>
      </w:pPr>
    </w:p>
    <w:p>
      <w:pPr>
        <w:ind w:left="38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Daily Settlement Amount</w:t>
      </w:r>
      <w:r>
        <w:rPr>
          <w:rFonts w:ascii="Times New Roman" w:cs="Times New Roman" w:eastAsia="Times New Roman" w:hAnsi="Times New Roman"/>
          <w:sz w:val="16"/>
          <w:szCs w:val="16"/>
          <w:color w:val="auto"/>
        </w:rPr>
        <w:t>,” for each of the 30 consecutive Trading Days during the Observation Period, shall consist of:</w:t>
      </w:r>
    </w:p>
    <w:p>
      <w:pPr>
        <w:spacing w:after="0" w:line="200" w:lineRule="exact"/>
        <w:rPr>
          <w:sz w:val="20"/>
          <w:szCs w:val="20"/>
          <w:color w:val="auto"/>
        </w:rPr>
      </w:pPr>
    </w:p>
    <w:p>
      <w:pPr>
        <w:ind w:left="604" w:hanging="222"/>
        <w:spacing w:after="0"/>
        <w:tabs>
          <w:tab w:leader="none" w:pos="604"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in an amount equal to the lesser of (i) the Daily Measurement Value and (ii) the Daily Conversion Value on such Trading Day; and</w:t>
      </w:r>
    </w:p>
    <w:p>
      <w:pPr>
        <w:spacing w:after="0" w:line="198" w:lineRule="exact"/>
        <w:rPr>
          <w:rFonts w:ascii="Times New Roman" w:cs="Times New Roman" w:eastAsia="Times New Roman" w:hAnsi="Times New Roman"/>
          <w:sz w:val="16"/>
          <w:szCs w:val="16"/>
          <w:color w:val="auto"/>
        </w:rPr>
      </w:pPr>
    </w:p>
    <w:p>
      <w:pPr>
        <w:ind w:left="4" w:right="20" w:firstLine="378"/>
        <w:spacing w:after="0" w:line="280" w:lineRule="auto"/>
        <w:tabs>
          <w:tab w:leader="none" w:pos="612"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Daily Conversion Value on such Trading Day exceeds the Daily Measurement Value, a number of shares of Common Stock equal to (i) the difference between the Daily Conversion Value and the Daily Measurement Value, </w:t>
      </w:r>
      <w:r>
        <w:rPr>
          <w:rFonts w:ascii="Times New Roman" w:cs="Times New Roman" w:eastAsia="Times New Roman" w:hAnsi="Times New Roman"/>
          <w:sz w:val="16"/>
          <w:szCs w:val="16"/>
          <w:i w:val="1"/>
          <w:iCs w:val="1"/>
          <w:color w:val="auto"/>
        </w:rPr>
        <w:t>divided by</w:t>
      </w:r>
      <w:r>
        <w:rPr>
          <w:rFonts w:ascii="Times New Roman" w:cs="Times New Roman" w:eastAsia="Times New Roman" w:hAnsi="Times New Roman"/>
          <w:sz w:val="16"/>
          <w:szCs w:val="16"/>
          <w:color w:val="auto"/>
        </w:rPr>
        <w:t xml:space="preserve"> (ii) the Daily VWAP for such Trading Day.</w:t>
      </w:r>
    </w:p>
    <w:p>
      <w:pPr>
        <w:spacing w:after="0" w:line="142" w:lineRule="exact"/>
        <w:rPr>
          <w:sz w:val="20"/>
          <w:szCs w:val="20"/>
          <w:color w:val="auto"/>
        </w:rPr>
      </w:pPr>
    </w:p>
    <w:p>
      <w:pPr>
        <w:jc w:val="both"/>
        <w:ind w:left="4" w:firstLine="382"/>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Daily VWAP</w:t>
      </w:r>
      <w:r>
        <w:rPr>
          <w:rFonts w:ascii="Times New Roman" w:cs="Times New Roman" w:eastAsia="Times New Roman" w:hAnsi="Times New Roman"/>
          <w:sz w:val="16"/>
          <w:szCs w:val="16"/>
          <w:color w:val="auto"/>
        </w:rPr>
        <w:t>” means, for each of the 30 consecutive Trading Days during the relevant Observation Period, the per share volume-weighted average price as displayed under the heading “Bloomberg VWAP” on Bloomberg page “[●] &lt;equity&gt; AQR” (or its equivalent successor if such page is not available) in respect of the period from the scheduled open of trading until the scheduled close of trading of the primary trading session on such Trading Day (or if such volume-weighted average price is unavailable, the market value of one share of the Common Stock on such Trading Day reasonably determined, using a volume-weighted average method, by a nationally recognized independent investment banking firm retained for this purpose by the Company). The “</w:t>
      </w:r>
      <w:r>
        <w:rPr>
          <w:rFonts w:ascii="Times New Roman" w:cs="Times New Roman" w:eastAsia="Times New Roman" w:hAnsi="Times New Roman"/>
          <w:sz w:val="16"/>
          <w:szCs w:val="16"/>
          <w:b w:val="1"/>
          <w:bCs w:val="1"/>
          <w:color w:val="auto"/>
        </w:rPr>
        <w:t>Daily VWAP</w:t>
      </w:r>
      <w:r>
        <w:rPr>
          <w:rFonts w:ascii="Times New Roman" w:cs="Times New Roman" w:eastAsia="Times New Roman" w:hAnsi="Times New Roman"/>
          <w:sz w:val="16"/>
          <w:szCs w:val="16"/>
          <w:color w:val="auto"/>
        </w:rPr>
        <w:t>” shall be determined without regard to after-hours trading or any other trading outside of the regular trading session trading hours.</w:t>
      </w:r>
    </w:p>
    <w:p>
      <w:pPr>
        <w:spacing w:after="0" w:line="161" w:lineRule="exact"/>
        <w:rPr>
          <w:sz w:val="20"/>
          <w:szCs w:val="20"/>
          <w:color w:val="auto"/>
        </w:rPr>
      </w:pPr>
    </w:p>
    <w:p>
      <w:pPr>
        <w:ind w:left="38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Default</w:t>
      </w:r>
      <w:r>
        <w:rPr>
          <w:rFonts w:ascii="Times New Roman" w:cs="Times New Roman" w:eastAsia="Times New Roman" w:hAnsi="Times New Roman"/>
          <w:sz w:val="16"/>
          <w:szCs w:val="16"/>
          <w:color w:val="auto"/>
        </w:rPr>
        <w:t>” means any event that is, or after notice or passage of time, or both, would be, an Event of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137795</wp:posOffset>
            </wp:positionV>
            <wp:extent cx="1790700"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216" w:lineRule="exact"/>
        <w:rPr>
          <w:sz w:val="20"/>
          <w:szCs w:val="20"/>
          <w:color w:val="auto"/>
        </w:rPr>
      </w:pPr>
    </w:p>
    <w:p>
      <w:pPr>
        <w:ind w:left="284" w:hanging="284"/>
        <w:spacing w:after="0"/>
        <w:tabs>
          <w:tab w:leader="none" w:pos="284"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NTD: Trustee to provide.</w:t>
      </w:r>
    </w:p>
    <w:p>
      <w:pPr>
        <w:spacing w:after="0" w:line="3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4" w:right="319" w:bottom="1440" w:gutter="0" w:footer="0" w:header="0"/>
        </w:sectPr>
      </w:pPr>
    </w:p>
    <w:bookmarkStart w:id="25" w:name="page26"/>
    <w:bookmarkEnd w:id="25"/>
    <w:p>
      <w:pPr>
        <w:jc w:val="both"/>
        <w:ind w:firstLine="382"/>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Defaulted Amounts</w:t>
      </w:r>
      <w:r>
        <w:rPr>
          <w:rFonts w:ascii="Times New Roman" w:cs="Times New Roman" w:eastAsia="Times New Roman" w:hAnsi="Times New Roman"/>
          <w:sz w:val="16"/>
          <w:szCs w:val="16"/>
          <w:color w:val="auto"/>
        </w:rPr>
        <w:t>” means any amounts on any Note (including, without limitation, the Redemption Price, the Fundamental Change Repurchase Price, principal and interest) that are payable but are not punctually paid or duly provided for.</w:t>
      </w:r>
    </w:p>
    <w:p>
      <w:pPr>
        <w:spacing w:after="0" w:line="140" w:lineRule="exact"/>
        <w:rPr>
          <w:sz w:val="20"/>
          <w:szCs w:val="20"/>
          <w:color w:val="auto"/>
        </w:rPr>
      </w:pPr>
    </w:p>
    <w:p>
      <w:pPr>
        <w:jc w:val="both"/>
        <w:ind w:firstLine="382"/>
        <w:spacing w:after="0" w:line="25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Default Settlement Method</w:t>
      </w:r>
      <w:r>
        <w:rPr>
          <w:rFonts w:ascii="Times New Roman" w:cs="Times New Roman" w:eastAsia="Times New Roman" w:hAnsi="Times New Roman"/>
          <w:sz w:val="16"/>
          <w:szCs w:val="16"/>
          <w:color w:val="auto"/>
        </w:rPr>
        <w:t xml:space="preserve">” means, initially, Combination Settlement with a Specified Dollar Amount of $1,000 per $1,000 principal amount of Notes;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xml:space="preserve">, the Company may, from time to time, change the Default Settlement Method by sending written notice of the new Default Settlement Method to the Holders, the Trustee and the Conversion Agent (if other than the Trustee); and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further</w:t>
      </w:r>
      <w:r>
        <w:rPr>
          <w:rFonts w:ascii="Times New Roman" w:cs="Times New Roman" w:eastAsia="Times New Roman" w:hAnsi="Times New Roman"/>
          <w:sz w:val="16"/>
          <w:szCs w:val="16"/>
          <w:color w:val="auto"/>
        </w:rPr>
        <w:t xml:space="preserve"> that the Company may, by notice to all Holders, the Trustee and the Conversion Agent (if other than the Trustee), irrevocably fix the Settlement Method (to any Settlement Method that it is then permitted to elect), that will apply to all Note conversions with a Conversion Date that is on or after the date the Company sends such notice. Notwithstanding the foregoing, no such change in the Default Settlement Method or irrevocable election will affect any Settlement Method theretofore elected (or deemed to be elected) with respect to any Note pursuant to </w:t>
      </w:r>
      <w:r>
        <w:rPr>
          <w:rFonts w:ascii="Times New Roman" w:cs="Times New Roman" w:eastAsia="Times New Roman" w:hAnsi="Times New Roman"/>
          <w:sz w:val="16"/>
          <w:szCs w:val="16"/>
          <w:u w:val="single" w:color="auto"/>
          <w:color w:val="auto"/>
        </w:rPr>
        <w:t>Section 14.02</w:t>
      </w:r>
      <w:r>
        <w:rPr>
          <w:rFonts w:ascii="Times New Roman" w:cs="Times New Roman" w:eastAsia="Times New Roman" w:hAnsi="Times New Roman"/>
          <w:sz w:val="16"/>
          <w:szCs w:val="16"/>
          <w:color w:val="auto"/>
        </w:rPr>
        <w:t xml:space="preserve">. Concurrently with sending written notice to all Holders, the Trustee and the Conversion Agent (if other than the Trustee) of a change in the Default Settlement Method or an election to irrevocably fix the Settlement Method, the Company shall promptly issue a report on Form 8-K or press release, which the Company shall post on its website, announcing that it has made such change to the Default Settlement Method or elected to irrevocably fix the Settlement Method, as the case may be. For the avoidance of doubt, such an irrevocable election, if made, will be effective without the need to amend this Indenture or the Notes, including pursuant to </w:t>
      </w:r>
      <w:r>
        <w:rPr>
          <w:rFonts w:ascii="Times New Roman" w:cs="Times New Roman" w:eastAsia="Times New Roman" w:hAnsi="Times New Roman"/>
          <w:sz w:val="16"/>
          <w:szCs w:val="16"/>
          <w:u w:val="single" w:color="auto"/>
          <w:color w:val="auto"/>
        </w:rPr>
        <w:t>Section 10.01(i)</w:t>
      </w:r>
      <w:r>
        <w:rPr>
          <w:rFonts w:ascii="Times New Roman" w:cs="Times New Roman" w:eastAsia="Times New Roman" w:hAnsi="Times New Roman"/>
          <w:sz w:val="16"/>
          <w:szCs w:val="16"/>
          <w:color w:val="auto"/>
        </w:rPr>
        <w:t>. However, the Company may nonetheless choose to execute such an amendment at its option.</w:t>
      </w:r>
    </w:p>
    <w:p>
      <w:pPr>
        <w:spacing w:after="0" w:line="169" w:lineRule="exact"/>
        <w:rPr>
          <w:sz w:val="20"/>
          <w:szCs w:val="20"/>
          <w:color w:val="auto"/>
        </w:rPr>
      </w:pPr>
    </w:p>
    <w:p>
      <w:pPr>
        <w:jc w:val="both"/>
        <w:ind w:right="20" w:firstLine="382"/>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Depositary</w:t>
      </w:r>
      <w:r>
        <w:rPr>
          <w:rFonts w:ascii="Times New Roman" w:cs="Times New Roman" w:eastAsia="Times New Roman" w:hAnsi="Times New Roman"/>
          <w:sz w:val="16"/>
          <w:szCs w:val="16"/>
          <w:color w:val="auto"/>
        </w:rPr>
        <w:t>” means, with respect to each Global Note, the Person specified in Section 2.05(c) as the Depositary with respect to such Notes, until a successor shall have been appointed and become such pursuant to the applicable provisions of this Indenture, and thereafter, “</w:t>
      </w:r>
      <w:r>
        <w:rPr>
          <w:rFonts w:ascii="Times New Roman" w:cs="Times New Roman" w:eastAsia="Times New Roman" w:hAnsi="Times New Roman"/>
          <w:sz w:val="16"/>
          <w:szCs w:val="16"/>
          <w:b w:val="1"/>
          <w:bCs w:val="1"/>
          <w:color w:val="auto"/>
        </w:rPr>
        <w:t>Depositary</w:t>
      </w:r>
      <w:r>
        <w:rPr>
          <w:rFonts w:ascii="Times New Roman" w:cs="Times New Roman" w:eastAsia="Times New Roman" w:hAnsi="Times New Roman"/>
          <w:sz w:val="16"/>
          <w:szCs w:val="16"/>
          <w:color w:val="auto"/>
        </w:rPr>
        <w:t>” shall mean or include such successor.</w:t>
      </w:r>
    </w:p>
    <w:p>
      <w:pPr>
        <w:spacing w:after="0" w:line="14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Designated Financial Institution</w:t>
      </w:r>
      <w:r>
        <w:rPr>
          <w:rFonts w:ascii="Times New Roman" w:cs="Times New Roman" w:eastAsia="Times New Roman" w:hAnsi="Times New Roman"/>
          <w:sz w:val="16"/>
          <w:szCs w:val="16"/>
          <w:color w:val="auto"/>
        </w:rPr>
        <w:t>” shall have the meaning specified in Section 14.12(a).</w:t>
      </w:r>
    </w:p>
    <w:p>
      <w:pPr>
        <w:spacing w:after="0" w:line="198" w:lineRule="exact"/>
        <w:rPr>
          <w:sz w:val="20"/>
          <w:szCs w:val="20"/>
          <w:color w:val="auto"/>
        </w:rPr>
      </w:pPr>
    </w:p>
    <w:p>
      <w:pPr>
        <w:jc w:val="both"/>
        <w:ind w:firstLine="382"/>
        <w:spacing w:after="0" w:line="25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Disqualified Capital Stock</w:t>
      </w:r>
      <w:r>
        <w:rPr>
          <w:rFonts w:ascii="Times New Roman" w:cs="Times New Roman" w:eastAsia="Times New Roman" w:hAnsi="Times New Roman"/>
          <w:sz w:val="16"/>
          <w:szCs w:val="16"/>
          <w:color w:val="auto"/>
        </w:rPr>
        <w:t xml:space="preserve">” means that portion of any Capital Stock which, by its terms (or by the terms of any security into which it is convertible or for which it is exchangeable at the option of the holder thereof) or upon the happening of any event, matures or is mandatorily redeemable (other than solely for Capital Stock in such Person that does not constitute Disqualified Capital Stock and cash in lieu of fractional shares of such Capital Stock), pursuant to a sinking fund obligation or otherwise, or is redeemable (other than solely for Capital Stock in such Person that does not constitute Disqualified Capital Stock and cash in lieu of fractional shares of such Capital Stock) at the sole option of the holder thereof, on or prior to the final maturity date of the Notes;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the Capital Stock in any Person is issued pursuant to any plan for the benefit of employees of the Company or any Subsidiary or by any such plan to such employees, such Capital Stock shall not constitute Disqualified Capital Stock solely because it may be required to be repurchased by the Company or any Subsidiary in order to satisfy applicable statutory or regulatory obligations of such Person.</w:t>
      </w:r>
    </w:p>
    <w:p>
      <w:pPr>
        <w:spacing w:after="0" w:line="1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Distributed Property</w:t>
      </w:r>
      <w:r>
        <w:rPr>
          <w:rFonts w:ascii="Times New Roman" w:cs="Times New Roman" w:eastAsia="Times New Roman" w:hAnsi="Times New Roman"/>
          <w:sz w:val="16"/>
          <w:szCs w:val="16"/>
          <w:color w:val="auto"/>
        </w:rPr>
        <w:t>” shall have the meaning specified in Section 14.04(c).</w:t>
      </w:r>
    </w:p>
    <w:p>
      <w:pPr>
        <w:spacing w:after="0" w:line="198" w:lineRule="exact"/>
        <w:rPr>
          <w:sz w:val="20"/>
          <w:szCs w:val="20"/>
          <w:color w:val="auto"/>
        </w:rPr>
      </w:pPr>
    </w:p>
    <w:p>
      <w:pPr>
        <w:jc w:val="both"/>
        <w:ind w:right="20" w:firstLine="382"/>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Domestic Subsidiary</w:t>
      </w:r>
      <w:r>
        <w:rPr>
          <w:rFonts w:ascii="Times New Roman" w:cs="Times New Roman" w:eastAsia="Times New Roman" w:hAnsi="Times New Roman"/>
          <w:sz w:val="16"/>
          <w:szCs w:val="16"/>
          <w:color w:val="auto"/>
        </w:rPr>
        <w:t>” means any Subsidiary of the Company that is organized under the laws of the United States of America or any state thereof or the District of Columbia and any Subsidiary of such Domestic Subsidiary (including, for the avoidance of doubt, any Subsidiary of the Company which is organized and existing under the laws of Puerto Rico or any other territory of the United States of America).</w:t>
      </w:r>
    </w:p>
    <w:p>
      <w:pPr>
        <w:spacing w:after="0" w:line="1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EBITDA</w:t>
      </w:r>
      <w:r>
        <w:rPr>
          <w:rFonts w:ascii="Times New Roman" w:cs="Times New Roman" w:eastAsia="Times New Roman" w:hAnsi="Times New Roman"/>
          <w:sz w:val="16"/>
          <w:szCs w:val="16"/>
          <w:color w:val="auto"/>
        </w:rPr>
        <w:t>” means earnings before interest, taxes, depreciation and amortization.</w:t>
      </w:r>
    </w:p>
    <w:p>
      <w:pPr>
        <w:spacing w:after="0" w:line="198" w:lineRule="exact"/>
        <w:rPr>
          <w:sz w:val="20"/>
          <w:szCs w:val="20"/>
          <w:color w:val="auto"/>
        </w:rPr>
      </w:pPr>
    </w:p>
    <w:p>
      <w:pPr>
        <w:jc w:val="both"/>
        <w:ind w:right="20" w:firstLine="382"/>
        <w:spacing w:after="0" w:line="26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Effective Date</w:t>
      </w:r>
      <w:r>
        <w:rPr>
          <w:rFonts w:ascii="Times New Roman" w:cs="Times New Roman" w:eastAsia="Times New Roman" w:hAnsi="Times New Roman"/>
          <w:sz w:val="16"/>
          <w:szCs w:val="16"/>
          <w:color w:val="auto"/>
        </w:rPr>
        <w:t>” shall have the meaning specified in Section 14.03(c), except that, as used in Section 14.04 and Section 14.05, “</w:t>
      </w:r>
      <w:r>
        <w:rPr>
          <w:rFonts w:ascii="Times New Roman" w:cs="Times New Roman" w:eastAsia="Times New Roman" w:hAnsi="Times New Roman"/>
          <w:sz w:val="16"/>
          <w:szCs w:val="16"/>
          <w:b w:val="1"/>
          <w:bCs w:val="1"/>
          <w:color w:val="auto"/>
        </w:rPr>
        <w:t>Effective Date</w:t>
      </w:r>
      <w:r>
        <w:rPr>
          <w:rFonts w:ascii="Times New Roman" w:cs="Times New Roman" w:eastAsia="Times New Roman" w:hAnsi="Times New Roman"/>
          <w:sz w:val="16"/>
          <w:szCs w:val="16"/>
          <w:color w:val="auto"/>
        </w:rPr>
        <w:t>” means the first date on which shares of the Common Stock trade on the applicable exchange or in the applicable market, regular way, reflecting the relevant share split or share combination, as applicable. For the avoidance of doubt, any alternative trading convention on the applicable exchange or market in respect of shares of Common Stock under a separate ticker symbol or CUSIP number will not be considered “regular way” for this purpose.</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Eligible Market</w:t>
      </w:r>
      <w:r>
        <w:rPr>
          <w:rFonts w:ascii="Times New Roman" w:cs="Times New Roman" w:eastAsia="Times New Roman" w:hAnsi="Times New Roman"/>
          <w:sz w:val="16"/>
          <w:szCs w:val="16"/>
          <w:color w:val="auto"/>
        </w:rPr>
        <w:t>” means The New York Stock Exchange or The Nasdaq Stock Market.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26" w:name="page27"/>
    <w:bookmarkEnd w:id="26"/>
    <w:p>
      <w:pPr>
        <w:jc w:val="both"/>
        <w:ind w:firstLine="382"/>
        <w:spacing w:after="0" w:line="25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Equity Conditions</w:t>
      </w:r>
      <w:r>
        <w:rPr>
          <w:rFonts w:ascii="Times New Roman" w:cs="Times New Roman" w:eastAsia="Times New Roman" w:hAnsi="Times New Roman"/>
          <w:sz w:val="16"/>
          <w:szCs w:val="16"/>
          <w:color w:val="auto"/>
        </w:rPr>
        <w:t>” means, with respect to a given date of determination: (i) on each day during the period beginning 30 days prior to such applicable date of determination and ending on and including such applicable date of determination (the “</w:t>
      </w:r>
      <w:r>
        <w:rPr>
          <w:rFonts w:ascii="Times New Roman" w:cs="Times New Roman" w:eastAsia="Times New Roman" w:hAnsi="Times New Roman"/>
          <w:sz w:val="16"/>
          <w:szCs w:val="16"/>
          <w:b w:val="1"/>
          <w:bCs w:val="1"/>
          <w:color w:val="auto"/>
        </w:rPr>
        <w:t>Equity Conditions Measuring Period</w:t>
      </w:r>
      <w:r>
        <w:rPr>
          <w:rFonts w:ascii="Times New Roman" w:cs="Times New Roman" w:eastAsia="Times New Roman" w:hAnsi="Times New Roman"/>
          <w:sz w:val="16"/>
          <w:szCs w:val="16"/>
          <w:color w:val="auto"/>
        </w:rPr>
        <w:t>”) either (x) one or more registration statements filed with the Commission shall be effective and the prospectus contained therein shall be available on such applicable date of determination (with, for the avoidance of doubt, any shares of Common Stock previously sold pursuant to such prospectus deemed unavailable) for the resale of all shares of Common Stock to be issued in connection with the event requiring this determination (without regard to any limitations on conversion set forth herein) (a “</w:t>
      </w:r>
      <w:r>
        <w:rPr>
          <w:rFonts w:ascii="Times New Roman" w:cs="Times New Roman" w:eastAsia="Times New Roman" w:hAnsi="Times New Roman"/>
          <w:sz w:val="16"/>
          <w:szCs w:val="16"/>
          <w:b w:val="1"/>
          <w:bCs w:val="1"/>
          <w:color w:val="auto"/>
        </w:rPr>
        <w:t>Required Minimum Securities Amount</w:t>
      </w:r>
      <w:r>
        <w:rPr>
          <w:rFonts w:ascii="Times New Roman" w:cs="Times New Roman" w:eastAsia="Times New Roman" w:hAnsi="Times New Roman"/>
          <w:sz w:val="16"/>
          <w:szCs w:val="16"/>
          <w:color w:val="auto"/>
        </w:rPr>
        <w:t xml:space="preserve">”) or (y) all shares of Common Stock issuable upon conversion of the applicable Notes shall be eligible for sale pursuant to Rule 144 of the Securities Act, and the Company is then current with its required filings with the Commission; (ii) on each day during the Equity Conditions Measuring Period, the Common Stock (including all shares of Common Stock issued or issuable upon conversion of the Notes) is listed or designated for quotation (as applicable) on an Eligible Market and shall not have been suspended from trading on an Eligible Market (other than suspensions of not more than two days and occurring prior to the applicable date of determination due to business announcements by the Company) nor shall delisting or suspension by an Eligible Market have been threatened (with a reasonable prospect of delisting occurring after giving effect to all applicable notice, appeal, compliance and hearing periods) or reasonably likely to occur or pending as evidenced by (A) a writing by such Eligible Market or (B) the Company falling below the minimum listing maintenance requirements of the Eligible Market on which the Common Stock is then listed or designated for quotation, as applicable; (iii) during the Equity Conditions Measuring Period, the Company shall have delivered all shares of Common Stock issuable upon conversion of the Notes on a timely basis in accordance herewith and to the extent required hereby and to the extent required by any other Transaction Document; (iv) any shares of Common Stock to be issued in connection with the event requiring determination (or issuable upon conversion of the portion of the Notes being redeemed in the event requiring this determination (without regards to any limitations on conversion set forth herein)) may be issued in full without violating the rules or regulations of the Eligible Market on which the Common Stock is then listed or designated for quotation (as applicable); (v) on each day during the Equity Conditions Measuring Period, no public announcement of a pending, proposed or intended Fundamental Change shall have occurred which has not been abandoned, terminated or consummated; (vi) the Company shall have no knowledge of any fact that would reasonably be expected to cause (1) any registration statement filed with the Commission to not be effective or the prospectus contained therein to not be available, in each case, for the resale of the applicable Required Minimum Securities Amount of all shares of Common Stock issuable upon conversion of the applicable Notes in accordance with the terms of the Subscription Agreement or (2) any shares of Common Stock issuable upon conversion of the applicable Notes to not be eligible for sale pursuant to Rule 144, (vii) on each Trading Day during the Equity Conditions Measuring Period there shall not have occurred any Volume Failure as of such applicable date of determination; (viii) on the applicable date of determination all shares of Common Stock to be issued in connection with the event requiring this determination (or issuable upon conversion of the portion of this Note being redeemed in the event requiring this determination (without regards to any limitations on conversion set forth herein)) may be issued in full from the authorized and available shares of Common Stock of the Company; (ix) on each day during the Equity Conditions Measuring Period, there shall not have occurred and there shall not exist an Event of Default or an event that with the passage of time or giving of notice would constitute an Event of Default; (x) the shares of Common Stock issuable pursuant to the event requiring the satisfaction of the Equity Conditions are duly authorized and will be listed and eligible upon issuance for trading on an Eligible Market; (xi) no Holder shall be in possession of any material, non-public information provided to any of them by the Company, any of its Subsidiaries or any of their respective affiliates, employees, officers, representatives, agents or the like;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however that the foregoing shall not apply to information provided to any individual serving as a member of the board of directors or as a board observer in the course of such individual’s status as a director or board observer; or (xii) the Company shall not have failed to make any payment due pursuant to any Transaction Document which failure remains incurred as of the Mandatory Conversion Date.</w:t>
      </w:r>
    </w:p>
    <w:p>
      <w:pPr>
        <w:spacing w:after="0" w:line="177" w:lineRule="exact"/>
        <w:rPr>
          <w:sz w:val="20"/>
          <w:szCs w:val="20"/>
          <w:color w:val="auto"/>
        </w:rPr>
      </w:pPr>
    </w:p>
    <w:p>
      <w:pPr>
        <w:jc w:val="both"/>
        <w:ind w:right="20" w:firstLine="382"/>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Equity Conditions Failure</w:t>
      </w:r>
      <w:r>
        <w:rPr>
          <w:rFonts w:ascii="Times New Roman" w:cs="Times New Roman" w:eastAsia="Times New Roman" w:hAnsi="Times New Roman"/>
          <w:sz w:val="16"/>
          <w:szCs w:val="16"/>
          <w:color w:val="auto"/>
        </w:rPr>
        <w:t>” means, with respect to any date of determination, the Equity Conditions have not been satisfied (or waived in writing by the applicable Holder).</w:t>
      </w:r>
    </w:p>
    <w:p>
      <w:pPr>
        <w:spacing w:after="0" w:line="14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Equity Conditions Measuring Period</w:t>
      </w:r>
      <w:r>
        <w:rPr>
          <w:rFonts w:ascii="Times New Roman" w:cs="Times New Roman" w:eastAsia="Times New Roman" w:hAnsi="Times New Roman"/>
          <w:sz w:val="16"/>
          <w:szCs w:val="16"/>
          <w:color w:val="auto"/>
        </w:rPr>
        <w:t>” shall have the meaning specified in the definition of “</w:t>
      </w:r>
      <w:r>
        <w:rPr>
          <w:rFonts w:ascii="Times New Roman" w:cs="Times New Roman" w:eastAsia="Times New Roman" w:hAnsi="Times New Roman"/>
          <w:sz w:val="16"/>
          <w:szCs w:val="16"/>
          <w:b w:val="1"/>
          <w:bCs w:val="1"/>
          <w:color w:val="auto"/>
        </w:rPr>
        <w:t>Equity Conditions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right="20" w:firstLine="382"/>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Equity Interests</w:t>
      </w:r>
      <w:r>
        <w:rPr>
          <w:rFonts w:ascii="Times New Roman" w:cs="Times New Roman" w:eastAsia="Times New Roman" w:hAnsi="Times New Roman"/>
          <w:sz w:val="16"/>
          <w:szCs w:val="16"/>
          <w:color w:val="auto"/>
        </w:rPr>
        <w:t>” means Capital Stock and all warrants, options or other rights to acquire Capital Stock (but excluding any debt security that is convertible into, or exchangeable for Capital Stock).</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27" w:name="page28"/>
    <w:bookmarkEnd w:id="27"/>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Event of Default</w:t>
      </w:r>
      <w:r>
        <w:rPr>
          <w:rFonts w:ascii="Times New Roman" w:cs="Times New Roman" w:eastAsia="Times New Roman" w:hAnsi="Times New Roman"/>
          <w:sz w:val="16"/>
          <w:szCs w:val="16"/>
          <w:color w:val="auto"/>
        </w:rPr>
        <w:t>” shall have the meaning specified in Section 6.01.</w:t>
      </w:r>
    </w:p>
    <w:p>
      <w:pPr>
        <w:spacing w:after="0" w:line="198" w:lineRule="exact"/>
        <w:rPr>
          <w:sz w:val="20"/>
          <w:szCs w:val="20"/>
          <w:color w:val="auto"/>
        </w:rPr>
      </w:pPr>
    </w:p>
    <w:p>
      <w:pPr>
        <w:jc w:val="both"/>
        <w:ind w:firstLine="382"/>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Ex-Dividend Date</w:t>
      </w:r>
      <w:r>
        <w:rPr>
          <w:rFonts w:ascii="Times New Roman" w:cs="Times New Roman" w:eastAsia="Times New Roman" w:hAnsi="Times New Roman"/>
          <w:sz w:val="16"/>
          <w:szCs w:val="16"/>
          <w:color w:val="auto"/>
        </w:rPr>
        <w:t>” means the first date on which shares of the Common Stock trade on the applicable exchange or in the applicable market, regular way, without the right to receive the issuance, dividend or distribution in question, from the Company or, if applicable, from the seller of Common Stock on such exchange or market (in the form of due bills or otherwise) as determined by such exchange or market.</w:t>
      </w:r>
    </w:p>
    <w:p>
      <w:pPr>
        <w:spacing w:after="0" w:line="1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Exchange Act</w:t>
      </w:r>
      <w:r>
        <w:rPr>
          <w:rFonts w:ascii="Times New Roman" w:cs="Times New Roman" w:eastAsia="Times New Roman" w:hAnsi="Times New Roman"/>
          <w:sz w:val="16"/>
          <w:szCs w:val="16"/>
          <w:color w:val="auto"/>
        </w:rPr>
        <w:t>” means the Securities Exchange Act of 1934, as amended, and the rules and regulations promulgated thereunder.</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Exchange Election</w:t>
      </w:r>
      <w:r>
        <w:rPr>
          <w:rFonts w:ascii="Times New Roman" w:cs="Times New Roman" w:eastAsia="Times New Roman" w:hAnsi="Times New Roman"/>
          <w:sz w:val="16"/>
          <w:szCs w:val="16"/>
          <w:color w:val="auto"/>
        </w:rPr>
        <w:t>” shall have the meaning specified in Section 14.12(a).</w:t>
      </w:r>
    </w:p>
    <w:p>
      <w:pPr>
        <w:spacing w:after="0" w:line="198" w:lineRule="exact"/>
        <w:rPr>
          <w:sz w:val="20"/>
          <w:szCs w:val="20"/>
          <w:color w:val="auto"/>
        </w:rPr>
      </w:pPr>
    </w:p>
    <w:p>
      <w:pPr>
        <w:jc w:val="both"/>
        <w:ind w:firstLine="382"/>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Fair Market Value</w:t>
      </w:r>
      <w:r>
        <w:rPr>
          <w:rFonts w:ascii="Times New Roman" w:cs="Times New Roman" w:eastAsia="Times New Roman" w:hAnsi="Times New Roman"/>
          <w:sz w:val="16"/>
          <w:szCs w:val="16"/>
          <w:color w:val="auto"/>
        </w:rPr>
        <w:t xml:space="preserve">” value of such asset or liability as determined by senior management in good faith;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except as otherwise provided in this Indenture, if the fair market value exceeds $1.0 million, such determination shall be made by the Board of Directors of the Company or an authorized committee thereof in good faith (including as to the value of all non-cash assets and liabilities).</w:t>
      </w:r>
    </w:p>
    <w:p>
      <w:pPr>
        <w:spacing w:after="0" w:line="1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Form of Assignment and Transfer</w:t>
      </w:r>
      <w:r>
        <w:rPr>
          <w:rFonts w:ascii="Times New Roman" w:cs="Times New Roman" w:eastAsia="Times New Roman" w:hAnsi="Times New Roman"/>
          <w:sz w:val="16"/>
          <w:szCs w:val="16"/>
          <w:color w:val="auto"/>
        </w:rPr>
        <w:t>” means the “Form of Assignment and Transfer” attached as Attachment 3 to the Form of Note attached hereto as Exhibit A.</w:t>
      </w:r>
    </w:p>
    <w:p>
      <w:pPr>
        <w:spacing w:after="0" w:line="198" w:lineRule="exact"/>
        <w:rPr>
          <w:sz w:val="20"/>
          <w:szCs w:val="20"/>
          <w:color w:val="auto"/>
        </w:rPr>
      </w:pPr>
    </w:p>
    <w:p>
      <w:pPr>
        <w:jc w:val="both"/>
        <w:ind w:firstLine="382"/>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Form of Fundamental Change Repurchase Notice</w:t>
      </w:r>
      <w:r>
        <w:rPr>
          <w:rFonts w:ascii="Times New Roman" w:cs="Times New Roman" w:eastAsia="Times New Roman" w:hAnsi="Times New Roman"/>
          <w:sz w:val="16"/>
          <w:szCs w:val="16"/>
          <w:color w:val="auto"/>
        </w:rPr>
        <w:t>” means the “Form of Fundamental Change Repurchase Notice” attached as Attachment 2 to the Form of Note attached hereto as Exhibit A.</w:t>
      </w:r>
    </w:p>
    <w:p>
      <w:pPr>
        <w:spacing w:after="0" w:line="14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Form of Note</w:t>
      </w:r>
      <w:r>
        <w:rPr>
          <w:rFonts w:ascii="Times New Roman" w:cs="Times New Roman" w:eastAsia="Times New Roman" w:hAnsi="Times New Roman"/>
          <w:sz w:val="16"/>
          <w:szCs w:val="16"/>
          <w:color w:val="auto"/>
        </w:rPr>
        <w:t>” means the “Form of Note” attached hereto as Exhibit A.</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Form of Notice of Conversion</w:t>
      </w:r>
      <w:r>
        <w:rPr>
          <w:rFonts w:ascii="Times New Roman" w:cs="Times New Roman" w:eastAsia="Times New Roman" w:hAnsi="Times New Roman"/>
          <w:sz w:val="16"/>
          <w:szCs w:val="16"/>
          <w:color w:val="auto"/>
        </w:rPr>
        <w:t>” means the “Form of Notice of Conversion” attached as Attachment 1 to the Form of Note attached hereto as Exhibit A.</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Fundamental Change</w:t>
      </w:r>
      <w:r>
        <w:rPr>
          <w:rFonts w:ascii="Times New Roman" w:cs="Times New Roman" w:eastAsia="Times New Roman" w:hAnsi="Times New Roman"/>
          <w:sz w:val="16"/>
          <w:szCs w:val="16"/>
          <w:color w:val="auto"/>
        </w:rPr>
        <w:t>” shall be deemed to have occurred at the time after the Notes are originally issued if any of the following occurs:</w:t>
      </w:r>
    </w:p>
    <w:p>
      <w:pPr>
        <w:spacing w:after="0" w:line="200" w:lineRule="exact"/>
        <w:rPr>
          <w:sz w:val="20"/>
          <w:szCs w:val="20"/>
          <w:color w:val="auto"/>
        </w:rPr>
      </w:pPr>
    </w:p>
    <w:p>
      <w:pPr>
        <w:jc w:val="both"/>
        <w:ind w:left="380" w:firstLine="380"/>
        <w:spacing w:after="0" w:line="253" w:lineRule="auto"/>
        <w:tabs>
          <w:tab w:leader="none" w:pos="1026"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“person” or “group” within the meaning of Section 13(d) of the Exchange Act, other than the Company, its direct or indirect Wholly Owned Subsidiaries and the employee benefit plans of the Company and its Wholly Owned Subsidiaries, has become the direct or indirect “beneficial owner,” as defined in Rule 13d-3 under the Exchange Act, of Common Stock of the Company representing more than 50% of the voting power of the Common Stock of the Company and has filed a Schedule TO (or any successor schedule, form or report) or any schedule, form or report under the Exchange Act that discloses such fact, unless such beneficial ownership arises solely as a result of a revocable proxy delivered in response to a public proxy or consent solicitation made pursuant to the applicable rules and regulations under the Exchange Act and is not also then reportable on Schedule 13D or Schedule 13G (or any successor schedule) under the Exchange Act;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 person or group shall be deemed to be the beneficial owner of any securities tendered pursuant to a tender or exchange offer made by or on behalf of such person or group until such tendered securities are accepted for purchase or exchange under such offer;</w:t>
      </w:r>
    </w:p>
    <w:p>
      <w:pPr>
        <w:spacing w:after="0" w:line="169" w:lineRule="exact"/>
        <w:rPr>
          <w:rFonts w:ascii="Times New Roman" w:cs="Times New Roman" w:eastAsia="Times New Roman" w:hAnsi="Times New Roman"/>
          <w:sz w:val="16"/>
          <w:szCs w:val="16"/>
          <w:color w:val="auto"/>
        </w:rPr>
      </w:pPr>
    </w:p>
    <w:p>
      <w:pPr>
        <w:jc w:val="both"/>
        <w:ind w:left="380" w:firstLine="380"/>
        <w:spacing w:after="0" w:line="252" w:lineRule="auto"/>
        <w:tabs>
          <w:tab w:leader="none" w:pos="10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consummation of (A) any recapitalization, reclassification or change of the Common Stock (other than a change to par value or from par value to no par value or changes resulting from a subdivision or combination) as a result of which the Common Stock would be converted into, or exchanged for, stock, other securities, other property or assets; (B) any share exchange, consolidation or merger of the Company pursuant to which the Common Stock will be converted into cash, securities or other property or assets; or (C) any sale, lease or other transfer in one transaction or a series of transactions of all or substantially all of the consolidated assets of the Company and its Subsidiaries, taken as a whole, to any Person other than one or more of the Company’s direct or indirect Wholly Owned Subsidiaries;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neither (i) a transaction described in clause (A) or clause (B) in which the holders of all classes of the Company’s Common Equity immediately prior to such transaction own, directly or indirectly, more than 50% of all classes of Common Equity of the continuing or surviving corporation or transferee or the direct or indirect parent thereof immediately after such transaction in substantially the same proportions (relative to each other) as such ownership immediately prior to such transaction nor (ii) any merger of the Company solely for the purpose of change its jurisdiction of incorporation that results in a reclassification, conversion or exchange of outstanding shares of Common Stock solely into shares of common stock of the surviving entity shall, in each case, be a Fundamental Change pursuant to this clause (b);</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28" w:name="page29"/>
    <w:bookmarkEnd w:id="28"/>
    <w:p>
      <w:pPr>
        <w:ind w:left="1020" w:hanging="260"/>
        <w:spacing w:after="0"/>
        <w:tabs>
          <w:tab w:leader="none" w:pos="10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stockholders of the Company approve any plan or proposal for the liquidation or dissolution of the Company; or</w:t>
      </w:r>
    </w:p>
    <w:p>
      <w:pPr>
        <w:spacing w:after="0" w:line="198" w:lineRule="exact"/>
        <w:rPr>
          <w:rFonts w:ascii="Times New Roman" w:cs="Times New Roman" w:eastAsia="Times New Roman" w:hAnsi="Times New Roman"/>
          <w:sz w:val="16"/>
          <w:szCs w:val="16"/>
          <w:color w:val="auto"/>
        </w:rPr>
      </w:pPr>
    </w:p>
    <w:p>
      <w:pPr>
        <w:ind w:left="380" w:right="20" w:firstLine="380"/>
        <w:spacing w:after="0" w:line="280" w:lineRule="auto"/>
        <w:tabs>
          <w:tab w:leader="none" w:pos="99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Common Stock (or other common stock underlying the Notes) ceases to be listed or quoted on any Eligible Market and is not listed or quoted on an Eligible Market within one Trading Day of such cessation;</w:t>
      </w:r>
    </w:p>
    <w:p>
      <w:pPr>
        <w:spacing w:after="0" w:line="14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however</w:t>
      </w:r>
      <w:r>
        <w:rPr>
          <w:rFonts w:ascii="Times New Roman" w:cs="Times New Roman" w:eastAsia="Times New Roman" w:hAnsi="Times New Roman"/>
          <w:sz w:val="16"/>
          <w:szCs w:val="16"/>
          <w:color w:val="auto"/>
        </w:rPr>
        <w:t>, that a transaction or transactions described in clause (a) or clause (b) above shall not constitute a Fundamental Change, if at least 90% of the consideration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received or to be received by the common stockholders of the Company, excluding cash payments for fractional shares and cash payments made in respect of dissenters’ appraisal rights, in connection with such transaction or transactions consists of shares of common stock that are listed or quoted on any Eligible Market or will be so listed or quoted when issued or exchanged in connection with such transaction or transactions and as a result of such transaction or transactions such consideration, excluding cash payments for fractional shares and cash payments made in respect of dissenters’ appraisal rights (subject to the provisions of Section 14.02(a), Section 14.04 and Section 14.03) becomes Reference Property for the Notes. If any transaction in which the Common Stock is replaced by the securities of another entity occurs, following completion of any related Make-Whole Fundamental Change Period (or, in the case of a transaction that would have been a Fundamental Change or a Make-Whole Fundamental Change but for the proviso immediately following clause (d) of this definition, following the effective date of such transaction) references to the Company in this definition shall instead be references to such other entity.</w:t>
      </w:r>
    </w:p>
    <w:p>
      <w:pPr>
        <w:spacing w:after="0" w:line="168" w:lineRule="exact"/>
        <w:rPr>
          <w:sz w:val="20"/>
          <w:szCs w:val="20"/>
          <w:color w:val="auto"/>
        </w:rPr>
      </w:pPr>
    </w:p>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For purposes of this definition, any transaction that constitutes a Fundamental Change pursuant to both clause (a) and clause (b) of this definition (without regard to the proviso in clause (2)) shall be deemed a Fundamental Change solely under clause (2) of such definition (subject to such proviso).</w:t>
      </w:r>
    </w:p>
    <w:p>
      <w:pPr>
        <w:spacing w:after="0" w:line="14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Fundamental Change Company Notice</w:t>
      </w:r>
      <w:r>
        <w:rPr>
          <w:rFonts w:ascii="Times New Roman" w:cs="Times New Roman" w:eastAsia="Times New Roman" w:hAnsi="Times New Roman"/>
          <w:sz w:val="16"/>
          <w:szCs w:val="16"/>
          <w:color w:val="auto"/>
        </w:rPr>
        <w:t>” shall have the meaning specified in Section 15.02(c).</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Fundamental Change Repurchase Date</w:t>
      </w:r>
      <w:r>
        <w:rPr>
          <w:rFonts w:ascii="Times New Roman" w:cs="Times New Roman" w:eastAsia="Times New Roman" w:hAnsi="Times New Roman"/>
          <w:sz w:val="16"/>
          <w:szCs w:val="16"/>
          <w:color w:val="auto"/>
        </w:rPr>
        <w:t>” shall have the meaning specified in Section 15.02(a).</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Fundamental Change Repurchase Notice</w:t>
      </w:r>
      <w:r>
        <w:rPr>
          <w:rFonts w:ascii="Times New Roman" w:cs="Times New Roman" w:eastAsia="Times New Roman" w:hAnsi="Times New Roman"/>
          <w:sz w:val="16"/>
          <w:szCs w:val="16"/>
          <w:color w:val="auto"/>
        </w:rPr>
        <w:t>” shall have the meaning specified in Section 15.02(b)(i).</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Fundamental Change Repurchase Price</w:t>
      </w:r>
      <w:r>
        <w:rPr>
          <w:rFonts w:ascii="Times New Roman" w:cs="Times New Roman" w:eastAsia="Times New Roman" w:hAnsi="Times New Roman"/>
          <w:sz w:val="16"/>
          <w:szCs w:val="16"/>
          <w:color w:val="auto"/>
        </w:rPr>
        <w:t>” shall have the meaning specified in Section 15.02(a).</w:t>
      </w:r>
    </w:p>
    <w:p>
      <w:pPr>
        <w:spacing w:after="0" w:line="198"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6"/>
          <w:szCs w:val="16"/>
          <w:color w:val="auto"/>
        </w:rPr>
        <w:t>The terms “</w:t>
      </w:r>
      <w:r>
        <w:rPr>
          <w:rFonts w:ascii="Times New Roman" w:cs="Times New Roman" w:eastAsia="Times New Roman" w:hAnsi="Times New Roman"/>
          <w:sz w:val="16"/>
          <w:szCs w:val="16"/>
          <w:b w:val="1"/>
          <w:bCs w:val="1"/>
          <w:color w:val="auto"/>
        </w:rPr>
        <w:t>given</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mailed</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notify,</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delivered</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b w:val="1"/>
          <w:bCs w:val="1"/>
          <w:color w:val="auto"/>
        </w:rPr>
        <w:t>sent</w:t>
      </w:r>
      <w:r>
        <w:rPr>
          <w:rFonts w:ascii="Times New Roman" w:cs="Times New Roman" w:eastAsia="Times New Roman" w:hAnsi="Times New Roman"/>
          <w:sz w:val="16"/>
          <w:szCs w:val="16"/>
          <w:color w:val="auto"/>
        </w:rPr>
        <w:t>” with respect to any notice to be given to a Holder pursuant to this Indenture, including in circumstances pursuant to which such notice must be “written,” shall mean notice (x) given to the Depositary (or its designee) pursuant to the standing instructions from the Depositary or its designee, including by electronic mail in accordance with accepted practices or procedures at the Depositary (in the case of a Global Note) or (y) mailed to such Holder by first class mail, postage prepaid, at its address as it appears on the Note Register (in the case of a Physical Note), in each case, in accordance with Section 18.03. Notice so “given” shall be deemed to include any notice to be “mailed” or “delivered,” as applicable, under this Indenture.</w:t>
      </w:r>
    </w:p>
    <w:p>
      <w:pPr>
        <w:spacing w:after="0" w:line="162" w:lineRule="exact"/>
        <w:rPr>
          <w:sz w:val="20"/>
          <w:szCs w:val="20"/>
          <w:color w:val="auto"/>
        </w:rPr>
      </w:pPr>
    </w:p>
    <w:p>
      <w:pPr>
        <w:jc w:val="both"/>
        <w:ind w:firstLine="382"/>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GAAP</w:t>
      </w:r>
      <w:r>
        <w:rPr>
          <w:rFonts w:ascii="Times New Roman" w:cs="Times New Roman" w:eastAsia="Times New Roman" w:hAnsi="Times New Roman"/>
          <w:sz w:val="16"/>
          <w:szCs w:val="16"/>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may be approved by a significant segment of the accounting profession of the United States, which are in effect as of the Issue Date.</w:t>
      </w:r>
    </w:p>
    <w:p>
      <w:pPr>
        <w:spacing w:after="0" w:line="1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Global Note</w:t>
      </w:r>
      <w:r>
        <w:rPr>
          <w:rFonts w:ascii="Times New Roman" w:cs="Times New Roman" w:eastAsia="Times New Roman" w:hAnsi="Times New Roman"/>
          <w:sz w:val="16"/>
          <w:szCs w:val="16"/>
          <w:color w:val="auto"/>
        </w:rPr>
        <w:t>” shall have the meaning specified in Section 2.05(b).</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Guarantee</w:t>
      </w:r>
      <w:r>
        <w:rPr>
          <w:rFonts w:ascii="Times New Roman" w:cs="Times New Roman" w:eastAsia="Times New Roman" w:hAnsi="Times New Roman"/>
          <w:sz w:val="16"/>
          <w:szCs w:val="16"/>
          <w:color w:val="auto"/>
        </w:rPr>
        <w:t>” means a guarantee by a Guarantor of the Company’s obligations under this Indenture.</w:t>
      </w:r>
    </w:p>
    <w:p>
      <w:pPr>
        <w:spacing w:after="0" w:line="198" w:lineRule="exact"/>
        <w:rPr>
          <w:sz w:val="20"/>
          <w:szCs w:val="20"/>
          <w:color w:val="auto"/>
        </w:rPr>
      </w:pPr>
    </w:p>
    <w:p>
      <w:pPr>
        <w:jc w:val="both"/>
        <w:ind w:right="20" w:firstLine="382"/>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Guarantor</w:t>
      </w:r>
      <w:r>
        <w:rPr>
          <w:rFonts w:ascii="Times New Roman" w:cs="Times New Roman" w:eastAsia="Times New Roman" w:hAnsi="Times New Roman"/>
          <w:sz w:val="16"/>
          <w:szCs w:val="16"/>
          <w:color w:val="auto"/>
        </w:rPr>
        <w:t>” means each Domestic Subsidiary of the Company that is a guarantor of the Notes, including any Person that is required after the Issue Date to execute a Guarantee of the Notes pursuant to Section 4.14; provided that any Person constituting a Guarantor as described above shall cease to constitute a Guarantor when its respective Guarantee is released in accordance with the terms of this Indenture. On the Issue Date, each Domestic Subsidiary of the Company shall be a Guarantor.</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9" w:name="page30"/>
    <w:bookmarkEnd w:id="29"/>
    <w:p>
      <w:pPr>
        <w:jc w:val="both"/>
        <w:ind w:firstLine="382"/>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Hedging Agreement</w:t>
      </w:r>
      <w:r>
        <w:rPr>
          <w:rFonts w:ascii="Times New Roman" w:cs="Times New Roman" w:eastAsia="Times New Roman" w:hAnsi="Times New Roman"/>
          <w:sz w:val="16"/>
          <w:szCs w:val="16"/>
          <w:color w:val="auto"/>
        </w:rPr>
        <w:t>” means any rate swap agreement, forward rate agreement, commodity swap, commodity option, interest rate option, forward foreign exchange agreement, spot foreign exchange agreement, rate cap agreement, rate floor agreement, rate collar agreement, currency swap agreement, cross-currency rate swap agreement, currency option and any other similar agreement entered into for the purposes of hedging risks of currency, interest, or commodity price fluctuations or similar matters, or any indemnity agreements and arrangements entered into in connection therewith, in each case, as the same may be amended, restated, supplemented, or otherwise modified from time to time.</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Hedging Obligations</w:t>
      </w:r>
      <w:r>
        <w:rPr>
          <w:rFonts w:ascii="Times New Roman" w:cs="Times New Roman" w:eastAsia="Times New Roman" w:hAnsi="Times New Roman"/>
          <w:sz w:val="16"/>
          <w:szCs w:val="16"/>
          <w:color w:val="auto"/>
        </w:rPr>
        <w:t>” means, with respect to any Person, the obligations of such Person under a Hedging Agreement.</w:t>
      </w:r>
    </w:p>
    <w:p>
      <w:pPr>
        <w:spacing w:after="0" w:line="198" w:lineRule="exact"/>
        <w:rPr>
          <w:sz w:val="20"/>
          <w:szCs w:val="20"/>
          <w:color w:val="auto"/>
        </w:rPr>
      </w:pPr>
    </w:p>
    <w:p>
      <w:pPr>
        <w:jc w:val="both"/>
        <w:ind w:firstLine="382"/>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Holder</w:t>
      </w:r>
      <w:r>
        <w:rPr>
          <w:rFonts w:ascii="Times New Roman" w:cs="Times New Roman" w:eastAsia="Times New Roman" w:hAnsi="Times New Roman"/>
          <w:sz w:val="16"/>
          <w:szCs w:val="16"/>
          <w:color w:val="auto"/>
        </w:rPr>
        <w:t>,” as applied to any Note, or other similar terms (but excluding the term “beneficial holder”), means any Person in whose name at the time a particular Note is registered on the Note Register.</w:t>
      </w:r>
    </w:p>
    <w:p>
      <w:pPr>
        <w:spacing w:after="0" w:line="140" w:lineRule="exact"/>
        <w:rPr>
          <w:sz w:val="20"/>
          <w:szCs w:val="20"/>
          <w:color w:val="auto"/>
        </w:rPr>
      </w:pPr>
    </w:p>
    <w:p>
      <w:pPr>
        <w:jc w:val="both"/>
        <w:ind w:firstLine="382"/>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Horizon Revolving Credit Facility</w:t>
      </w:r>
      <w:r>
        <w:rPr>
          <w:rFonts w:ascii="Times New Roman" w:cs="Times New Roman" w:eastAsia="Times New Roman" w:hAnsi="Times New Roman"/>
          <w:sz w:val="16"/>
          <w:szCs w:val="16"/>
          <w:color w:val="auto"/>
        </w:rPr>
        <w:t>” means the senior secured facility under the Venture Loan and Security Agreement, dated as of March 5, 2021, by and between Horizon Technology Finance Corporation, as lender and collateral agent, and E la Carte, Inc., a Delaware corporation.</w:t>
      </w:r>
    </w:p>
    <w:p>
      <w:pPr>
        <w:spacing w:after="0" w:line="14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Indebtedness</w:t>
      </w:r>
      <w:r>
        <w:rPr>
          <w:rFonts w:ascii="Times New Roman" w:cs="Times New Roman" w:eastAsia="Times New Roman" w:hAnsi="Times New Roman"/>
          <w:sz w:val="16"/>
          <w:szCs w:val="16"/>
          <w:color w:val="auto"/>
        </w:rPr>
        <w:t>” means, with respect to any Person on any date of determination (without duplication):</w:t>
      </w:r>
    </w:p>
    <w:p>
      <w:pPr>
        <w:spacing w:after="0" w:line="200" w:lineRule="exact"/>
        <w:rPr>
          <w:sz w:val="20"/>
          <w:szCs w:val="20"/>
          <w:color w:val="auto"/>
        </w:rPr>
      </w:pPr>
    </w:p>
    <w:p>
      <w:pPr>
        <w:ind w:left="640" w:hanging="262"/>
        <w:spacing w:after="0"/>
        <w:tabs>
          <w:tab w:leader="none" w:pos="6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principal of indebtedness of such Person for borrowed money;</w:t>
      </w:r>
    </w:p>
    <w:p>
      <w:pPr>
        <w:spacing w:after="0" w:line="198" w:lineRule="exact"/>
        <w:rPr>
          <w:rFonts w:ascii="Times New Roman" w:cs="Times New Roman" w:eastAsia="Times New Roman" w:hAnsi="Times New Roman"/>
          <w:sz w:val="16"/>
          <w:szCs w:val="16"/>
          <w:color w:val="auto"/>
        </w:rPr>
      </w:pPr>
    </w:p>
    <w:p>
      <w:pPr>
        <w:ind w:left="640" w:hanging="262"/>
        <w:spacing w:after="0"/>
        <w:tabs>
          <w:tab w:leader="none" w:pos="6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principal of obligations of such Person evidenced by bonds, debentures, notes or other similar instruments;</w:t>
      </w:r>
    </w:p>
    <w:p>
      <w:pPr>
        <w:spacing w:after="0" w:line="198" w:lineRule="exact"/>
        <w:rPr>
          <w:rFonts w:ascii="Times New Roman" w:cs="Times New Roman" w:eastAsia="Times New Roman" w:hAnsi="Times New Roman"/>
          <w:sz w:val="16"/>
          <w:szCs w:val="16"/>
          <w:color w:val="auto"/>
        </w:rPr>
      </w:pPr>
    </w:p>
    <w:p>
      <w:pPr>
        <w:jc w:val="both"/>
        <w:ind w:firstLine="378"/>
        <w:spacing w:after="0" w:line="259" w:lineRule="auto"/>
        <w:tabs>
          <w:tab w:leader="none" w:pos="657"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reimbursement obligations of such Person in respect of letters of credit, bankers’ acceptances or other similar instruments (the amount of such obligations being equal at any time to the aggregate then undrawn and unexpired amount of such letters of credit or other instruments plus the aggregate amount of drawings thereunder that have not been reimbursed) (except to the extent such reimbursement obligations relate to trade payables and accounts payable and such obligations are satisfied within 30 days of Incurrence);</w:t>
      </w:r>
    </w:p>
    <w:p>
      <w:pPr>
        <w:spacing w:after="0" w:line="161" w:lineRule="exact"/>
        <w:rPr>
          <w:rFonts w:ascii="Times New Roman" w:cs="Times New Roman" w:eastAsia="Times New Roman" w:hAnsi="Times New Roman"/>
          <w:sz w:val="16"/>
          <w:szCs w:val="16"/>
          <w:color w:val="auto"/>
        </w:rPr>
      </w:pPr>
    </w:p>
    <w:p>
      <w:pPr>
        <w:ind w:right="20" w:firstLine="378"/>
        <w:spacing w:after="0" w:line="280" w:lineRule="auto"/>
        <w:tabs>
          <w:tab w:leader="none" w:pos="656"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principal component of all obligations of such Person to pay the deferred and unpaid purchase price of property (except trade payables or similar obligations to trade creditors), which purchase price is due more than one year after the date of placing such property in service or taking final delivery and title thereto;</w:t>
      </w:r>
    </w:p>
    <w:p>
      <w:pPr>
        <w:spacing w:after="0" w:line="144" w:lineRule="exact"/>
        <w:rPr>
          <w:rFonts w:ascii="Times New Roman" w:cs="Times New Roman" w:eastAsia="Times New Roman" w:hAnsi="Times New Roman"/>
          <w:sz w:val="16"/>
          <w:szCs w:val="16"/>
          <w:color w:val="auto"/>
        </w:rPr>
      </w:pPr>
    </w:p>
    <w:p>
      <w:pPr>
        <w:ind w:left="640" w:hanging="262"/>
        <w:spacing w:after="0"/>
        <w:tabs>
          <w:tab w:leader="none" w:pos="6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Capitalized Lease Obligations of such Person;</w:t>
      </w:r>
    </w:p>
    <w:p>
      <w:pPr>
        <w:spacing w:after="0" w:line="198" w:lineRule="exact"/>
        <w:rPr>
          <w:rFonts w:ascii="Times New Roman" w:cs="Times New Roman" w:eastAsia="Times New Roman" w:hAnsi="Times New Roman"/>
          <w:sz w:val="16"/>
          <w:szCs w:val="16"/>
          <w:color w:val="auto"/>
        </w:rPr>
      </w:pPr>
    </w:p>
    <w:p>
      <w:pPr>
        <w:ind w:right="20" w:firstLine="378"/>
        <w:spacing w:after="0" w:line="280" w:lineRule="auto"/>
        <w:tabs>
          <w:tab w:leader="none" w:pos="651"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principal component of all obligations, or liquidation preference, of such Person with respect to any Disqualified Capital Stock or, with respect to any Subsidiary, any Preferred Stock (but excluding, in each case, any accrued dividends);</w:t>
      </w:r>
    </w:p>
    <w:p>
      <w:pPr>
        <w:spacing w:after="0" w:line="144" w:lineRule="exact"/>
        <w:rPr>
          <w:rFonts w:ascii="Times New Roman" w:cs="Times New Roman" w:eastAsia="Times New Roman" w:hAnsi="Times New Roman"/>
          <w:sz w:val="16"/>
          <w:szCs w:val="16"/>
          <w:color w:val="auto"/>
        </w:rPr>
      </w:pPr>
    </w:p>
    <w:p>
      <w:pPr>
        <w:jc w:val="both"/>
        <w:ind w:right="20" w:firstLine="378"/>
        <w:spacing w:after="0" w:line="265" w:lineRule="auto"/>
        <w:tabs>
          <w:tab w:leader="none" w:pos="658"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principal component of all Indebtedness of other Persons secured by a Lien on any asset of such Person, whether or not such Indebtedness is assumed by such Person; provided, however, that the amount of such Indebtedness will be the lesser of (a) the fair market value of such asset at such date of determination (as determined in good faith by the Company) and (b) the amount of such Indebtedness of such other Persons;</w:t>
      </w:r>
    </w:p>
    <w:p>
      <w:pPr>
        <w:spacing w:after="0" w:line="155" w:lineRule="exact"/>
        <w:rPr>
          <w:rFonts w:ascii="Times New Roman" w:cs="Times New Roman" w:eastAsia="Times New Roman" w:hAnsi="Times New Roman"/>
          <w:sz w:val="16"/>
          <w:szCs w:val="16"/>
          <w:color w:val="auto"/>
        </w:rPr>
      </w:pPr>
    </w:p>
    <w:p>
      <w:pPr>
        <w:ind w:right="20" w:firstLine="378"/>
        <w:spacing w:after="0" w:line="280" w:lineRule="auto"/>
        <w:tabs>
          <w:tab w:leader="none" w:pos="659"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guarantees by such Person of the principal component of Indebtedness of the type referred to in clauses (1), (2), (3), (4), (5) and (9) of other Persons to the extent guaranteed by such Person;</w:t>
      </w:r>
    </w:p>
    <w:p>
      <w:pPr>
        <w:spacing w:after="0" w:line="144" w:lineRule="exact"/>
        <w:rPr>
          <w:rFonts w:ascii="Times New Roman" w:cs="Times New Roman" w:eastAsia="Times New Roman" w:hAnsi="Times New Roman"/>
          <w:sz w:val="16"/>
          <w:szCs w:val="16"/>
          <w:color w:val="auto"/>
        </w:rPr>
      </w:pPr>
    </w:p>
    <w:p>
      <w:pPr>
        <w:jc w:val="both"/>
        <w:ind w:right="20" w:firstLine="378"/>
        <w:spacing w:after="0" w:line="265" w:lineRule="auto"/>
        <w:tabs>
          <w:tab w:leader="none" w:pos="656"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extent not otherwise included in this definition, net obligations of such Person under Hedging Obligations (the amount of any such obligations to be equal at any time to the net payments under such agreement or arrangement giving rise to such obligation that would be payable by such Person at the termination of such agreement or arrangement);</w:t>
      </w:r>
    </w:p>
    <w:p>
      <w:pPr>
        <w:spacing w:after="0" w:line="155"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with respect to clauses (1), (2), (4) and (5) above, if and to the extent that any of the foregoing Indebtedness (other than letters of credit and Hedging Obligations) would appear as a liability upon a balance sheet (excluding the footnotes thereto) of such Person prepared in accordance with GAAP.</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30" w:name="page31"/>
    <w:bookmarkEnd w:id="30"/>
    <w:p>
      <w:pPr>
        <w:jc w:val="both"/>
        <w:ind w:left="4" w:firstLine="382"/>
        <w:spacing w:after="0" w:line="278" w:lineRule="auto"/>
        <w:rPr>
          <w:sz w:val="20"/>
          <w:szCs w:val="20"/>
          <w:color w:val="auto"/>
        </w:rPr>
      </w:pPr>
      <w:r>
        <w:rPr>
          <w:rFonts w:ascii="Times New Roman" w:cs="Times New Roman" w:eastAsia="Times New Roman" w:hAnsi="Times New Roman"/>
          <w:sz w:val="15"/>
          <w:szCs w:val="15"/>
          <w:color w:val="auto"/>
        </w:rPr>
        <w:t>The amount of Indebtedness of any Person at any time in the case of a revolving credit or similar facility will be the total amount of funds borrowed and then outstanding. The amount of any Indebtedness outstanding as of any date will be (a) the accreted value thereof in the case of any Indebtedness issued with original issue discount and (b) the principal amount of Indebtedness, or liquidation preference thereof, in the case of any other Indebtedness. Indebtedness will be calculated without giving effect to the effects of Financial Accounting Standards Board Accounting Standards Codification Topic No. 815 and related interpretations to the extent such effects would otherwise increase or decrease an amount of Indebtedness for any purpose under this Indenture as a result of accounting for any embedded derivatives created by the terms of such Indebtedness.</w:t>
      </w:r>
    </w:p>
    <w:p>
      <w:pPr>
        <w:spacing w:after="0" w:line="146" w:lineRule="exact"/>
        <w:rPr>
          <w:sz w:val="20"/>
          <w:szCs w:val="20"/>
          <w:color w:val="auto"/>
        </w:rPr>
      </w:pPr>
    </w:p>
    <w:p>
      <w:pPr>
        <w:ind w:left="38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Indenture</w:t>
      </w:r>
      <w:r>
        <w:rPr>
          <w:rFonts w:ascii="Times New Roman" w:cs="Times New Roman" w:eastAsia="Times New Roman" w:hAnsi="Times New Roman"/>
          <w:sz w:val="16"/>
          <w:szCs w:val="16"/>
          <w:color w:val="auto"/>
        </w:rPr>
        <w:t>” means this instrument as originally executed or, if amended or supplemented as herein provided, as so amended or supplemented.</w:t>
      </w:r>
    </w:p>
    <w:p>
      <w:pPr>
        <w:spacing w:after="0" w:line="198" w:lineRule="exact"/>
        <w:rPr>
          <w:sz w:val="20"/>
          <w:szCs w:val="20"/>
          <w:color w:val="auto"/>
        </w:rPr>
      </w:pPr>
    </w:p>
    <w:p>
      <w:pPr>
        <w:jc w:val="both"/>
        <w:ind w:left="4" w:firstLine="382"/>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Independent Financial Advisor</w:t>
      </w:r>
      <w:r>
        <w:rPr>
          <w:rFonts w:ascii="Times New Roman" w:cs="Times New Roman" w:eastAsia="Times New Roman" w:hAnsi="Times New Roman"/>
          <w:sz w:val="16"/>
          <w:szCs w:val="16"/>
          <w:color w:val="auto"/>
        </w:rPr>
        <w:t>” means a firm (1) which does not, and whose directors, officers and employees or Affiliates do not, have a direct or indirect financial interest in the Company, and (2) which, in the judgment of the Board of Directors of the Company, is otherwise independent and qualified to perform the task for which it is to be engaged.</w:t>
      </w:r>
    </w:p>
    <w:p>
      <w:pPr>
        <w:spacing w:after="0" w:line="153" w:lineRule="exact"/>
        <w:rPr>
          <w:sz w:val="20"/>
          <w:szCs w:val="20"/>
          <w:color w:val="auto"/>
        </w:rPr>
      </w:pPr>
    </w:p>
    <w:p>
      <w:pPr>
        <w:ind w:left="38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interest</w:t>
      </w:r>
      <w:r>
        <w:rPr>
          <w:rFonts w:ascii="Times New Roman" w:cs="Times New Roman" w:eastAsia="Times New Roman" w:hAnsi="Times New Roman"/>
          <w:sz w:val="16"/>
          <w:szCs w:val="16"/>
          <w:color w:val="auto"/>
        </w:rPr>
        <w:t>” means, with respect to the Notes, interest (including PIK Interest) on the Notes.</w:t>
      </w:r>
    </w:p>
    <w:p>
      <w:pPr>
        <w:spacing w:after="0" w:line="198" w:lineRule="exact"/>
        <w:rPr>
          <w:sz w:val="20"/>
          <w:szCs w:val="20"/>
          <w:color w:val="auto"/>
        </w:rPr>
      </w:pPr>
    </w:p>
    <w:p>
      <w:pPr>
        <w:ind w:left="38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Interest Payment Date</w:t>
      </w:r>
      <w:r>
        <w:rPr>
          <w:rFonts w:ascii="Times New Roman" w:cs="Times New Roman" w:eastAsia="Times New Roman" w:hAnsi="Times New Roman"/>
          <w:sz w:val="16"/>
          <w:szCs w:val="16"/>
          <w:color w:val="auto"/>
        </w:rPr>
        <w:t>” means each March 15, June 15, September 15 and December 15 of each year, beginning on [●], 2022.</w:t>
      </w:r>
    </w:p>
    <w:p>
      <w:pPr>
        <w:spacing w:after="0" w:line="198" w:lineRule="exact"/>
        <w:rPr>
          <w:sz w:val="20"/>
          <w:szCs w:val="20"/>
          <w:color w:val="auto"/>
        </w:rPr>
      </w:pPr>
    </w:p>
    <w:p>
      <w:pPr>
        <w:jc w:val="both"/>
        <w:ind w:left="4" w:right="20" w:firstLine="382"/>
        <w:spacing w:after="0" w:line="26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Investment</w:t>
      </w:r>
      <w:r>
        <w:rPr>
          <w:rFonts w:ascii="Times New Roman" w:cs="Times New Roman" w:eastAsia="Times New Roman" w:hAnsi="Times New Roman"/>
          <w:sz w:val="16"/>
          <w:szCs w:val="16"/>
          <w:color w:val="auto"/>
        </w:rPr>
        <w:t>” means, with respect to any Person, any direct or indirect loan or other extension of credit (including, without limitation, a guarantee) or capital contribution to (by means of any transfer of cash or other property to others or any payment for property or services for the account or use of others), or any purchase or acquisition by such Person of any Capital Stock, bonds, notes, debentures or other securities or evidences of Indebtedness issued by, any other Person. “Investment” shall exclude extensions of trade credit by the Company and its Subsidiaries in accordance with normal trade practices of the Company or such Subsidiary, as the case may be.</w:t>
      </w:r>
    </w:p>
    <w:p>
      <w:pPr>
        <w:spacing w:after="0" w:line="159" w:lineRule="exact"/>
        <w:rPr>
          <w:sz w:val="20"/>
          <w:szCs w:val="20"/>
          <w:color w:val="auto"/>
        </w:rPr>
      </w:pPr>
    </w:p>
    <w:p>
      <w:pPr>
        <w:ind w:left="38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Issue Date</w:t>
      </w:r>
      <w:r>
        <w:rPr>
          <w:rFonts w:ascii="Times New Roman" w:cs="Times New Roman" w:eastAsia="Times New Roman" w:hAnsi="Times New Roman"/>
          <w:sz w:val="16"/>
          <w:szCs w:val="16"/>
          <w:color w:val="auto"/>
        </w:rPr>
        <w:t>” means [●], 2022, the date of original issuance of the Notes.</w:t>
      </w:r>
    </w:p>
    <w:p>
      <w:pPr>
        <w:spacing w:after="0" w:line="198" w:lineRule="exact"/>
        <w:rPr>
          <w:sz w:val="20"/>
          <w:szCs w:val="20"/>
          <w:color w:val="auto"/>
        </w:rPr>
      </w:pPr>
    </w:p>
    <w:p>
      <w:pPr>
        <w:jc w:val="both"/>
        <w:ind w:left="4" w:right="20" w:firstLine="382"/>
        <w:spacing w:after="0" w:line="274"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Last Original Issue Date</w:t>
      </w:r>
      <w:r>
        <w:rPr>
          <w:rFonts w:ascii="Times New Roman" w:cs="Times New Roman" w:eastAsia="Times New Roman" w:hAnsi="Times New Roman"/>
          <w:sz w:val="15"/>
          <w:szCs w:val="15"/>
          <w:color w:val="auto"/>
        </w:rPr>
        <w:t>” means, (A) with respect to the Notes offered pursuant to the Amended and Restated Subscription Agreement dated [●], 2022 by and between the Company and Lake Vineyard Fund LP and Silver Rock Empire Fund LP—Series 2022, the date of this Indenture; (B) with respect to any additional Notes issued pursuant to the first sentence of Section 2.10, and any Notes issued in exchange therefor or in substitution thereof, either (i) the later of (x) the date such Notes are originally issued and</w:t>
      </w:r>
    </w:p>
    <w:p>
      <w:pPr>
        <w:spacing w:after="0" w:line="2" w:lineRule="exact"/>
        <w:rPr>
          <w:sz w:val="20"/>
          <w:szCs w:val="20"/>
          <w:color w:val="auto"/>
        </w:rPr>
      </w:pPr>
    </w:p>
    <w:p>
      <w:pPr>
        <w:ind w:left="4" w:right="20" w:hanging="4"/>
        <w:spacing w:after="0" w:line="258" w:lineRule="auto"/>
        <w:tabs>
          <w:tab w:leader="none" w:pos="239"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last date any Notes are originally issued as part of the same offering pursuant to the exercise of an option granted to the initial purchaser(s) of such Notes to purchase additional Notes; or (ii) such other date as is specified in an Officer’s Certificate delivered to the Trustee before the original issuance of such Notes.</w:t>
      </w:r>
    </w:p>
    <w:p>
      <w:pPr>
        <w:spacing w:after="0" w:line="159" w:lineRule="exact"/>
        <w:rPr>
          <w:sz w:val="20"/>
          <w:szCs w:val="20"/>
          <w:color w:val="auto"/>
        </w:rPr>
      </w:pPr>
    </w:p>
    <w:p>
      <w:pPr>
        <w:jc w:val="both"/>
        <w:ind w:left="4" w:firstLine="382"/>
        <w:spacing w:after="0" w:line="25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Last Reported Sale Price</w:t>
      </w:r>
      <w:r>
        <w:rPr>
          <w:rFonts w:ascii="Times New Roman" w:cs="Times New Roman" w:eastAsia="Times New Roman" w:hAnsi="Times New Roman"/>
          <w:sz w:val="16"/>
          <w:szCs w:val="16"/>
          <w:color w:val="auto"/>
        </w:rPr>
        <w:t>” of the Common Stock (or any other security for which a last reported sale price must be determined) on any date means the closing sale price (or if no closing sale price is reported, the average of the bid and ask prices or, if more than one in either case, the average of the average bid and the average ask prices) per share of the Common Stock (or such other security) on that date as reported in composite transactions for the principal U.S. national or regional securities exchange on which the Common Stock is traded. If the Common Stock (or such other security) is not listed for trading on a U.S. national or regional securities exchange on the relevant date, the “</w:t>
      </w:r>
      <w:r>
        <w:rPr>
          <w:rFonts w:ascii="Times New Roman" w:cs="Times New Roman" w:eastAsia="Times New Roman" w:hAnsi="Times New Roman"/>
          <w:sz w:val="16"/>
          <w:szCs w:val="16"/>
          <w:b w:val="1"/>
          <w:bCs w:val="1"/>
          <w:color w:val="auto"/>
        </w:rPr>
        <w:t>Last Reported Sale Price</w:t>
      </w:r>
      <w:r>
        <w:rPr>
          <w:rFonts w:ascii="Times New Roman" w:cs="Times New Roman" w:eastAsia="Times New Roman" w:hAnsi="Times New Roman"/>
          <w:sz w:val="16"/>
          <w:szCs w:val="16"/>
          <w:color w:val="auto"/>
        </w:rPr>
        <w:t>” shall be the last quoted bid price per share of the Common Stock (or such other security) in the over-the-counter market on the relevant date as reported by OTC Markets Group Inc. or a similar organization. If the Common Stock (or such other security) is not so quoted, the “</w:t>
      </w:r>
      <w:r>
        <w:rPr>
          <w:rFonts w:ascii="Times New Roman" w:cs="Times New Roman" w:eastAsia="Times New Roman" w:hAnsi="Times New Roman"/>
          <w:sz w:val="16"/>
          <w:szCs w:val="16"/>
          <w:b w:val="1"/>
          <w:bCs w:val="1"/>
          <w:color w:val="auto"/>
        </w:rPr>
        <w:t>Last Reported Sale Price</w:t>
      </w:r>
      <w:r>
        <w:rPr>
          <w:rFonts w:ascii="Times New Roman" w:cs="Times New Roman" w:eastAsia="Times New Roman" w:hAnsi="Times New Roman"/>
          <w:sz w:val="16"/>
          <w:szCs w:val="16"/>
          <w:color w:val="auto"/>
        </w:rPr>
        <w:t>” shall be the average of the midpoint of the last bid and ask prices per share of the Common Stock (or such other security) on the relevant date from each of at least three nationally recognized independent investment banking firms selected by the Company for this purpose. The “</w:t>
      </w:r>
      <w:r>
        <w:rPr>
          <w:rFonts w:ascii="Times New Roman" w:cs="Times New Roman" w:eastAsia="Times New Roman" w:hAnsi="Times New Roman"/>
          <w:sz w:val="16"/>
          <w:szCs w:val="16"/>
          <w:b w:val="1"/>
          <w:bCs w:val="1"/>
          <w:color w:val="auto"/>
        </w:rPr>
        <w:t>Last Reported Sale Price</w:t>
      </w:r>
      <w:r>
        <w:rPr>
          <w:rFonts w:ascii="Times New Roman" w:cs="Times New Roman" w:eastAsia="Times New Roman" w:hAnsi="Times New Roman"/>
          <w:sz w:val="16"/>
          <w:szCs w:val="16"/>
          <w:color w:val="auto"/>
        </w:rPr>
        <w:t>” shall be determined without regard to after-hours trading or any other trading outside of regular trading session hours.</w:t>
      </w:r>
    </w:p>
    <w:p>
      <w:pPr>
        <w:spacing w:after="0" w:line="166" w:lineRule="exact"/>
        <w:rPr>
          <w:sz w:val="20"/>
          <w:szCs w:val="20"/>
          <w:color w:val="auto"/>
        </w:rPr>
      </w:pPr>
    </w:p>
    <w:p>
      <w:pPr>
        <w:jc w:val="both"/>
        <w:ind w:left="4" w:right="20" w:firstLine="382"/>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Lien</w:t>
      </w:r>
      <w:r>
        <w:rPr>
          <w:rFonts w:ascii="Times New Roman" w:cs="Times New Roman" w:eastAsia="Times New Roman" w:hAnsi="Times New Roman"/>
          <w:sz w:val="16"/>
          <w:szCs w:val="16"/>
          <w:color w:val="auto"/>
        </w:rPr>
        <w:t>” means any lien, mortgage, deed of trust, pledge, security interest, charge or encumbrance of any kind (including any conditional sale or other title retention agreement, any lease in the nature thereof and any agreement to give any security interest).</w:t>
      </w:r>
    </w:p>
    <w:p>
      <w:pPr>
        <w:spacing w:after="0" w:line="33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31" w:name="page32"/>
    <w:bookmarkEnd w:id="31"/>
    <w:p>
      <w:pPr>
        <w:jc w:val="both"/>
        <w:ind w:right="20" w:firstLine="382"/>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Make-Whole Fundamental Change</w:t>
      </w:r>
      <w:r>
        <w:rPr>
          <w:rFonts w:ascii="Times New Roman" w:cs="Times New Roman" w:eastAsia="Times New Roman" w:hAnsi="Times New Roman"/>
          <w:sz w:val="16"/>
          <w:szCs w:val="16"/>
          <w:color w:val="auto"/>
        </w:rPr>
        <w:t xml:space="preserve">” means any transaction or event that constitutes a Fundamental Change (as defined above and determined after giving effect to any exceptions to or exclusions from such definition, but without regard to the </w:t>
      </w:r>
      <w:r>
        <w:rPr>
          <w:rFonts w:ascii="Times New Roman" w:cs="Times New Roman" w:eastAsia="Times New Roman" w:hAnsi="Times New Roman"/>
          <w:sz w:val="16"/>
          <w:szCs w:val="16"/>
          <w:i w:val="1"/>
          <w:iCs w:val="1"/>
          <w:color w:val="auto"/>
        </w:rPr>
        <w:t>proviso</w:t>
      </w:r>
      <w:r>
        <w:rPr>
          <w:rFonts w:ascii="Times New Roman" w:cs="Times New Roman" w:eastAsia="Times New Roman" w:hAnsi="Times New Roman"/>
          <w:sz w:val="16"/>
          <w:szCs w:val="16"/>
          <w:color w:val="auto"/>
        </w:rPr>
        <w:t xml:space="preserve"> in clause (b) of the definition thereof).</w:t>
      </w:r>
    </w:p>
    <w:p>
      <w:pPr>
        <w:spacing w:after="0" w:line="14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Make-Whole Fundamental Change Period</w:t>
      </w:r>
      <w:r>
        <w:rPr>
          <w:rFonts w:ascii="Times New Roman" w:cs="Times New Roman" w:eastAsia="Times New Roman" w:hAnsi="Times New Roman"/>
          <w:sz w:val="16"/>
          <w:szCs w:val="16"/>
          <w:color w:val="auto"/>
        </w:rPr>
        <w:t>” shall have the meaning specified in Section 14.03(a).</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Mandatory Conversion</w:t>
      </w:r>
      <w:r>
        <w:rPr>
          <w:rFonts w:ascii="Times New Roman" w:cs="Times New Roman" w:eastAsia="Times New Roman" w:hAnsi="Times New Roman"/>
          <w:sz w:val="16"/>
          <w:szCs w:val="16"/>
          <w:color w:val="auto"/>
        </w:rPr>
        <w:t>” means a conversion pursuant to Section 14.03(a).</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Mandatory Conversion Condition</w:t>
      </w:r>
      <w:r>
        <w:rPr>
          <w:rFonts w:ascii="Times New Roman" w:cs="Times New Roman" w:eastAsia="Times New Roman" w:hAnsi="Times New Roman"/>
          <w:sz w:val="16"/>
          <w:szCs w:val="16"/>
          <w:color w:val="auto"/>
        </w:rPr>
        <w:t>” means the conditions required for the Company to cause Notes to be converted pursuant to Section 14.03(a).</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Mandatory Conversion Date</w:t>
      </w:r>
      <w:r>
        <w:rPr>
          <w:rFonts w:ascii="Times New Roman" w:cs="Times New Roman" w:eastAsia="Times New Roman" w:hAnsi="Times New Roman"/>
          <w:sz w:val="16"/>
          <w:szCs w:val="16"/>
          <w:color w:val="auto"/>
        </w:rPr>
        <w:t>” means the Conversion Date for a Mandatory Conversion, as provided in Section 14.03(c).</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Mandatory Conversion Notice</w:t>
      </w:r>
      <w:r>
        <w:rPr>
          <w:rFonts w:ascii="Times New Roman" w:cs="Times New Roman" w:eastAsia="Times New Roman" w:hAnsi="Times New Roman"/>
          <w:sz w:val="16"/>
          <w:szCs w:val="16"/>
          <w:color w:val="auto"/>
        </w:rPr>
        <w:t>” shall have the meaning specified in Section 14.03(b).</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Mandatory Conversion Notice Date</w:t>
      </w:r>
      <w:r>
        <w:rPr>
          <w:rFonts w:ascii="Times New Roman" w:cs="Times New Roman" w:eastAsia="Times New Roman" w:hAnsi="Times New Roman"/>
          <w:sz w:val="16"/>
          <w:szCs w:val="16"/>
          <w:color w:val="auto"/>
        </w:rPr>
        <w:t>” means the date on which the Company provides the Mandatory Conversion Notice in accordance with Section 14.03(b).</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Mandatory Conversion Right</w:t>
      </w:r>
      <w:r>
        <w:rPr>
          <w:rFonts w:ascii="Times New Roman" w:cs="Times New Roman" w:eastAsia="Times New Roman" w:hAnsi="Times New Roman"/>
          <w:sz w:val="16"/>
          <w:szCs w:val="16"/>
          <w:color w:val="auto"/>
        </w:rPr>
        <w:t>” shall have the meaning specified in Section 14.03(a).</w:t>
      </w:r>
    </w:p>
    <w:p>
      <w:pPr>
        <w:spacing w:after="0" w:line="198" w:lineRule="exact"/>
        <w:rPr>
          <w:sz w:val="20"/>
          <w:szCs w:val="20"/>
          <w:color w:val="auto"/>
        </w:rPr>
      </w:pPr>
    </w:p>
    <w:p>
      <w:pPr>
        <w:jc w:val="both"/>
        <w:ind w:right="20" w:firstLine="382"/>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Market Capitalization</w:t>
      </w:r>
      <w:r>
        <w:rPr>
          <w:rFonts w:ascii="Times New Roman" w:cs="Times New Roman" w:eastAsia="Times New Roman" w:hAnsi="Times New Roman"/>
          <w:sz w:val="16"/>
          <w:szCs w:val="16"/>
          <w:color w:val="auto"/>
        </w:rPr>
        <w:t>” means, with respect to any date of determination, an amount equal to (i) the total number of issued and outstanding publicly traded shares of Common Stock multiplied by (ii) the 30-Day ADTV immediately preceding such date.</w:t>
      </w:r>
    </w:p>
    <w:p>
      <w:pPr>
        <w:spacing w:after="0" w:line="140"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Market Disruption Event</w:t>
      </w:r>
      <w:r>
        <w:rPr>
          <w:rFonts w:ascii="Times New Roman" w:cs="Times New Roman" w:eastAsia="Times New Roman" w:hAnsi="Times New Roman"/>
          <w:sz w:val="16"/>
          <w:szCs w:val="16"/>
          <w:color w:val="auto"/>
        </w:rPr>
        <w:t>” means, for the purpose of determining amounts due upon conversion only (a) a failure by the primary U.S. national or regional securities exchange or market on which the Common Stock is listed or admitted for trading to open for trading during its regular trading session or (b) the occurrence or existence prior to 1:00 p.m., New York City time, on any Scheduled Trading Day for the Common Stock for more than one half-hour period in the aggregate during regular trading hours of any suspension or limitation imposed on trading (by reason of movements in price exceeding limits permitted by the relevant stock exchange or otherwise) in the Common Stock or in any options contracts or futures contracts relating to the Common Stock.</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Maturity Date</w:t>
      </w:r>
      <w:r>
        <w:rPr>
          <w:rFonts w:ascii="Times New Roman" w:cs="Times New Roman" w:eastAsia="Times New Roman" w:hAnsi="Times New Roman"/>
          <w:sz w:val="16"/>
          <w:szCs w:val="16"/>
          <w:color w:val="auto"/>
        </w:rPr>
        <w:t>” means [●], 2026.</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Merger Event</w:t>
      </w:r>
      <w:r>
        <w:rPr>
          <w:rFonts w:ascii="Times New Roman" w:cs="Times New Roman" w:eastAsia="Times New Roman" w:hAnsi="Times New Roman"/>
          <w:sz w:val="16"/>
          <w:szCs w:val="16"/>
          <w:color w:val="auto"/>
        </w:rPr>
        <w:t>” shall have the meaning specified in Section 14.07(a).</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Nasdaq Stock Market</w:t>
      </w:r>
      <w:r>
        <w:rPr>
          <w:rFonts w:ascii="Times New Roman" w:cs="Times New Roman" w:eastAsia="Times New Roman" w:hAnsi="Times New Roman"/>
          <w:sz w:val="16"/>
          <w:szCs w:val="16"/>
          <w:color w:val="auto"/>
        </w:rPr>
        <w:t>” shall mean the Nasdaq Capital Market, the Nasdaq Global Market and the Nasdaq Global Select Market.</w:t>
      </w:r>
    </w:p>
    <w:p>
      <w:pPr>
        <w:spacing w:after="0" w:line="198"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Net Proceeds</w:t>
      </w:r>
      <w:r>
        <w:rPr>
          <w:rFonts w:ascii="Times New Roman" w:cs="Times New Roman" w:eastAsia="Times New Roman" w:hAnsi="Times New Roman"/>
          <w:sz w:val="16"/>
          <w:szCs w:val="16"/>
          <w:color w:val="auto"/>
        </w:rPr>
        <w:t>” means the aggregate cash proceeds and the fair market value of any Cash Equivalents received by the Company or any of its Subsidiaries in respect of any Asset Sale (including, without limitation, any cash or Cash Equivalents received upon the sale or other disposition of any non-cash consideration received in any Asset Sale), net of (1) the direct costs relating to such Asset Sale, including, without limitation, legal, accounting and investment banking fees, sales commissions, rationalization and other relocation expenses incurred as a result of the Asset Sale, and taxes paid or payable as a result of the Asset Sale after taking into account any available tax credits or deductions and any tax sharing arrangements, (2) amounts required to be applied to the repayment of Indebtedness secured by a Permitted Lien on the asset or assets that were the subject of such Asset Sale, and (3) any reserve for adjustment in respect of the sale price of such asset or assets established in accordance with GAAP.</w:t>
      </w:r>
    </w:p>
    <w:p>
      <w:pPr>
        <w:spacing w:after="0" w:line="1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Net Proceeds Offer</w:t>
      </w:r>
      <w:r>
        <w:rPr>
          <w:rFonts w:ascii="Times New Roman" w:cs="Times New Roman" w:eastAsia="Times New Roman" w:hAnsi="Times New Roman"/>
          <w:sz w:val="16"/>
          <w:szCs w:val="16"/>
          <w:color w:val="auto"/>
        </w:rPr>
        <w:t>” shall have the meaning specified in Section 4.18(d).</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Note</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b w:val="1"/>
          <w:bCs w:val="1"/>
          <w:color w:val="auto"/>
        </w:rPr>
        <w:t>Notes</w:t>
      </w:r>
      <w:r>
        <w:rPr>
          <w:rFonts w:ascii="Times New Roman" w:cs="Times New Roman" w:eastAsia="Times New Roman" w:hAnsi="Times New Roman"/>
          <w:sz w:val="16"/>
          <w:szCs w:val="16"/>
          <w:color w:val="auto"/>
        </w:rPr>
        <w:t>” shall have the meaning specified in the first paragraph of the recitals of this Indenture.</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Note Obligation</w:t>
      </w:r>
      <w:r>
        <w:rPr>
          <w:rFonts w:ascii="Times New Roman" w:cs="Times New Roman" w:eastAsia="Times New Roman" w:hAnsi="Times New Roman"/>
          <w:sz w:val="16"/>
          <w:szCs w:val="16"/>
          <w:color w:val="auto"/>
        </w:rPr>
        <w:t>” shall have the meaning specified in Section 13.01.</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Note Register</w:t>
      </w:r>
      <w:r>
        <w:rPr>
          <w:rFonts w:ascii="Times New Roman" w:cs="Times New Roman" w:eastAsia="Times New Roman" w:hAnsi="Times New Roman"/>
          <w:sz w:val="16"/>
          <w:szCs w:val="16"/>
          <w:color w:val="auto"/>
        </w:rPr>
        <w:t>” shall have the meaning specified in Section 2.05(a).</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Note Registrar</w:t>
      </w:r>
      <w:r>
        <w:rPr>
          <w:rFonts w:ascii="Times New Roman" w:cs="Times New Roman" w:eastAsia="Times New Roman" w:hAnsi="Times New Roman"/>
          <w:sz w:val="16"/>
          <w:szCs w:val="16"/>
          <w:color w:val="auto"/>
        </w:rPr>
        <w:t>” shall have the meaning specified in Section 2.05(a).</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32" w:name="page33"/>
    <w:bookmarkEnd w:id="32"/>
    <w:p>
      <w:pPr>
        <w:ind w:left="38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Notice of Conversion</w:t>
      </w:r>
      <w:r>
        <w:rPr>
          <w:rFonts w:ascii="Times New Roman" w:cs="Times New Roman" w:eastAsia="Times New Roman" w:hAnsi="Times New Roman"/>
          <w:sz w:val="16"/>
          <w:szCs w:val="16"/>
          <w:color w:val="auto"/>
        </w:rPr>
        <w:t>” shall have the meaning specified in Section 14.02(b).</w:t>
      </w:r>
    </w:p>
    <w:p>
      <w:pPr>
        <w:spacing w:after="0" w:line="198" w:lineRule="exact"/>
        <w:rPr>
          <w:sz w:val="20"/>
          <w:szCs w:val="20"/>
          <w:color w:val="auto"/>
        </w:rPr>
      </w:pPr>
    </w:p>
    <w:p>
      <w:pPr>
        <w:ind w:left="38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Notice of Redemption</w:t>
      </w:r>
      <w:r>
        <w:rPr>
          <w:rFonts w:ascii="Times New Roman" w:cs="Times New Roman" w:eastAsia="Times New Roman" w:hAnsi="Times New Roman"/>
          <w:sz w:val="16"/>
          <w:szCs w:val="16"/>
          <w:color w:val="auto"/>
        </w:rPr>
        <w:t>” shall have the meaning specified in Section 16.02(a).</w:t>
      </w:r>
    </w:p>
    <w:p>
      <w:pPr>
        <w:spacing w:after="0" w:line="198" w:lineRule="exact"/>
        <w:rPr>
          <w:sz w:val="20"/>
          <w:szCs w:val="20"/>
          <w:color w:val="auto"/>
        </w:rPr>
      </w:pPr>
    </w:p>
    <w:p>
      <w:pPr>
        <w:jc w:val="both"/>
        <w:ind w:left="4" w:firstLine="382"/>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Obligations</w:t>
      </w:r>
      <w:r>
        <w:rPr>
          <w:rFonts w:ascii="Times New Roman" w:cs="Times New Roman" w:eastAsia="Times New Roman" w:hAnsi="Times New Roman"/>
          <w:sz w:val="16"/>
          <w:szCs w:val="16"/>
          <w:color w:val="auto"/>
        </w:rPr>
        <w:t>” means all obligations for principal, premium, interest, penalties, fees, expenses, indemnifications, reimbursements, damages and other liabilities payable under the documentation governing any Indebtedness.</w:t>
      </w:r>
    </w:p>
    <w:p>
      <w:pPr>
        <w:spacing w:after="0" w:line="145" w:lineRule="exact"/>
        <w:rPr>
          <w:sz w:val="20"/>
          <w:szCs w:val="20"/>
          <w:color w:val="auto"/>
        </w:rPr>
      </w:pPr>
    </w:p>
    <w:p>
      <w:pPr>
        <w:jc w:val="both"/>
        <w:ind w:left="4" w:firstLine="382"/>
        <w:spacing w:after="0" w:line="22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Observation Period</w:t>
      </w:r>
      <w:r>
        <w:rPr>
          <w:rFonts w:ascii="Times New Roman" w:cs="Times New Roman" w:eastAsia="Times New Roman" w:hAnsi="Times New Roman"/>
          <w:sz w:val="15"/>
          <w:szCs w:val="15"/>
          <w:color w:val="auto"/>
        </w:rPr>
        <w:t>” with respect to any Note surrendered for conversion means: (i) subject to clause (ii), if the relevant Conversion Date occurs prior to [●], 2026</w:t>
      </w:r>
      <w:r>
        <w:rPr>
          <w:rFonts w:ascii="Times New Roman" w:cs="Times New Roman" w:eastAsia="Times New Roman" w:hAnsi="Times New Roman"/>
          <w:sz w:val="25"/>
          <w:szCs w:val="25"/>
          <w:color w:val="auto"/>
          <w:vertAlign w:val="superscript"/>
        </w:rPr>
        <w:t>4</w:t>
      </w:r>
      <w:r>
        <w:rPr>
          <w:rFonts w:ascii="Times New Roman" w:cs="Times New Roman" w:eastAsia="Times New Roman" w:hAnsi="Times New Roman"/>
          <w:sz w:val="15"/>
          <w:szCs w:val="15"/>
          <w:color w:val="auto"/>
        </w:rPr>
        <w:t>, the 30 consecutive Trading Day period beginning on, and including, the second Trading Day immediately succeeding such Conversion Date; (ii) if the relevant Conversion Date for</w:t>
      </w:r>
    </w:p>
    <w:p>
      <w:pPr>
        <w:jc w:val="both"/>
        <w:ind w:left="4" w:right="20"/>
        <w:spacing w:after="0" w:line="231" w:lineRule="auto"/>
        <w:rPr>
          <w:sz w:val="20"/>
          <w:szCs w:val="20"/>
          <w:color w:val="auto"/>
        </w:rPr>
      </w:pPr>
      <w:r>
        <w:rPr>
          <w:rFonts w:ascii="Times New Roman" w:cs="Times New Roman" w:eastAsia="Times New Roman" w:hAnsi="Times New Roman"/>
          <w:sz w:val="16"/>
          <w:szCs w:val="16"/>
          <w:color w:val="auto"/>
        </w:rPr>
        <w:t>a Note called for redemption occurs during a Redemption Period pursuant to Section 16.02, the 30 consecutive Trading Days beginning on, and including, the 31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6"/>
          <w:szCs w:val="16"/>
          <w:color w:val="auto"/>
        </w:rPr>
        <w:t xml:space="preserve"> Scheduled Trading Day immediately preceding such Redemption Date; and (iii) subject to clause (ii) of this definition above, if the relevant Conversion Date occurs on or after [●], 2026, the 30 consecutive Trading Days beginning on, and including, the 31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6"/>
          <w:szCs w:val="16"/>
          <w:color w:val="auto"/>
        </w:rPr>
        <w:t xml:space="preserve"> Scheduled Trading Day immediately preceding the Maturity Date.</w:t>
      </w:r>
    </w:p>
    <w:p>
      <w:pPr>
        <w:spacing w:after="0" w:line="65" w:lineRule="exact"/>
        <w:rPr>
          <w:sz w:val="20"/>
          <w:szCs w:val="20"/>
          <w:color w:val="auto"/>
        </w:rPr>
      </w:pPr>
    </w:p>
    <w:p>
      <w:pPr>
        <w:jc w:val="both"/>
        <w:ind w:left="4" w:right="20" w:firstLine="382"/>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Officer</w:t>
      </w:r>
      <w:r>
        <w:rPr>
          <w:rFonts w:ascii="Times New Roman" w:cs="Times New Roman" w:eastAsia="Times New Roman" w:hAnsi="Times New Roman"/>
          <w:sz w:val="16"/>
          <w:szCs w:val="16"/>
          <w:color w:val="auto"/>
        </w:rPr>
        <w:t>” means, with respect to the Company, the Chief Executive Officer, the Chief Financial Officer, or the Chief Revenue Officer, or any Vice President (whether or not designated by a number or numbers or word or words added before or after the title “Vice President”).</w:t>
      </w:r>
    </w:p>
    <w:p>
      <w:pPr>
        <w:spacing w:after="0" w:line="140" w:lineRule="exact"/>
        <w:rPr>
          <w:sz w:val="20"/>
          <w:szCs w:val="20"/>
          <w:color w:val="auto"/>
        </w:rPr>
      </w:pPr>
    </w:p>
    <w:p>
      <w:pPr>
        <w:jc w:val="both"/>
        <w:ind w:left="4" w:right="20" w:firstLine="382"/>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Officer’s Certificate</w:t>
      </w:r>
      <w:r>
        <w:rPr>
          <w:rFonts w:ascii="Times New Roman" w:cs="Times New Roman" w:eastAsia="Times New Roman" w:hAnsi="Times New Roman"/>
          <w:sz w:val="16"/>
          <w:szCs w:val="16"/>
          <w:color w:val="auto"/>
        </w:rPr>
        <w:t>,” when used with respect to the Company, means a certificate that is delivered to the Trustee and that is signed by any Officer of the Company. Each such certificate shall include the statements provided for in Section 18.05 if and to the extent required by the provisions of such Section. The Officer giving an Officer’s Certificate pursuant to Section 4.08 shall be the principal executive, financial or accounting officer of the Company.</w:t>
      </w:r>
    </w:p>
    <w:p>
      <w:pPr>
        <w:spacing w:after="0" w:line="153" w:lineRule="exact"/>
        <w:rPr>
          <w:sz w:val="20"/>
          <w:szCs w:val="20"/>
          <w:color w:val="auto"/>
        </w:rPr>
      </w:pPr>
    </w:p>
    <w:p>
      <w:pPr>
        <w:ind w:left="38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open of business</w:t>
      </w:r>
      <w:r>
        <w:rPr>
          <w:rFonts w:ascii="Times New Roman" w:cs="Times New Roman" w:eastAsia="Times New Roman" w:hAnsi="Times New Roman"/>
          <w:sz w:val="16"/>
          <w:szCs w:val="16"/>
          <w:color w:val="auto"/>
        </w:rPr>
        <w:t>” means 9:00 a.m. (New York City time).</w:t>
      </w:r>
    </w:p>
    <w:p>
      <w:pPr>
        <w:spacing w:after="0" w:line="198" w:lineRule="exact"/>
        <w:rPr>
          <w:sz w:val="20"/>
          <w:szCs w:val="20"/>
          <w:color w:val="auto"/>
        </w:rPr>
      </w:pPr>
    </w:p>
    <w:p>
      <w:pPr>
        <w:jc w:val="both"/>
        <w:ind w:left="4" w:right="20" w:firstLine="382"/>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Opinion of Counsel</w:t>
      </w:r>
      <w:r>
        <w:rPr>
          <w:rFonts w:ascii="Times New Roman" w:cs="Times New Roman" w:eastAsia="Times New Roman" w:hAnsi="Times New Roman"/>
          <w:sz w:val="16"/>
          <w:szCs w:val="16"/>
          <w:color w:val="auto"/>
        </w:rPr>
        <w:t>” means an opinion in writing signed by legal counsel, who may be an employee of or counsel to the Company, or other counsel who is reasonably acceptable to the Trustee, which opinion may contain customary exceptions and qualifications as to the matters set forth therein, that is delivered to the Trustee. Each such opinion shall include the statements provided for in Section 18.05 if and to the extent required by the provisions of such Section 18.05.</w:t>
      </w:r>
    </w:p>
    <w:p>
      <w:pPr>
        <w:spacing w:after="0" w:line="153" w:lineRule="exact"/>
        <w:rPr>
          <w:sz w:val="20"/>
          <w:szCs w:val="20"/>
          <w:color w:val="auto"/>
        </w:rPr>
      </w:pPr>
    </w:p>
    <w:p>
      <w:pPr>
        <w:ind w:left="38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Optional Redemption</w:t>
      </w:r>
      <w:r>
        <w:rPr>
          <w:rFonts w:ascii="Times New Roman" w:cs="Times New Roman" w:eastAsia="Times New Roman" w:hAnsi="Times New Roman"/>
          <w:sz w:val="16"/>
          <w:szCs w:val="16"/>
          <w:color w:val="auto"/>
        </w:rPr>
        <w:t>” shall have the meaning specified in Section 16.01.</w:t>
      </w:r>
    </w:p>
    <w:p>
      <w:pPr>
        <w:spacing w:after="0" w:line="198" w:lineRule="exact"/>
        <w:rPr>
          <w:sz w:val="20"/>
          <w:szCs w:val="20"/>
          <w:color w:val="auto"/>
        </w:rPr>
      </w:pPr>
    </w:p>
    <w:p>
      <w:pPr>
        <w:jc w:val="both"/>
        <w:ind w:left="4" w:right="20" w:firstLine="382"/>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outstanding</w:t>
      </w:r>
      <w:r>
        <w:rPr>
          <w:rFonts w:ascii="Times New Roman" w:cs="Times New Roman" w:eastAsia="Times New Roman" w:hAnsi="Times New Roman"/>
          <w:sz w:val="16"/>
          <w:szCs w:val="16"/>
          <w:color w:val="auto"/>
        </w:rPr>
        <w:t>,” when used with reference to Notes, shall, subject to the provisions of Section 8.04, mean, as of any particular time, all Notes authenticated and delivered by the Trustee under this Indenture, except:</w:t>
      </w:r>
    </w:p>
    <w:p>
      <w:pPr>
        <w:spacing w:after="0" w:line="142" w:lineRule="exact"/>
        <w:rPr>
          <w:sz w:val="20"/>
          <w:szCs w:val="20"/>
          <w:color w:val="auto"/>
        </w:rPr>
      </w:pPr>
    </w:p>
    <w:p>
      <w:pPr>
        <w:ind w:left="1024" w:hanging="260"/>
        <w:spacing w:after="0"/>
        <w:tabs>
          <w:tab w:leader="none" w:pos="1024"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Notes theretofore canceled by the Trustee or accepted by the Trustee for cancellation;</w:t>
      </w:r>
    </w:p>
    <w:p>
      <w:pPr>
        <w:spacing w:after="0" w:line="198" w:lineRule="exact"/>
        <w:rPr>
          <w:rFonts w:ascii="Times New Roman" w:cs="Times New Roman" w:eastAsia="Times New Roman" w:hAnsi="Times New Roman"/>
          <w:sz w:val="16"/>
          <w:szCs w:val="16"/>
          <w:color w:val="auto"/>
        </w:rPr>
      </w:pPr>
    </w:p>
    <w:p>
      <w:pPr>
        <w:jc w:val="both"/>
        <w:ind w:left="384" w:firstLine="380"/>
        <w:spacing w:after="0" w:line="265" w:lineRule="auto"/>
        <w:tabs>
          <w:tab w:leader="none" w:pos="1032"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Notes, or portions thereof, that have become due and payable and in respect of which monies in the necessary amount shall have been deposited in trust with the Trustee or with any Paying Agent (other than the Company) or shall have been set aside and segregated in trust by the Company (if the Company shall act as its own Paying Agent);</w:t>
      </w:r>
    </w:p>
    <w:p>
      <w:pPr>
        <w:spacing w:after="0" w:line="155" w:lineRule="exact"/>
        <w:rPr>
          <w:rFonts w:ascii="Times New Roman" w:cs="Times New Roman" w:eastAsia="Times New Roman" w:hAnsi="Times New Roman"/>
          <w:sz w:val="16"/>
          <w:szCs w:val="16"/>
          <w:color w:val="auto"/>
        </w:rPr>
      </w:pPr>
    </w:p>
    <w:p>
      <w:pPr>
        <w:ind w:left="384" w:firstLine="380"/>
        <w:spacing w:after="0" w:line="280" w:lineRule="auto"/>
        <w:tabs>
          <w:tab w:leader="none" w:pos="1063"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Notes that have been paid pursuant to Section 2.08 or Notes in lieu of which, or in substitution for which, other Notes shall have been authenticated and delivered pursuant to the terms of Section 2.08 unless proof satisfactory to the Trustee is presented that any such Notes are held by protected purchasers in due course;</w:t>
      </w:r>
    </w:p>
    <w:p>
      <w:pPr>
        <w:spacing w:after="0" w:line="144" w:lineRule="exact"/>
        <w:rPr>
          <w:rFonts w:ascii="Times New Roman" w:cs="Times New Roman" w:eastAsia="Times New Roman" w:hAnsi="Times New Roman"/>
          <w:sz w:val="16"/>
          <w:szCs w:val="16"/>
          <w:color w:val="auto"/>
        </w:rPr>
      </w:pPr>
    </w:p>
    <w:p>
      <w:pPr>
        <w:ind w:left="1024" w:hanging="260"/>
        <w:spacing w:after="0"/>
        <w:tabs>
          <w:tab w:leader="none" w:pos="1024"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Notes converted pursuant to Article 14 and required to be cancelled pursuant to Section 2.08;</w:t>
      </w:r>
    </w:p>
    <w:p>
      <w:pPr>
        <w:spacing w:after="0" w:line="198" w:lineRule="exact"/>
        <w:rPr>
          <w:rFonts w:ascii="Times New Roman" w:cs="Times New Roman" w:eastAsia="Times New Roman" w:hAnsi="Times New Roman"/>
          <w:sz w:val="16"/>
          <w:szCs w:val="16"/>
          <w:color w:val="auto"/>
        </w:rPr>
      </w:pPr>
    </w:p>
    <w:p>
      <w:pPr>
        <w:ind w:left="1024" w:hanging="260"/>
        <w:spacing w:after="0"/>
        <w:tabs>
          <w:tab w:leader="none" w:pos="1024"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Notes redeemed pursuant to Article 16; and</w:t>
      </w:r>
    </w:p>
    <w:p>
      <w:pPr>
        <w:spacing w:after="0" w:line="198" w:lineRule="exact"/>
        <w:rPr>
          <w:rFonts w:ascii="Times New Roman" w:cs="Times New Roman" w:eastAsia="Times New Roman" w:hAnsi="Times New Roman"/>
          <w:sz w:val="16"/>
          <w:szCs w:val="16"/>
          <w:color w:val="auto"/>
        </w:rPr>
      </w:pPr>
    </w:p>
    <w:p>
      <w:pPr>
        <w:ind w:left="964" w:hanging="200"/>
        <w:spacing w:after="0"/>
        <w:tabs>
          <w:tab w:leader="none" w:pos="964"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Notes repurchased by the Company pursuant to the penultimate sentence of Section 2.10 and delivered to the Trustee for cancellation.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1790700"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214" w:lineRule="exact"/>
        <w:rPr>
          <w:sz w:val="20"/>
          <w:szCs w:val="20"/>
          <w:color w:val="auto"/>
        </w:rPr>
      </w:pPr>
    </w:p>
    <w:p>
      <w:pPr>
        <w:ind w:left="284" w:hanging="284"/>
        <w:spacing w:after="0"/>
        <w:tabs>
          <w:tab w:leader="none" w:pos="284"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NTD: Insert date that is 32 days prior to the Maturity Date.</w:t>
      </w:r>
    </w:p>
    <w:p>
      <w:pPr>
        <w:spacing w:after="0" w:line="3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4" w:right="319" w:bottom="1440" w:gutter="0" w:footer="0" w:header="0"/>
        </w:sectPr>
      </w:pPr>
    </w:p>
    <w:bookmarkStart w:id="33" w:name="page34"/>
    <w:bookmarkEnd w:id="33"/>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Paying Agent</w:t>
      </w:r>
      <w:r>
        <w:rPr>
          <w:rFonts w:ascii="Times New Roman" w:cs="Times New Roman" w:eastAsia="Times New Roman" w:hAnsi="Times New Roman"/>
          <w:sz w:val="16"/>
          <w:szCs w:val="16"/>
          <w:color w:val="auto"/>
        </w:rPr>
        <w:t>” shall have the meaning specified in Section 4.02.</w:t>
      </w:r>
    </w:p>
    <w:p>
      <w:pPr>
        <w:spacing w:after="0" w:line="198" w:lineRule="exact"/>
        <w:rPr>
          <w:sz w:val="20"/>
          <w:szCs w:val="20"/>
          <w:color w:val="auto"/>
        </w:rPr>
      </w:pPr>
    </w:p>
    <w:p>
      <w:pPr>
        <w:ind w:firstLine="382"/>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Permitted Business</w:t>
      </w:r>
      <w:r>
        <w:rPr>
          <w:rFonts w:ascii="Times New Roman" w:cs="Times New Roman" w:eastAsia="Times New Roman" w:hAnsi="Times New Roman"/>
          <w:sz w:val="16"/>
          <w:szCs w:val="16"/>
          <w:color w:val="auto"/>
        </w:rPr>
        <w:t>” means a business in which the Company and its Subsidiaries were engaged on the Closing Date, and any business that is related, ancillary, incidental or complementary thereto.</w:t>
      </w:r>
    </w:p>
    <w:p>
      <w:pPr>
        <w:spacing w:after="0" w:line="14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Permitted Indebtedness</w:t>
      </w:r>
      <w:r>
        <w:rPr>
          <w:rFonts w:ascii="Times New Roman" w:cs="Times New Roman" w:eastAsia="Times New Roman" w:hAnsi="Times New Roman"/>
          <w:sz w:val="16"/>
          <w:szCs w:val="16"/>
          <w:color w:val="auto"/>
        </w:rPr>
        <w:t>” shall have the meaning specified in Section 4.11(b).</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Permitted Investment</w:t>
      </w:r>
      <w:r>
        <w:rPr>
          <w:rFonts w:ascii="Times New Roman" w:cs="Times New Roman" w:eastAsia="Times New Roman" w:hAnsi="Times New Roman"/>
          <w:sz w:val="16"/>
          <w:szCs w:val="16"/>
          <w:color w:val="auto"/>
        </w:rPr>
        <w:t>” means:</w:t>
      </w:r>
    </w:p>
    <w:p>
      <w:pPr>
        <w:spacing w:after="0" w:line="200" w:lineRule="exact"/>
        <w:rPr>
          <w:sz w:val="20"/>
          <w:szCs w:val="20"/>
          <w:color w:val="auto"/>
        </w:rPr>
      </w:pPr>
    </w:p>
    <w:p>
      <w:pPr>
        <w:jc w:val="both"/>
        <w:ind w:right="20" w:firstLine="378"/>
        <w:spacing w:after="0" w:line="265" w:lineRule="auto"/>
        <w:tabs>
          <w:tab w:leader="none" w:pos="615"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Section 4.19, any Investment in a Subsidiary (including the Capital Stock of a Subsidiary) or the Company or a Person that will, upon the making of such Investment, become a Subsidiary or merge or consolidate with or into, or transfer or convey all or substantially all its assets to, or is liquidated into, the Company or a Subsidiary;</w:t>
      </w:r>
    </w:p>
    <w:p>
      <w:pPr>
        <w:spacing w:after="0" w:line="155" w:lineRule="exact"/>
        <w:rPr>
          <w:rFonts w:ascii="Times New Roman" w:cs="Times New Roman" w:eastAsia="Times New Roman" w:hAnsi="Times New Roman"/>
          <w:sz w:val="16"/>
          <w:szCs w:val="16"/>
          <w:color w:val="auto"/>
        </w:rPr>
      </w:pPr>
    </w:p>
    <w:p>
      <w:pPr>
        <w:ind w:right="20" w:firstLine="378"/>
        <w:spacing w:after="0" w:line="280" w:lineRule="auto"/>
        <w:tabs>
          <w:tab w:leader="none" w:pos="632"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receivables owing to the Company or any Subsidiary created or acquired in the ordinary course of business and payable or dischargeable in accordance with customary trade terms;</w:t>
      </w:r>
    </w:p>
    <w:p>
      <w:pPr>
        <w:spacing w:after="0" w:line="144" w:lineRule="exact"/>
        <w:rPr>
          <w:rFonts w:ascii="Times New Roman" w:cs="Times New Roman" w:eastAsia="Times New Roman" w:hAnsi="Times New Roman"/>
          <w:sz w:val="16"/>
          <w:szCs w:val="16"/>
          <w:color w:val="auto"/>
        </w:rPr>
      </w:pPr>
    </w:p>
    <w:p>
      <w:pPr>
        <w:ind w:firstLine="378"/>
        <w:spacing w:after="0" w:line="280" w:lineRule="auto"/>
        <w:tabs>
          <w:tab w:leader="none" w:pos="608"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payroll, travel and similar advances to cover matters that are expected at the time of such advances ultimately to be treated as expenses for accounting purposes and that are made in the ordinary course of business;</w:t>
      </w:r>
    </w:p>
    <w:p>
      <w:pPr>
        <w:spacing w:after="0" w:line="144" w:lineRule="exact"/>
        <w:rPr>
          <w:rFonts w:ascii="Times New Roman" w:cs="Times New Roman" w:eastAsia="Times New Roman" w:hAnsi="Times New Roman"/>
          <w:sz w:val="16"/>
          <w:szCs w:val="16"/>
          <w:color w:val="auto"/>
        </w:rPr>
      </w:pPr>
    </w:p>
    <w:p>
      <w:pPr>
        <w:ind w:left="600" w:hanging="222"/>
        <w:spacing w:after="0"/>
        <w:tabs>
          <w:tab w:leader="none" w:pos="6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Investments in or repurchases of the Notes;</w:t>
      </w:r>
    </w:p>
    <w:p>
      <w:pPr>
        <w:spacing w:after="0" w:line="198" w:lineRule="exact"/>
        <w:rPr>
          <w:rFonts w:ascii="Times New Roman" w:cs="Times New Roman" w:eastAsia="Times New Roman" w:hAnsi="Times New Roman"/>
          <w:sz w:val="16"/>
          <w:szCs w:val="16"/>
          <w:color w:val="auto"/>
        </w:rPr>
      </w:pPr>
    </w:p>
    <w:p>
      <w:pPr>
        <w:jc w:val="both"/>
        <w:ind w:firstLine="378"/>
        <w:spacing w:after="0" w:line="265" w:lineRule="auto"/>
        <w:tabs>
          <w:tab w:leader="none" w:pos="6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Section 4.19, any Investments consisting of purchases and acquisitions of inventory, supplies, services, material and equipment or licenses or leases of intellectual property, in any case, in the ordinary course of business or for the purpose of obtaining, maintaining or renewing client contracts and loans and advances to distributors, in each case, in the ordinary course of business;</w:t>
      </w:r>
    </w:p>
    <w:p>
      <w:pPr>
        <w:spacing w:after="0" w:line="155" w:lineRule="exact"/>
        <w:rPr>
          <w:rFonts w:ascii="Times New Roman" w:cs="Times New Roman" w:eastAsia="Times New Roman" w:hAnsi="Times New Roman"/>
          <w:sz w:val="16"/>
          <w:szCs w:val="16"/>
          <w:color w:val="auto"/>
        </w:rPr>
      </w:pPr>
    </w:p>
    <w:p>
      <w:pPr>
        <w:ind w:right="20" w:firstLine="378"/>
        <w:spacing w:after="0" w:line="280" w:lineRule="auto"/>
        <w:tabs>
          <w:tab w:leader="none" w:pos="6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Investments in prepaid expenses, negotiable instruments held for collection and lease, utility and workers’ compensation, performance and similar deposits entered into as a result of the operations of the business of the Company and its Subsidiaries in the ordinary course of business;</w:t>
      </w:r>
    </w:p>
    <w:p>
      <w:pPr>
        <w:spacing w:after="0" w:line="144" w:lineRule="exact"/>
        <w:rPr>
          <w:rFonts w:ascii="Times New Roman" w:cs="Times New Roman" w:eastAsia="Times New Roman" w:hAnsi="Times New Roman"/>
          <w:sz w:val="16"/>
          <w:szCs w:val="16"/>
          <w:color w:val="auto"/>
        </w:rPr>
      </w:pPr>
    </w:p>
    <w:p>
      <w:pPr>
        <w:ind w:left="600" w:hanging="222"/>
        <w:spacing w:after="0"/>
        <w:tabs>
          <w:tab w:leader="none" w:pos="6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Guarantees issued in accordance with Section 4.14 and Article 17;</w:t>
      </w:r>
    </w:p>
    <w:p>
      <w:pPr>
        <w:spacing w:after="0" w:line="196" w:lineRule="exact"/>
        <w:rPr>
          <w:rFonts w:ascii="Times New Roman" w:cs="Times New Roman" w:eastAsia="Times New Roman" w:hAnsi="Times New Roman"/>
          <w:sz w:val="16"/>
          <w:szCs w:val="16"/>
          <w:color w:val="auto"/>
        </w:rPr>
      </w:pPr>
    </w:p>
    <w:p>
      <w:pPr>
        <w:jc w:val="both"/>
        <w:ind w:right="20" w:firstLine="378"/>
        <w:spacing w:after="0" w:line="266" w:lineRule="auto"/>
        <w:tabs>
          <w:tab w:leader="none" w:pos="637"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Investments in existence on the Issue Date and any extension, modification, replacement, reinvestment or renewal thereof;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any such extensions, modifications, replacements, reinvestments or renewals are not more disadvantageous to the Holders in any material respect than such Investments as they were in existence on the Issue Date; and</w:t>
      </w:r>
    </w:p>
    <w:p>
      <w:pPr>
        <w:spacing w:after="0" w:line="155" w:lineRule="exact"/>
        <w:rPr>
          <w:rFonts w:ascii="Times New Roman" w:cs="Times New Roman" w:eastAsia="Times New Roman" w:hAnsi="Times New Roman"/>
          <w:sz w:val="16"/>
          <w:szCs w:val="16"/>
          <w:color w:val="auto"/>
        </w:rPr>
      </w:pPr>
    </w:p>
    <w:p>
      <w:pPr>
        <w:ind w:left="600" w:hanging="222"/>
        <w:spacing w:after="0"/>
        <w:tabs>
          <w:tab w:leader="none" w:pos="6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and Cash Equivalents.</w:t>
      </w:r>
    </w:p>
    <w:p>
      <w:pPr>
        <w:spacing w:after="0" w:line="1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Permitted Liens</w:t>
      </w:r>
      <w:r>
        <w:rPr>
          <w:rFonts w:ascii="Times New Roman" w:cs="Times New Roman" w:eastAsia="Times New Roman" w:hAnsi="Times New Roman"/>
          <w:sz w:val="16"/>
          <w:szCs w:val="16"/>
          <w:color w:val="auto"/>
        </w:rPr>
        <w:t>” means the following types of Liens:</w:t>
      </w:r>
    </w:p>
    <w:p>
      <w:pPr>
        <w:spacing w:after="0" w:line="200" w:lineRule="exact"/>
        <w:rPr>
          <w:sz w:val="20"/>
          <w:szCs w:val="20"/>
          <w:color w:val="auto"/>
        </w:rPr>
      </w:pPr>
    </w:p>
    <w:p>
      <w:pPr>
        <w:ind w:left="600" w:hanging="222"/>
        <w:spacing w:after="0"/>
        <w:tabs>
          <w:tab w:leader="none" w:pos="6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securing Indebtedness incurred pursuant to Section 4.11(b)(1) and all related Obligations;</w:t>
      </w:r>
    </w:p>
    <w:p>
      <w:pPr>
        <w:spacing w:after="0" w:line="198" w:lineRule="exact"/>
        <w:rPr>
          <w:rFonts w:ascii="Times New Roman" w:cs="Times New Roman" w:eastAsia="Times New Roman" w:hAnsi="Times New Roman"/>
          <w:sz w:val="16"/>
          <w:szCs w:val="16"/>
          <w:color w:val="auto"/>
        </w:rPr>
      </w:pPr>
    </w:p>
    <w:p>
      <w:pPr>
        <w:jc w:val="both"/>
        <w:ind w:right="20" w:firstLine="378"/>
        <w:spacing w:after="0" w:line="265" w:lineRule="auto"/>
        <w:tabs>
          <w:tab w:leader="none" w:pos="608"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Liens securing Indebtedness incurred pursuant to Section 4.11(b)(6) and all related Obligations; provided that such Liens do not extend to any property or assets other than property or assets acquired with such Indebtedness (and additions, accessions, improvements and replacements and customary deposits in connection therewith and proceeds and products therefrom) and (ii) Liens incurred in the ordinary course of business securing Indebtedness incurred pursuant to Section 4.11(b)(13);</w:t>
      </w:r>
    </w:p>
    <w:p>
      <w:pPr>
        <w:spacing w:after="0" w:line="155" w:lineRule="exact"/>
        <w:rPr>
          <w:rFonts w:ascii="Times New Roman" w:cs="Times New Roman" w:eastAsia="Times New Roman" w:hAnsi="Times New Roman"/>
          <w:sz w:val="16"/>
          <w:szCs w:val="16"/>
          <w:color w:val="auto"/>
        </w:rPr>
      </w:pPr>
    </w:p>
    <w:p>
      <w:pPr>
        <w:ind w:left="660" w:hanging="282"/>
        <w:spacing w:after="0"/>
        <w:tabs>
          <w:tab w:leader="none" w:pos="6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imposed by law, including carriers’, warehousemen’s, mechanics’, materialmen’s, repairmen’s Liens or other similar Liens, incurred in the ordinary course of</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w:t>
      </w:r>
    </w:p>
    <w:p>
      <w:pPr>
        <w:spacing w:after="0" w:line="181" w:lineRule="exact"/>
        <w:rPr>
          <w:rFonts w:ascii="Times New Roman" w:cs="Times New Roman" w:eastAsia="Times New Roman" w:hAnsi="Times New Roman"/>
          <w:sz w:val="16"/>
          <w:szCs w:val="16"/>
          <w:color w:val="auto"/>
        </w:rPr>
      </w:pPr>
    </w:p>
    <w:p>
      <w:pPr>
        <w:ind w:right="20" w:firstLine="378"/>
        <w:spacing w:after="0" w:line="280" w:lineRule="auto"/>
        <w:tabs>
          <w:tab w:leader="none" w:pos="62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for taxes, assessments or other governmental charges not yet subject to penalties for non-payment or that are being contested in good faith by appropriate proceedings, provided appropriate reserves required pursuant to GAAP have been made in respect thereof;</w:t>
      </w:r>
    </w:p>
    <w:p>
      <w:pPr>
        <w:spacing w:after="0" w:line="144" w:lineRule="exact"/>
        <w:rPr>
          <w:rFonts w:ascii="Times New Roman" w:cs="Times New Roman" w:eastAsia="Times New Roman" w:hAnsi="Times New Roman"/>
          <w:sz w:val="16"/>
          <w:szCs w:val="16"/>
          <w:color w:val="auto"/>
        </w:rPr>
      </w:pPr>
    </w:p>
    <w:p>
      <w:pPr>
        <w:ind w:right="20" w:firstLine="378"/>
        <w:spacing w:after="0" w:line="280" w:lineRule="auto"/>
        <w:tabs>
          <w:tab w:leader="none" w:pos="65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in favor of issuers of surety or performance bonds or letters of credit or bankers’ acceptances or similar obligations issued pursuant to the request of and for the account of such Person in the ordinary course of its business; provided, however, that such letters of credit do not constitute Indebtedness;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34" w:name="page35"/>
    <w:bookmarkEnd w:id="34"/>
    <w:p>
      <w:pPr>
        <w:jc w:val="both"/>
        <w:ind w:right="20" w:firstLine="378"/>
        <w:spacing w:after="0" w:line="265" w:lineRule="auto"/>
        <w:tabs>
          <w:tab w:leader="none" w:pos="652"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pledges, deposits or Liens in connection with workers’ compensation, professional liability insurance, insurance programs, unemployment insurance and other social security and other similar legislation or other insurance-related obligations (including, without limitation, pledges or deposits securing liability to insurance carriers under insurance or self-insurance arrangements);</w:t>
      </w:r>
    </w:p>
    <w:p>
      <w:pPr>
        <w:spacing w:after="0" w:line="155" w:lineRule="exact"/>
        <w:rPr>
          <w:rFonts w:ascii="Times New Roman" w:cs="Times New Roman" w:eastAsia="Times New Roman" w:hAnsi="Times New Roman"/>
          <w:sz w:val="16"/>
          <w:szCs w:val="16"/>
          <w:color w:val="auto"/>
        </w:rPr>
      </w:pPr>
    </w:p>
    <w:p>
      <w:pPr>
        <w:ind w:firstLine="378"/>
        <w:spacing w:after="0" w:line="280" w:lineRule="auto"/>
        <w:tabs>
          <w:tab w:leader="none" w:pos="672"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existing on the Issue Date (other than Liens permitted under clauses (1) and (2)) and replacement Liens that do not encumber additional assets, unless such encumbrance is otherwise permitted;</w:t>
      </w:r>
    </w:p>
    <w:p>
      <w:pPr>
        <w:spacing w:after="0" w:line="144" w:lineRule="exact"/>
        <w:rPr>
          <w:rFonts w:ascii="Times New Roman" w:cs="Times New Roman" w:eastAsia="Times New Roman" w:hAnsi="Times New Roman"/>
          <w:sz w:val="16"/>
          <w:szCs w:val="16"/>
          <w:color w:val="auto"/>
        </w:rPr>
      </w:pPr>
    </w:p>
    <w:p>
      <w:pPr>
        <w:ind w:left="640" w:hanging="262"/>
        <w:spacing w:after="0"/>
        <w:tabs>
          <w:tab w:leader="none" w:pos="64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securing Indebtedness or other obligations of a Subsidiary of the Company owing to the Company or another Subsidiary of the Company; and</w:t>
      </w:r>
    </w:p>
    <w:p>
      <w:pPr>
        <w:spacing w:after="0" w:line="198" w:lineRule="exact"/>
        <w:rPr>
          <w:rFonts w:ascii="Times New Roman" w:cs="Times New Roman" w:eastAsia="Times New Roman" w:hAnsi="Times New Roman"/>
          <w:sz w:val="16"/>
          <w:szCs w:val="16"/>
          <w:color w:val="auto"/>
        </w:rPr>
      </w:pPr>
    </w:p>
    <w:p>
      <w:pPr>
        <w:jc w:val="both"/>
        <w:ind w:right="20" w:firstLine="378"/>
        <w:spacing w:after="0" w:line="265" w:lineRule="auto"/>
        <w:tabs>
          <w:tab w:leader="none" w:pos="649"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Section 4.19, Liens existing on property or assets of a Person at the time such Person becomes a Subsidiary of the Company (or at the time the Company or a Subsidiary acquires such property or assets); provided, however, that such Liens and arrangements are not created in connection with, or in contemplation of, such other Person becoming such a Subsidiary (or such acquisition of such property or assets).</w:t>
      </w:r>
    </w:p>
    <w:p>
      <w:pPr>
        <w:spacing w:after="0" w:line="1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Physical Settlement</w:t>
      </w:r>
      <w:r>
        <w:rPr>
          <w:rFonts w:ascii="Times New Roman" w:cs="Times New Roman" w:eastAsia="Times New Roman" w:hAnsi="Times New Roman"/>
          <w:sz w:val="16"/>
          <w:szCs w:val="16"/>
          <w:color w:val="auto"/>
        </w:rPr>
        <w:t>” shall have the meaning specified in Section 14.02(a)(i).</w:t>
      </w:r>
    </w:p>
    <w:p>
      <w:pPr>
        <w:spacing w:after="0" w:line="198" w:lineRule="exact"/>
        <w:rPr>
          <w:sz w:val="20"/>
          <w:szCs w:val="20"/>
          <w:color w:val="auto"/>
        </w:rPr>
      </w:pPr>
    </w:p>
    <w:p>
      <w:pPr>
        <w:jc w:val="both"/>
        <w:ind w:right="20" w:firstLine="382"/>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PIK Interest</w:t>
      </w:r>
      <w:r>
        <w:rPr>
          <w:rFonts w:ascii="Times New Roman" w:cs="Times New Roman" w:eastAsia="Times New Roman" w:hAnsi="Times New Roman"/>
          <w:sz w:val="16"/>
          <w:szCs w:val="16"/>
          <w:color w:val="auto"/>
        </w:rPr>
        <w:t>” means the portion of an installment of interest due on each Interest Payment Date in respect of Notes that is payable in PIK Notes or by increasing the outstanding principal amount of the Notes, in each case as provided in the Notes.</w:t>
      </w:r>
    </w:p>
    <w:p>
      <w:pPr>
        <w:spacing w:after="0" w:line="14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PIK Notes</w:t>
      </w:r>
      <w:r>
        <w:rPr>
          <w:rFonts w:ascii="Times New Roman" w:cs="Times New Roman" w:eastAsia="Times New Roman" w:hAnsi="Times New Roman"/>
          <w:sz w:val="16"/>
          <w:szCs w:val="16"/>
          <w:color w:val="auto"/>
        </w:rPr>
        <w:t>” shall have the meaning specified in Section 2.02.</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PIK Payment</w:t>
      </w:r>
      <w:r>
        <w:rPr>
          <w:rFonts w:ascii="Times New Roman" w:cs="Times New Roman" w:eastAsia="Times New Roman" w:hAnsi="Times New Roman"/>
          <w:sz w:val="16"/>
          <w:szCs w:val="16"/>
          <w:color w:val="auto"/>
        </w:rPr>
        <w:t>” shall have the meaning specified in Section 2.02.</w:t>
      </w:r>
    </w:p>
    <w:p>
      <w:pPr>
        <w:spacing w:after="0" w:line="198" w:lineRule="exact"/>
        <w:rPr>
          <w:sz w:val="20"/>
          <w:szCs w:val="20"/>
          <w:color w:val="auto"/>
        </w:rPr>
      </w:pPr>
    </w:p>
    <w:p>
      <w:pPr>
        <w:jc w:val="both"/>
        <w:ind w:right="20" w:firstLine="382"/>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Person</w:t>
      </w:r>
      <w:r>
        <w:rPr>
          <w:rFonts w:ascii="Times New Roman" w:cs="Times New Roman" w:eastAsia="Times New Roman" w:hAnsi="Times New Roman"/>
          <w:sz w:val="16"/>
          <w:szCs w:val="16"/>
          <w:color w:val="auto"/>
        </w:rPr>
        <w:t>” means an individual, a corporation, a limited liability company, an association, a partnership, a joint venture, a joint stock company, a trust, an unincorporated organization or a government or an agency or a political subdivision thereof.</w:t>
      </w:r>
    </w:p>
    <w:p>
      <w:pPr>
        <w:spacing w:after="0" w:line="14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Physical Notes</w:t>
      </w:r>
      <w:r>
        <w:rPr>
          <w:rFonts w:ascii="Times New Roman" w:cs="Times New Roman" w:eastAsia="Times New Roman" w:hAnsi="Times New Roman"/>
          <w:sz w:val="16"/>
          <w:szCs w:val="16"/>
          <w:color w:val="auto"/>
        </w:rPr>
        <w:t>” means permanent certificated Notes in registered form issued in denominations of $1,000 principal amount and integral multiples thereof.</w:t>
      </w:r>
    </w:p>
    <w:p>
      <w:pPr>
        <w:spacing w:after="0" w:line="198" w:lineRule="exact"/>
        <w:rPr>
          <w:sz w:val="20"/>
          <w:szCs w:val="20"/>
          <w:color w:val="auto"/>
        </w:rPr>
      </w:pPr>
    </w:p>
    <w:p>
      <w:pPr>
        <w:jc w:val="both"/>
        <w:ind w:right="20" w:firstLine="382"/>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Predecessor Note</w:t>
      </w:r>
      <w:r>
        <w:rPr>
          <w:rFonts w:ascii="Times New Roman" w:cs="Times New Roman" w:eastAsia="Times New Roman" w:hAnsi="Times New Roman"/>
          <w:sz w:val="16"/>
          <w:szCs w:val="16"/>
          <w:color w:val="auto"/>
        </w:rPr>
        <w:t>” of any particular Note means every previous Note evidencing all or a portion of the same debt as that evidenced by such particular Note; and, for the purposes of this definition, any Note authenticated and delivered under Section 2.06 in lieu of or in exchange for a mutilated, lost, destroyed or stolen Note shall be deemed to evidence the same debt as the mutilated, lost, destroyed or stolen Note that it replaces.</w:t>
      </w:r>
    </w:p>
    <w:p>
      <w:pPr>
        <w:spacing w:after="0" w:line="153" w:lineRule="exact"/>
        <w:rPr>
          <w:sz w:val="20"/>
          <w:szCs w:val="20"/>
          <w:color w:val="auto"/>
        </w:rPr>
      </w:pPr>
    </w:p>
    <w:p>
      <w:pPr>
        <w:jc w:val="both"/>
        <w:ind w:right="20" w:firstLine="382"/>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Preferred Stock</w:t>
      </w:r>
      <w:r>
        <w:rPr>
          <w:rFonts w:ascii="Times New Roman" w:cs="Times New Roman" w:eastAsia="Times New Roman" w:hAnsi="Times New Roman"/>
          <w:sz w:val="16"/>
          <w:szCs w:val="16"/>
          <w:color w:val="auto"/>
        </w:rPr>
        <w:t>” of any Person means any Capital Stock of such Person that has preferential rights to any other Capital Stock of such Person with respect to dividends or redemptions or upon liquidation.</w:t>
      </w:r>
    </w:p>
    <w:p>
      <w:pPr>
        <w:spacing w:after="0" w:line="140" w:lineRule="exact"/>
        <w:rPr>
          <w:sz w:val="20"/>
          <w:szCs w:val="20"/>
          <w:color w:val="auto"/>
        </w:rPr>
      </w:pPr>
    </w:p>
    <w:p>
      <w:pPr>
        <w:jc w:val="both"/>
        <w:ind w:firstLine="382"/>
        <w:spacing w:after="0" w:line="26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Record Date</w:t>
      </w:r>
      <w:r>
        <w:rPr>
          <w:rFonts w:ascii="Times New Roman" w:cs="Times New Roman" w:eastAsia="Times New Roman" w:hAnsi="Times New Roman"/>
          <w:sz w:val="16"/>
          <w:szCs w:val="16"/>
          <w:color w:val="auto"/>
        </w:rPr>
        <w:t>” means, with respect to any dividend, distribution or other transaction or event in which the holders of Common Stock (or other applicable security) have the right to receive any cash, securities or other property or in which the Common Stock (or such other security) is exchanged for or converted into any combination of cash, securities or other property, the time and date fixed for determination of holders of the Common Stock (or such other security) entitled to receive such cash, securities or other property (whether such date is fixed by the Company in good faith, by statute, by contract or otherwise).</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Redemption Date</w:t>
      </w:r>
      <w:r>
        <w:rPr>
          <w:rFonts w:ascii="Times New Roman" w:cs="Times New Roman" w:eastAsia="Times New Roman" w:hAnsi="Times New Roman"/>
          <w:sz w:val="16"/>
          <w:szCs w:val="16"/>
          <w:color w:val="auto"/>
        </w:rPr>
        <w:t>” shall have the meaning specified in Section 16.02(a).</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Redemption Notice Date</w:t>
      </w:r>
      <w:r>
        <w:rPr>
          <w:rFonts w:ascii="Times New Roman" w:cs="Times New Roman" w:eastAsia="Times New Roman" w:hAnsi="Times New Roman"/>
          <w:sz w:val="16"/>
          <w:szCs w:val="16"/>
          <w:color w:val="auto"/>
        </w:rPr>
        <w:t>” means the date on which the Company provides the Notice of Redemption in accordance with Section 16.02.</w:t>
      </w:r>
    </w:p>
    <w:p>
      <w:pPr>
        <w:spacing w:after="0" w:line="198" w:lineRule="exact"/>
        <w:rPr>
          <w:sz w:val="20"/>
          <w:szCs w:val="20"/>
          <w:color w:val="auto"/>
        </w:rPr>
      </w:pPr>
    </w:p>
    <w:p>
      <w:pPr>
        <w:jc w:val="both"/>
        <w:ind w:right="20" w:firstLine="382"/>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Redemption Period</w:t>
      </w:r>
      <w:r>
        <w:rPr>
          <w:rFonts w:ascii="Times New Roman" w:cs="Times New Roman" w:eastAsia="Times New Roman" w:hAnsi="Times New Roman"/>
          <w:sz w:val="16"/>
          <w:szCs w:val="16"/>
          <w:color w:val="auto"/>
        </w:rPr>
        <w:t>” means, with respect to any Optional Redemption of Notes pursuant to Article 16, the period from, and including, the Redemption Notice Date for such Optional Redemption to, and including, the close of business on the second Scheduled Trading Day immediately preceding the Redemption Date.</w:t>
      </w:r>
    </w:p>
    <w:p>
      <w:pPr>
        <w:spacing w:after="0" w:line="140"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Redemption Price</w:t>
      </w:r>
      <w:r>
        <w:rPr>
          <w:rFonts w:ascii="Times New Roman" w:cs="Times New Roman" w:eastAsia="Times New Roman" w:hAnsi="Times New Roman"/>
          <w:sz w:val="16"/>
          <w:szCs w:val="16"/>
          <w:color w:val="auto"/>
        </w:rPr>
        <w:t xml:space="preserve">” means, for any Notes to be redeemed pursuant to Section 16.01, 100% of the principal amount of such Notes,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accrued and unpaid interest, if any, to, but excluding, the Redemption Date (unless the Redemption Date falls after a Regular Record Date but on or prior to the immediately succeeding Interest Payment Date, in which case the Company will pay, on or, at the Company’s election, before such Interest Payment Date, the full amount of accrued and unpaid interest to the Holders of record of such Notes as of the close of business on such Regular Record Date, and the Redemption Price will be equal to 100% of the principal amount of such Notes to be redeemed)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the Applicable Premium.</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5" w:name="page36"/>
    <w:bookmarkEnd w:id="35"/>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Reference Property</w:t>
      </w:r>
      <w:r>
        <w:rPr>
          <w:rFonts w:ascii="Times New Roman" w:cs="Times New Roman" w:eastAsia="Times New Roman" w:hAnsi="Times New Roman"/>
          <w:sz w:val="16"/>
          <w:szCs w:val="16"/>
          <w:color w:val="auto"/>
        </w:rPr>
        <w:t>” shall have the meaning specified in Section 14.07(a).</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Refinancing Indebtedness</w:t>
      </w:r>
      <w:r>
        <w:rPr>
          <w:rFonts w:ascii="Times New Roman" w:cs="Times New Roman" w:eastAsia="Times New Roman" w:hAnsi="Times New Roman"/>
          <w:sz w:val="16"/>
          <w:szCs w:val="16"/>
          <w:color w:val="auto"/>
        </w:rPr>
        <w:t>” shall have the meaning specified in Section 4.11(b)(10).</w:t>
      </w:r>
    </w:p>
    <w:p>
      <w:pPr>
        <w:spacing w:after="0" w:line="198" w:lineRule="exact"/>
        <w:rPr>
          <w:sz w:val="20"/>
          <w:szCs w:val="20"/>
          <w:color w:val="auto"/>
        </w:rPr>
      </w:pPr>
    </w:p>
    <w:p>
      <w:pPr>
        <w:jc w:val="both"/>
        <w:ind w:firstLine="382"/>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Registration Rights Agreement</w:t>
      </w:r>
      <w:r>
        <w:rPr>
          <w:rFonts w:ascii="Times New Roman" w:cs="Times New Roman" w:eastAsia="Times New Roman" w:hAnsi="Times New Roman"/>
          <w:sz w:val="16"/>
          <w:szCs w:val="16"/>
          <w:color w:val="auto"/>
        </w:rPr>
        <w:t>” means the Amended and Restated Registration Rights Agreement dated [ ● ], 2022, by and among the Company, Ventoux CCM Acquisition Corp., Ventoux Acquisition Holdings LLC, Chardan International Investments, LLC, Silver Rock Contingent Credit Fund LP, and the other parties thereto.</w:t>
      </w:r>
    </w:p>
    <w:p>
      <w:pPr>
        <w:spacing w:after="0" w:line="14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Registrable Securities</w:t>
      </w:r>
      <w:r>
        <w:rPr>
          <w:rFonts w:ascii="Times New Roman" w:cs="Times New Roman" w:eastAsia="Times New Roman" w:hAnsi="Times New Roman"/>
          <w:sz w:val="16"/>
          <w:szCs w:val="16"/>
          <w:color w:val="auto"/>
        </w:rPr>
        <w:t>” shall have the meaning specified in the Subscription Agreement.</w:t>
      </w:r>
    </w:p>
    <w:p>
      <w:pPr>
        <w:spacing w:after="0" w:line="198" w:lineRule="exact"/>
        <w:rPr>
          <w:sz w:val="20"/>
          <w:szCs w:val="20"/>
          <w:color w:val="auto"/>
        </w:rPr>
      </w:pPr>
    </w:p>
    <w:p>
      <w:pPr>
        <w:jc w:val="both"/>
        <w:ind w:firstLine="382"/>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Regular Record Date</w:t>
      </w:r>
      <w:r>
        <w:rPr>
          <w:rFonts w:ascii="Times New Roman" w:cs="Times New Roman" w:eastAsia="Times New Roman" w:hAnsi="Times New Roman"/>
          <w:sz w:val="16"/>
          <w:szCs w:val="16"/>
          <w:color w:val="auto"/>
        </w:rPr>
        <w:t>,” with respect to any Interest Payment Date, means the June 1 or December 1 (whether or not such day is a Business Day), as the case may be, immediately preceding the applicable June 15 or December 15 Interest Payment Date, respectively.</w:t>
      </w:r>
    </w:p>
    <w:p>
      <w:pPr>
        <w:spacing w:after="0" w:line="140" w:lineRule="exact"/>
        <w:rPr>
          <w:sz w:val="20"/>
          <w:szCs w:val="20"/>
          <w:color w:val="auto"/>
        </w:rPr>
      </w:pPr>
    </w:p>
    <w:p>
      <w:pPr>
        <w:jc w:val="both"/>
        <w:ind w:firstLine="382"/>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Reorganization Merger Event</w:t>
      </w:r>
      <w:r>
        <w:rPr>
          <w:rFonts w:ascii="Times New Roman" w:cs="Times New Roman" w:eastAsia="Times New Roman" w:hAnsi="Times New Roman"/>
          <w:sz w:val="16"/>
          <w:szCs w:val="16"/>
          <w:color w:val="auto"/>
        </w:rPr>
        <w:t>” means a Merger Event that is solely for the purpose of changing the jurisdiction of organization of the Company that (x) does not constitute a Fundamental Change or a Make-Whole Fundamental Change and (y) results in a reclassification, conversion or exchange of outstanding shares of Common Stock solely into shares of common stock of the surviving entity and such common stock becomes Reference Property for the Notes.</w:t>
      </w:r>
    </w:p>
    <w:p>
      <w:pPr>
        <w:spacing w:after="0" w:line="153" w:lineRule="exact"/>
        <w:rPr>
          <w:sz w:val="20"/>
          <w:szCs w:val="20"/>
          <w:color w:val="auto"/>
        </w:rPr>
      </w:pPr>
    </w:p>
    <w:p>
      <w:pPr>
        <w:jc w:val="both"/>
        <w:ind w:firstLine="382"/>
        <w:spacing w:after="0" w:line="26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Responsible Officer</w:t>
      </w:r>
      <w:r>
        <w:rPr>
          <w:rFonts w:ascii="Times New Roman" w:cs="Times New Roman" w:eastAsia="Times New Roman" w:hAnsi="Times New Roman"/>
          <w:sz w:val="16"/>
          <w:szCs w:val="16"/>
          <w:color w:val="auto"/>
        </w:rPr>
        <w:t>” means, when used with respect to the Trustee, any officer within the Corporate Trust Office of the Trustee, including any senior vice president, vice president, assistant vice president, any trust officer or assistant trust officer, or any other officer of the Trustee who customarily performs functions similar to those performed by the persons who at the time shall be such officers, respectively, or to whom any corporate trust matter relating to this Indenture is referred because of such person’s knowledge of and familiarity with the particular subject and who, in each case, shall have direct responsibility for the administration of this Indenture.</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Restricted Investment</w:t>
      </w:r>
      <w:r>
        <w:rPr>
          <w:rFonts w:ascii="Times New Roman" w:cs="Times New Roman" w:eastAsia="Times New Roman" w:hAnsi="Times New Roman"/>
          <w:sz w:val="16"/>
          <w:szCs w:val="16"/>
          <w:color w:val="auto"/>
        </w:rPr>
        <w:t>” means any Investment other than a Permitted Investment.</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Restricted Securities</w:t>
      </w:r>
      <w:r>
        <w:rPr>
          <w:rFonts w:ascii="Times New Roman" w:cs="Times New Roman" w:eastAsia="Times New Roman" w:hAnsi="Times New Roman"/>
          <w:sz w:val="16"/>
          <w:szCs w:val="16"/>
          <w:color w:val="auto"/>
        </w:rPr>
        <w:t>” shall have the meaning specified in Section 2.05(c).</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Restrictive Notes Legend</w:t>
      </w:r>
      <w:r>
        <w:rPr>
          <w:rFonts w:ascii="Times New Roman" w:cs="Times New Roman" w:eastAsia="Times New Roman" w:hAnsi="Times New Roman"/>
          <w:sz w:val="16"/>
          <w:szCs w:val="16"/>
          <w:color w:val="auto"/>
        </w:rPr>
        <w:t>” shall have the meaning specified in Section 2.05(c).</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Rule 144</w:t>
      </w:r>
      <w:r>
        <w:rPr>
          <w:rFonts w:ascii="Times New Roman" w:cs="Times New Roman" w:eastAsia="Times New Roman" w:hAnsi="Times New Roman"/>
          <w:sz w:val="16"/>
          <w:szCs w:val="16"/>
          <w:color w:val="auto"/>
        </w:rPr>
        <w:t>” means Rule 144 as promulgated under the Securities Act.</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Rule 144A</w:t>
      </w:r>
      <w:r>
        <w:rPr>
          <w:rFonts w:ascii="Times New Roman" w:cs="Times New Roman" w:eastAsia="Times New Roman" w:hAnsi="Times New Roman"/>
          <w:sz w:val="16"/>
          <w:szCs w:val="16"/>
          <w:color w:val="auto"/>
        </w:rPr>
        <w:t>” means Rule 144A as promulgated under the Securities Act.</w:t>
      </w:r>
    </w:p>
    <w:p>
      <w:pPr>
        <w:spacing w:after="0" w:line="198" w:lineRule="exact"/>
        <w:rPr>
          <w:sz w:val="20"/>
          <w:szCs w:val="20"/>
          <w:color w:val="auto"/>
        </w:rPr>
      </w:pPr>
    </w:p>
    <w:p>
      <w:pPr>
        <w:jc w:val="both"/>
        <w:ind w:firstLine="382"/>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Scheduled Trading Day</w:t>
      </w:r>
      <w:r>
        <w:rPr>
          <w:rFonts w:ascii="Times New Roman" w:cs="Times New Roman" w:eastAsia="Times New Roman" w:hAnsi="Times New Roman"/>
          <w:sz w:val="16"/>
          <w:szCs w:val="16"/>
          <w:color w:val="auto"/>
        </w:rPr>
        <w:t>” means a day that is scheduled to be a Trading Day on the principal U.S. national or regional securities exchange or market on which the Common Stock is listed or admitted for trading. If the Common Stock is not so listed or admitted for trading, “</w:t>
      </w:r>
      <w:r>
        <w:rPr>
          <w:rFonts w:ascii="Times New Roman" w:cs="Times New Roman" w:eastAsia="Times New Roman" w:hAnsi="Times New Roman"/>
          <w:sz w:val="16"/>
          <w:szCs w:val="16"/>
          <w:b w:val="1"/>
          <w:bCs w:val="1"/>
          <w:color w:val="auto"/>
        </w:rPr>
        <w:t>Scheduled Trading Day</w:t>
      </w:r>
      <w:r>
        <w:rPr>
          <w:rFonts w:ascii="Times New Roman" w:cs="Times New Roman" w:eastAsia="Times New Roman" w:hAnsi="Times New Roman"/>
          <w:sz w:val="16"/>
          <w:szCs w:val="16"/>
          <w:color w:val="auto"/>
        </w:rPr>
        <w:t>” means a Business Day.</w:t>
      </w:r>
    </w:p>
    <w:p>
      <w:pPr>
        <w:spacing w:after="0" w:line="14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Securities Act</w:t>
      </w:r>
      <w:r>
        <w:rPr>
          <w:rFonts w:ascii="Times New Roman" w:cs="Times New Roman" w:eastAsia="Times New Roman" w:hAnsi="Times New Roman"/>
          <w:sz w:val="16"/>
          <w:szCs w:val="16"/>
          <w:color w:val="auto"/>
        </w:rPr>
        <w:t>” means the Securities Act of 1933, as amended, and the rules and regulations promulgated thereunder.</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Settlement Amount</w:t>
      </w:r>
      <w:r>
        <w:rPr>
          <w:rFonts w:ascii="Times New Roman" w:cs="Times New Roman" w:eastAsia="Times New Roman" w:hAnsi="Times New Roman"/>
          <w:sz w:val="16"/>
          <w:szCs w:val="16"/>
          <w:color w:val="auto"/>
        </w:rPr>
        <w:t>” shall have the meaning specified in Section 14.02(a)(iv).</w:t>
      </w:r>
    </w:p>
    <w:p>
      <w:pPr>
        <w:spacing w:after="0" w:line="198" w:lineRule="exact"/>
        <w:rPr>
          <w:sz w:val="20"/>
          <w:szCs w:val="20"/>
          <w:color w:val="auto"/>
        </w:rPr>
      </w:pPr>
    </w:p>
    <w:p>
      <w:pPr>
        <w:jc w:val="both"/>
        <w:ind w:firstLine="382"/>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Settlement Method</w:t>
      </w:r>
      <w:r>
        <w:rPr>
          <w:rFonts w:ascii="Times New Roman" w:cs="Times New Roman" w:eastAsia="Times New Roman" w:hAnsi="Times New Roman"/>
          <w:sz w:val="16"/>
          <w:szCs w:val="16"/>
          <w:color w:val="auto"/>
        </w:rPr>
        <w:t>” means, with respect to any conversion of Notes, Physical Settlement, Cash Settlement or Combination Settlement, as elected (or deemed to have been elected) by the Company.</w:t>
      </w:r>
    </w:p>
    <w:p>
      <w:pPr>
        <w:spacing w:after="0" w:line="14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Settlement Method Election Date</w:t>
      </w:r>
      <w:r>
        <w:rPr>
          <w:rFonts w:ascii="Times New Roman" w:cs="Times New Roman" w:eastAsia="Times New Roman" w:hAnsi="Times New Roman"/>
          <w:sz w:val="16"/>
          <w:szCs w:val="16"/>
          <w:color w:val="auto"/>
        </w:rPr>
        <w:t>” shall have the meaning specified in Section 14.02(a)(iii).</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Settlement Notice</w:t>
      </w:r>
      <w:r>
        <w:rPr>
          <w:rFonts w:ascii="Times New Roman" w:cs="Times New Roman" w:eastAsia="Times New Roman" w:hAnsi="Times New Roman"/>
          <w:sz w:val="16"/>
          <w:szCs w:val="16"/>
          <w:color w:val="auto"/>
        </w:rPr>
        <w:t>” shall have the meaning specified in Section 14.02(a)(iii).</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36" w:name="page37"/>
    <w:bookmarkEnd w:id="36"/>
    <w:p>
      <w:pPr>
        <w:jc w:val="both"/>
        <w:ind w:firstLine="382"/>
        <w:spacing w:after="0" w:line="25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Significant Subsidiary</w:t>
      </w:r>
      <w:r>
        <w:rPr>
          <w:rFonts w:ascii="Times New Roman" w:cs="Times New Roman" w:eastAsia="Times New Roman" w:hAnsi="Times New Roman"/>
          <w:sz w:val="16"/>
          <w:szCs w:val="16"/>
          <w:color w:val="auto"/>
        </w:rPr>
        <w:t xml:space="preserve">” means a Subsidiary of the Company that meets the definition of “significant subsidiary” in Rule 1-02(w) of Regulation S-X under the Exchange Act;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in the case of a Subsidiary that meets the criteria of clause (1)(iii) of the definition thereof but not clause (1)(i) or (1)(ii) thereof, in each case, as such rule is in effect on the date hereof, such Subsidiary shall be deemed not to be a Significant Subsidiary unless the Subsidiary’s income (or loss) from continuing operations before income taxes exclusive of amounts attributable to any non-controlling interests for the last completed fiscal year prior to the date of such determination exceeds $1,000,000. For the avoidance of doubt, to the extent any such Subsidiary would not be deemed to be a “significant subsidiary” under the relevant definition set forth in Article 1, Rule 1-02 of Regulation S-X (or any successor rule) as in effect on the relevant date of determination, such Subsidiary shall not be deemed to be a “significant subsidiary” under this Indenture irrespective of whether such Subsidiary would otherwise be deemed to be a “significant subsidiary” pursuant to the immediately preceding sentence.</w:t>
      </w:r>
    </w:p>
    <w:p>
      <w:pPr>
        <w:spacing w:after="0" w:line="161" w:lineRule="exact"/>
        <w:rPr>
          <w:sz w:val="20"/>
          <w:szCs w:val="20"/>
          <w:color w:val="auto"/>
        </w:rPr>
      </w:pPr>
    </w:p>
    <w:p>
      <w:pPr>
        <w:jc w:val="both"/>
        <w:ind w:firstLine="382"/>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Specified Dollar Amount</w:t>
      </w:r>
      <w:r>
        <w:rPr>
          <w:rFonts w:ascii="Times New Roman" w:cs="Times New Roman" w:eastAsia="Times New Roman" w:hAnsi="Times New Roman"/>
          <w:sz w:val="16"/>
          <w:szCs w:val="16"/>
          <w:color w:val="auto"/>
        </w:rPr>
        <w:t>” means the maximum cash amount per $1,000 principal amount of Notes to be received upon conversion as specified in the Settlement Notice (or deemed specified as provided in Section 14.02(a)(iii)) related to any converted Notes.</w:t>
      </w:r>
    </w:p>
    <w:p>
      <w:pPr>
        <w:spacing w:after="0" w:line="14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Spin-Off</w:t>
      </w:r>
      <w:r>
        <w:rPr>
          <w:rFonts w:ascii="Times New Roman" w:cs="Times New Roman" w:eastAsia="Times New Roman" w:hAnsi="Times New Roman"/>
          <w:sz w:val="16"/>
          <w:szCs w:val="16"/>
          <w:color w:val="auto"/>
        </w:rPr>
        <w:t>” shall have the meaning specified in Section 14.04(c).</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Stock Price</w:t>
      </w:r>
      <w:r>
        <w:rPr>
          <w:rFonts w:ascii="Times New Roman" w:cs="Times New Roman" w:eastAsia="Times New Roman" w:hAnsi="Times New Roman"/>
          <w:sz w:val="16"/>
          <w:szCs w:val="16"/>
          <w:color w:val="auto"/>
        </w:rPr>
        <w:t>” shall have the meaning specified in Section 14.03(c).</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Subscription Agreement</w:t>
      </w:r>
      <w:r>
        <w:rPr>
          <w:rFonts w:ascii="Times New Roman" w:cs="Times New Roman" w:eastAsia="Times New Roman" w:hAnsi="Times New Roman"/>
          <w:sz w:val="16"/>
          <w:szCs w:val="16"/>
          <w:color w:val="auto"/>
        </w:rPr>
        <w:t>” means, collectively, the Subscription Agreements dated as of [●], 2022, each between the Company and the Subscriber defined therein.</w:t>
      </w:r>
    </w:p>
    <w:p>
      <w:pPr>
        <w:spacing w:after="0" w:line="198" w:lineRule="exact"/>
        <w:rPr>
          <w:sz w:val="20"/>
          <w:szCs w:val="20"/>
          <w:color w:val="auto"/>
        </w:rPr>
      </w:pPr>
    </w:p>
    <w:p>
      <w:pPr>
        <w:jc w:val="both"/>
        <w:ind w:firstLine="382"/>
        <w:spacing w:after="0" w:line="26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Subsidiary</w:t>
      </w:r>
      <w:r>
        <w:rPr>
          <w:rFonts w:ascii="Times New Roman" w:cs="Times New Roman" w:eastAsia="Times New Roman" w:hAnsi="Times New Roman"/>
          <w:sz w:val="16"/>
          <w:szCs w:val="16"/>
          <w:color w:val="auto"/>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Successor Company</w:t>
      </w:r>
      <w:r>
        <w:rPr>
          <w:rFonts w:ascii="Times New Roman" w:cs="Times New Roman" w:eastAsia="Times New Roman" w:hAnsi="Times New Roman"/>
          <w:sz w:val="16"/>
          <w:szCs w:val="16"/>
          <w:color w:val="auto"/>
        </w:rPr>
        <w:t>” shall have the meaning specified in Section 11.01(a).</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Suspension Period</w:t>
      </w:r>
      <w:r>
        <w:rPr>
          <w:rFonts w:ascii="Times New Roman" w:cs="Times New Roman" w:eastAsia="Times New Roman" w:hAnsi="Times New Roman"/>
          <w:sz w:val="16"/>
          <w:szCs w:val="16"/>
          <w:color w:val="auto"/>
        </w:rPr>
        <w:t>” shall have the meaning specified in Section 4.19(c).</w:t>
      </w:r>
    </w:p>
    <w:p>
      <w:pPr>
        <w:spacing w:after="0" w:line="198" w:lineRule="exact"/>
        <w:rPr>
          <w:sz w:val="20"/>
          <w:szCs w:val="20"/>
          <w:color w:val="auto"/>
        </w:rPr>
      </w:pPr>
    </w:p>
    <w:p>
      <w:pPr>
        <w:jc w:val="both"/>
        <w:ind w:firstLine="382"/>
        <w:spacing w:after="0" w:line="25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Trading Day</w:t>
      </w:r>
      <w:r>
        <w:rPr>
          <w:rFonts w:ascii="Times New Roman" w:cs="Times New Roman" w:eastAsia="Times New Roman" w:hAnsi="Times New Roman"/>
          <w:sz w:val="16"/>
          <w:szCs w:val="16"/>
          <w:color w:val="auto"/>
        </w:rPr>
        <w:t xml:space="preserve">” means, except for determining amounts due upon conversion as set forth below, a day on which (i) trading in the Common Stock (or other security for which a closing sale price must be determined) generally occurs on The Nasdaq Stock Market or, if the Common Stock (or such other security) is not then listed on The Nasdaq Stock Market, on the principal other U.S. national or regional securities exchange on which the Common Stock (or such other security) is then listed or, if the Common Stock (or such other security) is not then listed on a U.S. national or regional securities exchange, on the principal other market (including an over-the-counter market) on which the Common Stock (or such other security) is then traded and (ii) a Last Reported Sale Price for the Common Stock (or closing sale price for such other security) is available on such securities exchange or market;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the Common Stock (or such other security) is not so listed or traded, “</w:t>
      </w:r>
      <w:r>
        <w:rPr>
          <w:rFonts w:ascii="Times New Roman" w:cs="Times New Roman" w:eastAsia="Times New Roman" w:hAnsi="Times New Roman"/>
          <w:sz w:val="16"/>
          <w:szCs w:val="16"/>
          <w:b w:val="1"/>
          <w:bCs w:val="1"/>
          <w:color w:val="auto"/>
        </w:rPr>
        <w:t>Trading Day</w:t>
      </w:r>
      <w:r>
        <w:rPr>
          <w:rFonts w:ascii="Times New Roman" w:cs="Times New Roman" w:eastAsia="Times New Roman" w:hAnsi="Times New Roman"/>
          <w:sz w:val="16"/>
          <w:szCs w:val="16"/>
          <w:color w:val="auto"/>
        </w:rPr>
        <w:t xml:space="preserve">” means a Business Day; and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further </w:t>
      </w:r>
      <w:r>
        <w:rPr>
          <w:rFonts w:ascii="Times New Roman" w:cs="Times New Roman" w:eastAsia="Times New Roman" w:hAnsi="Times New Roman"/>
          <w:sz w:val="16"/>
          <w:szCs w:val="16"/>
          <w:color w:val="auto"/>
        </w:rPr>
        <w:t>that, for purposes of determining amounts due upon conversion only, “</w:t>
      </w:r>
      <w:r>
        <w:rPr>
          <w:rFonts w:ascii="Times New Roman" w:cs="Times New Roman" w:eastAsia="Times New Roman" w:hAnsi="Times New Roman"/>
          <w:sz w:val="16"/>
          <w:szCs w:val="16"/>
          <w:b w:val="1"/>
          <w:bCs w:val="1"/>
          <w:color w:val="auto"/>
        </w:rPr>
        <w:t>Trading Day</w:t>
      </w:r>
      <w:r>
        <w:rPr>
          <w:rFonts w:ascii="Times New Roman" w:cs="Times New Roman" w:eastAsia="Times New Roman" w:hAnsi="Times New Roman"/>
          <w:sz w:val="16"/>
          <w:szCs w:val="16"/>
          <w:color w:val="auto"/>
        </w:rPr>
        <w:t>” means a day on which (x) there is no Market Disruption Event and (y) trading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Common Stock generally occurs on The Nasdaq Stock Market or, if the Common Stock is not then listed on The Nasdaq Stock Market, on the principal other U.S. national or regional securities exchange on which the Common Stock is then listed or, if the Common Stock is not then listed on a U.S. national or regional securities exchange, on the principal other market on which the Common Stock is then listed or admitted for trading, except that if the Common Stock is not so listed or admitted for trading, “</w:t>
      </w:r>
      <w:r>
        <w:rPr>
          <w:rFonts w:ascii="Times New Roman" w:cs="Times New Roman" w:eastAsia="Times New Roman" w:hAnsi="Times New Roman"/>
          <w:sz w:val="16"/>
          <w:szCs w:val="16"/>
          <w:b w:val="1"/>
          <w:bCs w:val="1"/>
          <w:color w:val="auto"/>
        </w:rPr>
        <w:t>Trading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Day</w:t>
      </w:r>
      <w:r>
        <w:rPr>
          <w:rFonts w:ascii="Times New Roman" w:cs="Times New Roman" w:eastAsia="Times New Roman" w:hAnsi="Times New Roman"/>
          <w:sz w:val="16"/>
          <w:szCs w:val="16"/>
          <w:color w:val="auto"/>
        </w:rPr>
        <w:t>” means a Business Day.</w:t>
      </w:r>
    </w:p>
    <w:p>
      <w:pPr>
        <w:spacing w:after="0" w:line="169" w:lineRule="exact"/>
        <w:rPr>
          <w:sz w:val="20"/>
          <w:szCs w:val="20"/>
          <w:color w:val="auto"/>
        </w:rPr>
      </w:pPr>
    </w:p>
    <w:p>
      <w:pPr>
        <w:jc w:val="both"/>
        <w:ind w:firstLine="382"/>
        <w:spacing w:after="0" w:line="26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Trading Price</w:t>
      </w:r>
      <w:r>
        <w:rPr>
          <w:rFonts w:ascii="Times New Roman" w:cs="Times New Roman" w:eastAsia="Times New Roman" w:hAnsi="Times New Roman"/>
          <w:sz w:val="16"/>
          <w:szCs w:val="16"/>
          <w:color w:val="auto"/>
        </w:rPr>
        <w:t xml:space="preserve">” of the Notes on any date of determination means the average of the secondary market bid quotations obtained for $2,000,000 principal amount of Notes at approximately 3:30 p.m., New York City time, on such determination date from three independent nationally recognized securities dealers the Company selects for this purpose;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three such bids cannot reasonably be obtained but two such bids are obtained, then the average of the two bids shall be used, and if only one such bid can reasonably be obtained, that one bid shall be used.</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Transaction Document</w:t>
      </w:r>
      <w:r>
        <w:rPr>
          <w:rFonts w:ascii="Times New Roman" w:cs="Times New Roman" w:eastAsia="Times New Roman" w:hAnsi="Times New Roman"/>
          <w:sz w:val="16"/>
          <w:szCs w:val="16"/>
          <w:color w:val="auto"/>
        </w:rPr>
        <w:t>” means any Subscription Agreement, this Indenture and the Notes.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37" w:name="page38"/>
    <w:bookmarkEnd w:id="37"/>
    <w:p>
      <w:pPr>
        <w:ind w:left="38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transfer</w:t>
      </w:r>
      <w:r>
        <w:rPr>
          <w:rFonts w:ascii="Times New Roman" w:cs="Times New Roman" w:eastAsia="Times New Roman" w:hAnsi="Times New Roman"/>
          <w:sz w:val="16"/>
          <w:szCs w:val="16"/>
          <w:color w:val="auto"/>
        </w:rPr>
        <w:t>” shall have the meaning specified in Section 2.05(c).</w:t>
      </w:r>
    </w:p>
    <w:p>
      <w:pPr>
        <w:spacing w:after="0" w:line="198" w:lineRule="exact"/>
        <w:rPr>
          <w:sz w:val="20"/>
          <w:szCs w:val="20"/>
          <w:color w:val="auto"/>
        </w:rPr>
      </w:pPr>
    </w:p>
    <w:p>
      <w:pPr>
        <w:jc w:val="both"/>
        <w:ind w:left="4" w:firstLine="382"/>
        <w:spacing w:after="0" w:line="23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Treasury Rate</w:t>
      </w:r>
      <w:r>
        <w:rPr>
          <w:rFonts w:ascii="Times New Roman" w:cs="Times New Roman" w:eastAsia="Times New Roman" w:hAnsi="Times New Roman"/>
          <w:sz w:val="15"/>
          <w:szCs w:val="15"/>
          <w:color w:val="auto"/>
        </w:rPr>
        <w:t>” means, at any redemption date, the yield to maturity as of such redemption date of constant maturity United States Treasury securities (as compiled and published in the most recent Federal Reserve Statistical Release H. 15 (519) that has become publicly available at least two Business Days prior to such redemption date (or, if such statistical release is no longer published, any publicly available source of similar market data)) most nearly equal to the period from such redemption date to [●], 2025</w:t>
      </w:r>
      <w:r>
        <w:rPr>
          <w:rFonts w:ascii="Times New Roman" w:cs="Times New Roman" w:eastAsia="Times New Roman" w:hAnsi="Times New Roman"/>
          <w:sz w:val="25"/>
          <w:szCs w:val="25"/>
          <w:color w:val="auto"/>
          <w:vertAlign w:val="superscript"/>
        </w:rPr>
        <w:t>5</w:t>
      </w:r>
      <w:r>
        <w:rPr>
          <w:rFonts w:ascii="Times New Roman" w:cs="Times New Roman" w:eastAsia="Times New Roman" w:hAnsi="Times New Roman"/>
          <w:sz w:val="15"/>
          <w:szCs w:val="15"/>
          <w:color w:val="auto"/>
        </w:rPr>
        <w:t xml:space="preserve"> (or,</w:t>
      </w:r>
    </w:p>
    <w:p>
      <w:pPr>
        <w:spacing w:after="0" w:line="2" w:lineRule="exact"/>
        <w:rPr>
          <w:sz w:val="20"/>
          <w:szCs w:val="20"/>
          <w:color w:val="auto"/>
        </w:rPr>
      </w:pPr>
    </w:p>
    <w:p>
      <w:pPr>
        <w:jc w:val="both"/>
        <w:ind w:left="4"/>
        <w:spacing w:after="0" w:line="225" w:lineRule="auto"/>
        <w:rPr>
          <w:sz w:val="20"/>
          <w:szCs w:val="20"/>
          <w:color w:val="auto"/>
        </w:rPr>
      </w:pPr>
      <w:r>
        <w:rPr>
          <w:rFonts w:ascii="Times New Roman" w:cs="Times New Roman" w:eastAsia="Times New Roman" w:hAnsi="Times New Roman"/>
          <w:sz w:val="16"/>
          <w:szCs w:val="16"/>
          <w:color w:val="auto"/>
        </w:rPr>
        <w:t>in the case of a redemption after such date, [●], 2025</w:t>
      </w: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16"/>
          <w:szCs w:val="16"/>
          <w:color w:val="auto"/>
        </w:rPr>
        <w:t>; provided, however, that if no published maturity exactly corresponds with such date, then the Treasury Rate shall be interpolated or extrapolated on a straight-line basis from the arithmetic mean of the yields for the next shortest and next longest published maturities; provided further, however, that if the period from such redemption date to [●], 2025 (or, in the case of a redemption after such date, [●], 2025, is less than one year, the weekly average yield on actually traded United States Treasury securities adjusted to a constant maturity of one year will be used.</w:t>
      </w:r>
    </w:p>
    <w:p>
      <w:pPr>
        <w:spacing w:after="0" w:line="174" w:lineRule="exact"/>
        <w:rPr>
          <w:sz w:val="20"/>
          <w:szCs w:val="20"/>
          <w:color w:val="auto"/>
        </w:rPr>
      </w:pPr>
    </w:p>
    <w:p>
      <w:pPr>
        <w:ind w:left="38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Trigger Event</w:t>
      </w:r>
      <w:r>
        <w:rPr>
          <w:rFonts w:ascii="Times New Roman" w:cs="Times New Roman" w:eastAsia="Times New Roman" w:hAnsi="Times New Roman"/>
          <w:sz w:val="16"/>
          <w:szCs w:val="16"/>
          <w:color w:val="auto"/>
        </w:rPr>
        <w:t>” shall have the meaning specified in Section 14.04(c).</w:t>
      </w:r>
    </w:p>
    <w:p>
      <w:pPr>
        <w:spacing w:after="0" w:line="198" w:lineRule="exact"/>
        <w:rPr>
          <w:sz w:val="20"/>
          <w:szCs w:val="20"/>
          <w:color w:val="auto"/>
        </w:rPr>
      </w:pPr>
    </w:p>
    <w:p>
      <w:pPr>
        <w:jc w:val="both"/>
        <w:ind w:left="4" w:right="20" w:firstLine="382"/>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Trust Indenture Act</w:t>
      </w:r>
      <w:r>
        <w:rPr>
          <w:rFonts w:ascii="Times New Roman" w:cs="Times New Roman" w:eastAsia="Times New Roman" w:hAnsi="Times New Roman"/>
          <w:sz w:val="16"/>
          <w:szCs w:val="16"/>
          <w:color w:val="auto"/>
        </w:rPr>
        <w:t xml:space="preserve">” means the Trust Indenture Act of 1939, as amended, as it was in force at the date of execution of this Indenture;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in the event the Trust Indenture Act of 1939 is amended after the date hereof, the term “Trust Indenture Act” shall mean, to the extent required by such amendment, the Trust Indenture Act of 1939, as so amended.</w:t>
      </w:r>
    </w:p>
    <w:p>
      <w:pPr>
        <w:spacing w:after="0" w:line="153" w:lineRule="exact"/>
        <w:rPr>
          <w:sz w:val="20"/>
          <w:szCs w:val="20"/>
          <w:color w:val="auto"/>
        </w:rPr>
      </w:pPr>
    </w:p>
    <w:p>
      <w:pPr>
        <w:jc w:val="both"/>
        <w:ind w:left="4" w:right="20" w:firstLine="382"/>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Trustee</w:t>
      </w:r>
      <w:r>
        <w:rPr>
          <w:rFonts w:ascii="Times New Roman" w:cs="Times New Roman" w:eastAsia="Times New Roman" w:hAnsi="Times New Roman"/>
          <w:sz w:val="16"/>
          <w:szCs w:val="16"/>
          <w:color w:val="auto"/>
        </w:rPr>
        <w:t>” means the Person named as the “</w:t>
      </w:r>
      <w:r>
        <w:rPr>
          <w:rFonts w:ascii="Times New Roman" w:cs="Times New Roman" w:eastAsia="Times New Roman" w:hAnsi="Times New Roman"/>
          <w:sz w:val="16"/>
          <w:szCs w:val="16"/>
          <w:b w:val="1"/>
          <w:bCs w:val="1"/>
          <w:color w:val="auto"/>
        </w:rPr>
        <w:t>Trustee</w:t>
      </w:r>
      <w:r>
        <w:rPr>
          <w:rFonts w:ascii="Times New Roman" w:cs="Times New Roman" w:eastAsia="Times New Roman" w:hAnsi="Times New Roman"/>
          <w:sz w:val="16"/>
          <w:szCs w:val="16"/>
          <w:color w:val="auto"/>
        </w:rPr>
        <w:t>” in the first paragraph of this Indenture until a successor trustee shall have become such pursuant to the applicable provisions of this Indenture, and thereafter “</w:t>
      </w:r>
      <w:r>
        <w:rPr>
          <w:rFonts w:ascii="Times New Roman" w:cs="Times New Roman" w:eastAsia="Times New Roman" w:hAnsi="Times New Roman"/>
          <w:sz w:val="16"/>
          <w:szCs w:val="16"/>
          <w:b w:val="1"/>
          <w:bCs w:val="1"/>
          <w:color w:val="auto"/>
        </w:rPr>
        <w:t>Trustee</w:t>
      </w:r>
      <w:r>
        <w:rPr>
          <w:rFonts w:ascii="Times New Roman" w:cs="Times New Roman" w:eastAsia="Times New Roman" w:hAnsi="Times New Roman"/>
          <w:sz w:val="16"/>
          <w:szCs w:val="16"/>
          <w:color w:val="auto"/>
        </w:rPr>
        <w:t>” shall mean or include each Person who is then a Trustee hereunder.</w:t>
      </w:r>
    </w:p>
    <w:p>
      <w:pPr>
        <w:spacing w:after="0" w:line="140" w:lineRule="exact"/>
        <w:rPr>
          <w:sz w:val="20"/>
          <w:szCs w:val="20"/>
          <w:color w:val="auto"/>
        </w:rPr>
      </w:pPr>
    </w:p>
    <w:p>
      <w:pPr>
        <w:ind w:left="38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unit of Reference Property</w:t>
      </w:r>
      <w:r>
        <w:rPr>
          <w:rFonts w:ascii="Times New Roman" w:cs="Times New Roman" w:eastAsia="Times New Roman" w:hAnsi="Times New Roman"/>
          <w:sz w:val="16"/>
          <w:szCs w:val="16"/>
          <w:color w:val="auto"/>
        </w:rPr>
        <w:t>” shall have the meaning specified in Section 14.07(a).</w:t>
      </w:r>
    </w:p>
    <w:p>
      <w:pPr>
        <w:spacing w:after="0" w:line="198" w:lineRule="exact"/>
        <w:rPr>
          <w:sz w:val="20"/>
          <w:szCs w:val="20"/>
          <w:color w:val="auto"/>
        </w:rPr>
      </w:pPr>
    </w:p>
    <w:p>
      <w:pPr>
        <w:ind w:left="38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Valuation Period</w:t>
      </w:r>
      <w:r>
        <w:rPr>
          <w:rFonts w:ascii="Times New Roman" w:cs="Times New Roman" w:eastAsia="Times New Roman" w:hAnsi="Times New Roman"/>
          <w:sz w:val="16"/>
          <w:szCs w:val="16"/>
          <w:color w:val="auto"/>
        </w:rPr>
        <w:t>” shall have the meaning specified in Section 14.04(c).</w:t>
      </w:r>
    </w:p>
    <w:p>
      <w:pPr>
        <w:spacing w:after="0" w:line="198" w:lineRule="exact"/>
        <w:rPr>
          <w:sz w:val="20"/>
          <w:szCs w:val="20"/>
          <w:color w:val="auto"/>
        </w:rPr>
      </w:pPr>
    </w:p>
    <w:p>
      <w:pPr>
        <w:jc w:val="both"/>
        <w:ind w:left="4" w:firstLine="382"/>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Volume Failure</w:t>
      </w:r>
      <w:r>
        <w:rPr>
          <w:rFonts w:ascii="Times New Roman" w:cs="Times New Roman" w:eastAsia="Times New Roman" w:hAnsi="Times New Roman"/>
          <w:sz w:val="16"/>
          <w:szCs w:val="16"/>
          <w:color w:val="auto"/>
        </w:rPr>
        <w:t>” means, with respect to a particular date of determination, the average daily dollar trading volume (as reported on Bloomberg) of the Common Stock on the primary U.S. national or regional securities exchange or market on which the Common Stock is listed on any Trading Day during the 20 Trading Day period ending on the Trading Day immediately preceding such date of determination (such period, the “</w:t>
      </w:r>
      <w:r>
        <w:rPr>
          <w:rFonts w:ascii="Times New Roman" w:cs="Times New Roman" w:eastAsia="Times New Roman" w:hAnsi="Times New Roman"/>
          <w:sz w:val="16"/>
          <w:szCs w:val="16"/>
          <w:b w:val="1"/>
          <w:bCs w:val="1"/>
          <w:color w:val="auto"/>
        </w:rPr>
        <w:t>Volume Failure Measuring Period</w:t>
      </w:r>
      <w:r>
        <w:rPr>
          <w:rFonts w:ascii="Times New Roman" w:cs="Times New Roman" w:eastAsia="Times New Roman" w:hAnsi="Times New Roman"/>
          <w:sz w:val="16"/>
          <w:szCs w:val="16"/>
          <w:color w:val="auto"/>
        </w:rPr>
        <w:t>”), is less than $2,000,000 (as adjusted for any stock splits, stock dividends, stock combinations, recapitalizations or other similar transactions occurring after the effective date of the Subscription Agreement). All such determinations to be appropriately adjusted for any stock splits, stock dividends, stock combinations, recapitalizations or other similar transactions during such Volume Failure Measuring Period.</w:t>
      </w:r>
    </w:p>
    <w:p>
      <w:pPr>
        <w:spacing w:after="0" w:line="161" w:lineRule="exact"/>
        <w:rPr>
          <w:sz w:val="20"/>
          <w:szCs w:val="20"/>
          <w:color w:val="auto"/>
        </w:rPr>
      </w:pPr>
    </w:p>
    <w:p>
      <w:pPr>
        <w:jc w:val="both"/>
        <w:ind w:left="4" w:right="20" w:firstLine="382"/>
        <w:spacing w:after="0" w:line="26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Weighted Average Life to Maturity</w:t>
      </w:r>
      <w:r>
        <w:rPr>
          <w:rFonts w:ascii="Times New Roman" w:cs="Times New Roman" w:eastAsia="Times New Roman" w:hAnsi="Times New Roman"/>
          <w:sz w:val="16"/>
          <w:szCs w:val="16"/>
          <w:color w:val="auto"/>
        </w:rPr>
        <w:t>” means, when applied to any Indebtedness at any date, the number of years obtained by dividing (1) the then outstanding aggregate principal amount of such Indebtedness into (2) the sum of the total of the products obtained by multiplying (a) the amount of each then remaining installment, sinking fund, serial maturity or other required payment of principal, including payment at final maturity, in respect thereof, by (b) the number of years (calculated to the nearest one-twelfth) which will elapse between such date and the making of such payment.</w:t>
      </w:r>
    </w:p>
    <w:p>
      <w:pPr>
        <w:spacing w:after="0" w:line="159" w:lineRule="exact"/>
        <w:rPr>
          <w:sz w:val="20"/>
          <w:szCs w:val="20"/>
          <w:color w:val="auto"/>
        </w:rPr>
      </w:pPr>
    </w:p>
    <w:p>
      <w:pPr>
        <w:jc w:val="both"/>
        <w:ind w:left="4" w:right="20" w:firstLine="382"/>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Wholly Owned Subsidiary</w:t>
      </w:r>
      <w:r>
        <w:rPr>
          <w:rFonts w:ascii="Times New Roman" w:cs="Times New Roman" w:eastAsia="Times New Roman" w:hAnsi="Times New Roman"/>
          <w:sz w:val="16"/>
          <w:szCs w:val="16"/>
          <w:color w:val="auto"/>
        </w:rPr>
        <w:t>” means, with respect to any Person, any Subsidiary of such Person, except that, solely for purposes of this definition, the reference to “more than 50%” in the definition of “Subsidiary” shall be deemed replaced by a reference to “100%.”</w:t>
      </w:r>
    </w:p>
    <w:p>
      <w:pPr>
        <w:spacing w:after="0" w:line="140" w:lineRule="exact"/>
        <w:rPr>
          <w:sz w:val="20"/>
          <w:szCs w:val="20"/>
          <w:color w:val="auto"/>
        </w:rPr>
      </w:pPr>
    </w:p>
    <w:p>
      <w:pPr>
        <w:jc w:val="both"/>
        <w:ind w:left="4" w:right="20" w:firstLine="382"/>
        <w:spacing w:after="0" w:line="260" w:lineRule="auto"/>
        <w:rPr>
          <w:sz w:val="20"/>
          <w:szCs w:val="20"/>
          <w:color w:val="auto"/>
        </w:rPr>
      </w:pPr>
      <w:r>
        <w:rPr>
          <w:rFonts w:ascii="Times New Roman" w:cs="Times New Roman" w:eastAsia="Times New Roman" w:hAnsi="Times New Roman"/>
          <w:sz w:val="16"/>
          <w:szCs w:val="16"/>
          <w:color w:val="auto"/>
        </w:rPr>
        <w:t xml:space="preserve">Section 1.02. </w:t>
      </w:r>
      <w:r>
        <w:rPr>
          <w:rFonts w:ascii="Times New Roman" w:cs="Times New Roman" w:eastAsia="Times New Roman" w:hAnsi="Times New Roman"/>
          <w:sz w:val="16"/>
          <w:szCs w:val="16"/>
          <w:i w:val="1"/>
          <w:iCs w:val="1"/>
          <w:color w:val="auto"/>
        </w:rPr>
        <w:t>References to Interest.</w:t>
      </w:r>
      <w:r>
        <w:rPr>
          <w:rFonts w:ascii="Times New Roman" w:cs="Times New Roman" w:eastAsia="Times New Roman" w:hAnsi="Times New Roman"/>
          <w:sz w:val="16"/>
          <w:szCs w:val="16"/>
          <w:color w:val="auto"/>
        </w:rPr>
        <w:t xml:space="preserve"> Unless the context otherwise requires, any reference to interest on, or in respect of, any Note in this Indenture shall be deemed to include Additional Interest if, in such context, Additional Interest is, was or would be payable pursuant to any of Section 4.06(d) and Section 6.03. Unless the context otherwise requires, any express mention of Additional Interest in any provision hereof shall not be construed as excluding Additional Interest in those provisions hereof where such express mention is not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112395</wp:posOffset>
            </wp:positionV>
            <wp:extent cx="1790700"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177" w:lineRule="exact"/>
        <w:rPr>
          <w:sz w:val="20"/>
          <w:szCs w:val="20"/>
          <w:color w:val="auto"/>
        </w:rPr>
      </w:pPr>
    </w:p>
    <w:p>
      <w:pPr>
        <w:ind w:left="284" w:hanging="284"/>
        <w:spacing w:after="0"/>
        <w:tabs>
          <w:tab w:leader="none" w:pos="284"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NTD: Insert date that is the day before the third anniversary of issuance.</w:t>
      </w:r>
    </w:p>
    <w:p>
      <w:pPr>
        <w:spacing w:after="0" w:line="23" w:lineRule="exact"/>
        <w:rPr>
          <w:rFonts w:ascii="Times New Roman" w:cs="Times New Roman" w:eastAsia="Times New Roman" w:hAnsi="Times New Roman"/>
          <w:sz w:val="16"/>
          <w:szCs w:val="16"/>
          <w:color w:val="auto"/>
        </w:rPr>
      </w:pPr>
    </w:p>
    <w:p>
      <w:pPr>
        <w:ind w:left="4"/>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   NTD: Insert date that is third anniversary of issuance.</w:t>
      </w:r>
    </w:p>
    <w:p>
      <w:pPr>
        <w:spacing w:after="0" w:line="37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4" w:right="31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6"/>
          <w:szCs w:val="16"/>
          <w:color w:val="auto"/>
        </w:rPr>
        <w:t>ARTICLE 2</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w:t>
      </w:r>
      <w:r>
        <w:rPr>
          <w:rFonts w:ascii="Times New Roman" w:cs="Times New Roman" w:eastAsia="Times New Roman" w:hAnsi="Times New Roman"/>
          <w:sz w:val="10"/>
          <w:szCs w:val="10"/>
          <w:color w:val="auto"/>
        </w:rPr>
        <w:t>ssue</w:t>
      </w:r>
      <w:r>
        <w:rPr>
          <w:rFonts w:ascii="Times New Roman" w:cs="Times New Roman" w:eastAsia="Times New Roman" w:hAnsi="Times New Roman"/>
          <w:sz w:val="16"/>
          <w:szCs w:val="16"/>
          <w:color w:val="auto"/>
        </w:rPr>
        <w:t>, D</w:t>
      </w:r>
      <w:r>
        <w:rPr>
          <w:rFonts w:ascii="Times New Roman" w:cs="Times New Roman" w:eastAsia="Times New Roman" w:hAnsi="Times New Roman"/>
          <w:sz w:val="10"/>
          <w:szCs w:val="10"/>
          <w:color w:val="auto"/>
        </w:rPr>
        <w:t>escription</w:t>
      </w:r>
      <w:r>
        <w:rPr>
          <w:rFonts w:ascii="Times New Roman" w:cs="Times New Roman" w:eastAsia="Times New Roman" w:hAnsi="Times New Roman"/>
          <w:sz w:val="16"/>
          <w:szCs w:val="16"/>
          <w:color w:val="auto"/>
        </w:rPr>
        <w:t>, E</w:t>
      </w:r>
      <w:r>
        <w:rPr>
          <w:rFonts w:ascii="Times New Roman" w:cs="Times New Roman" w:eastAsia="Times New Roman" w:hAnsi="Times New Roman"/>
          <w:sz w:val="10"/>
          <w:szCs w:val="10"/>
          <w:color w:val="auto"/>
        </w:rPr>
        <w:t>xecution</w:t>
      </w:r>
      <w:r>
        <w:rPr>
          <w:rFonts w:ascii="Times New Roman" w:cs="Times New Roman" w:eastAsia="Times New Roman" w:hAnsi="Times New Roman"/>
          <w:sz w:val="16"/>
          <w:szCs w:val="16"/>
          <w:color w:val="auto"/>
        </w:rPr>
        <w:t>, R</w:t>
      </w:r>
      <w:r>
        <w:rPr>
          <w:rFonts w:ascii="Times New Roman" w:cs="Times New Roman" w:eastAsia="Times New Roman" w:hAnsi="Times New Roman"/>
          <w:sz w:val="10"/>
          <w:szCs w:val="10"/>
          <w:color w:val="auto"/>
        </w:rPr>
        <w:t>egistration and</w:t>
      </w:r>
      <w:r>
        <w:rPr>
          <w:rFonts w:ascii="Times New Roman" w:cs="Times New Roman" w:eastAsia="Times New Roman" w:hAnsi="Times New Roman"/>
          <w:sz w:val="16"/>
          <w:szCs w:val="16"/>
          <w:color w:val="auto"/>
        </w:rPr>
        <w:t xml:space="preserve"> E</w:t>
      </w:r>
      <w:r>
        <w:rPr>
          <w:rFonts w:ascii="Times New Roman" w:cs="Times New Roman" w:eastAsia="Times New Roman" w:hAnsi="Times New Roman"/>
          <w:sz w:val="10"/>
          <w:szCs w:val="10"/>
          <w:color w:val="auto"/>
        </w:rPr>
        <w:t>xchange of</w:t>
      </w:r>
      <w:r>
        <w:rPr>
          <w:rFonts w:ascii="Times New Roman" w:cs="Times New Roman" w:eastAsia="Times New Roman" w:hAnsi="Times New Roman"/>
          <w:sz w:val="16"/>
          <w:szCs w:val="16"/>
          <w:color w:val="auto"/>
        </w:rPr>
        <w:t xml:space="preserve"> N</w:t>
      </w:r>
      <w:r>
        <w:rPr>
          <w:rFonts w:ascii="Times New Roman" w:cs="Times New Roman" w:eastAsia="Times New Roman" w:hAnsi="Times New Roman"/>
          <w:sz w:val="10"/>
          <w:szCs w:val="10"/>
          <w:color w:val="auto"/>
        </w:rPr>
        <w:t>otes</w:t>
      </w:r>
    </w:p>
    <w:p>
      <w:pPr>
        <w:spacing w:after="0" w:line="180"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6"/>
          <w:szCs w:val="16"/>
          <w:color w:val="auto"/>
        </w:rPr>
        <w:t xml:space="preserve">Section 2.01. </w:t>
      </w:r>
      <w:r>
        <w:rPr>
          <w:rFonts w:ascii="Times New Roman" w:cs="Times New Roman" w:eastAsia="Times New Roman" w:hAnsi="Times New Roman"/>
          <w:sz w:val="16"/>
          <w:szCs w:val="16"/>
          <w:i w:val="1"/>
          <w:iCs w:val="1"/>
          <w:color w:val="auto"/>
        </w:rPr>
        <w:t>Designation and Amount.</w:t>
      </w:r>
      <w:r>
        <w:rPr>
          <w:rFonts w:ascii="Times New Roman" w:cs="Times New Roman" w:eastAsia="Times New Roman" w:hAnsi="Times New Roman"/>
          <w:sz w:val="16"/>
          <w:szCs w:val="16"/>
          <w:color w:val="auto"/>
        </w:rPr>
        <w:t xml:space="preserve"> The Notes shall be designated as the “15.0% Cash + 5.0% PIK Convertible Senior Notes due 2026.” The aggregate principal amount of Notes that may be authenticated and delivered under this Indenture is initially limited to $25,000,000 (excluding PIK Notes), subject to Section 2.10 and except for Notes authenticated and delivered upon registration or transfer of, or in exchange for, or in lieu of other Notes to the extent expressly permitted hereunder. Unless the context requires otherwise, references to the “principal” or “principal amount” of Notes including for purposes of calculating any Redemption Price, Fundamental Change Repurchase Price or otherwise, includes any increase in the principal amount of the Notes as a result of a PIK Payment and all references to “interest” shall include Cash Interest and PIK Interest.</w:t>
      </w:r>
    </w:p>
    <w:p>
      <w:pPr>
        <w:spacing w:after="0" w:line="161" w:lineRule="exact"/>
        <w:rPr>
          <w:sz w:val="20"/>
          <w:szCs w:val="20"/>
          <w:color w:val="auto"/>
        </w:rPr>
      </w:pPr>
    </w:p>
    <w:p>
      <w:pPr>
        <w:jc w:val="both"/>
        <w:ind w:firstLine="382"/>
        <w:spacing w:after="0" w:line="260" w:lineRule="auto"/>
        <w:rPr>
          <w:sz w:val="20"/>
          <w:szCs w:val="20"/>
          <w:color w:val="auto"/>
        </w:rPr>
      </w:pPr>
      <w:r>
        <w:rPr>
          <w:rFonts w:ascii="Times New Roman" w:cs="Times New Roman" w:eastAsia="Times New Roman" w:hAnsi="Times New Roman"/>
          <w:sz w:val="16"/>
          <w:szCs w:val="16"/>
          <w:color w:val="auto"/>
        </w:rPr>
        <w:t xml:space="preserve">Section 2.02. </w:t>
      </w:r>
      <w:r>
        <w:rPr>
          <w:rFonts w:ascii="Times New Roman" w:cs="Times New Roman" w:eastAsia="Times New Roman" w:hAnsi="Times New Roman"/>
          <w:sz w:val="16"/>
          <w:szCs w:val="16"/>
          <w:i w:val="1"/>
          <w:iCs w:val="1"/>
          <w:color w:val="auto"/>
        </w:rPr>
        <w:t>Form of Notes.</w:t>
      </w:r>
      <w:r>
        <w:rPr>
          <w:rFonts w:ascii="Times New Roman" w:cs="Times New Roman" w:eastAsia="Times New Roman" w:hAnsi="Times New Roman"/>
          <w:sz w:val="16"/>
          <w:szCs w:val="16"/>
          <w:color w:val="auto"/>
        </w:rPr>
        <w:t xml:space="preserve"> The Notes and the Trustee’s certificate of authentication to be borne by such Notes shall be substantially in the respective forms set forth in Exhibit A, the terms and provisions of which shall constitute, and are hereby expressly incorporated in and made a part of this Indenture. To the extent applicable, the Company and the Trustee, by their execution and delivery of this Indenture, expressly agree to such terms and provisions and to be bound thereby. In the case of any conflict between this Indenture and a Note, the provisions of this Indenture shall control and govern to the extent of such conflict.</w:t>
      </w:r>
    </w:p>
    <w:p>
      <w:pPr>
        <w:spacing w:after="0" w:line="161" w:lineRule="exact"/>
        <w:rPr>
          <w:sz w:val="20"/>
          <w:szCs w:val="20"/>
          <w:color w:val="auto"/>
        </w:rPr>
      </w:pPr>
    </w:p>
    <w:p>
      <w:pPr>
        <w:jc w:val="both"/>
        <w:ind w:firstLine="382"/>
        <w:spacing w:after="0" w:line="265" w:lineRule="auto"/>
        <w:rPr>
          <w:sz w:val="20"/>
          <w:szCs w:val="20"/>
          <w:color w:val="auto"/>
        </w:rPr>
      </w:pPr>
      <w:r>
        <w:rPr>
          <w:rFonts w:ascii="Times New Roman" w:cs="Times New Roman" w:eastAsia="Times New Roman" w:hAnsi="Times New Roman"/>
          <w:sz w:val="16"/>
          <w:szCs w:val="16"/>
          <w:color w:val="auto"/>
        </w:rPr>
        <w:t>In connection with the payment of PIK Interest on each Interest Payment Date in respect of the Notes, the Company is entitled to, without the consent of the Holders and without regard to Section 2.01 and 4.11 hereof, increase the outstanding principal amount of the Notes or issue additional Notes (“</w:t>
      </w:r>
      <w:r>
        <w:rPr>
          <w:rFonts w:ascii="Times New Roman" w:cs="Times New Roman" w:eastAsia="Times New Roman" w:hAnsi="Times New Roman"/>
          <w:sz w:val="16"/>
          <w:szCs w:val="16"/>
          <w:b w:val="1"/>
          <w:bCs w:val="1"/>
          <w:color w:val="auto"/>
        </w:rPr>
        <w:t>PIK Notes</w:t>
      </w:r>
      <w:r>
        <w:rPr>
          <w:rFonts w:ascii="Times New Roman" w:cs="Times New Roman" w:eastAsia="Times New Roman" w:hAnsi="Times New Roman"/>
          <w:sz w:val="16"/>
          <w:szCs w:val="16"/>
          <w:color w:val="auto"/>
        </w:rPr>
        <w:t>”) under this Indenture on the same terms and conditions as the Notes (in each case, a “</w:t>
      </w:r>
      <w:r>
        <w:rPr>
          <w:rFonts w:ascii="Times New Roman" w:cs="Times New Roman" w:eastAsia="Times New Roman" w:hAnsi="Times New Roman"/>
          <w:sz w:val="16"/>
          <w:szCs w:val="16"/>
          <w:b w:val="1"/>
          <w:bCs w:val="1"/>
          <w:color w:val="auto"/>
        </w:rPr>
        <w:t>PIK Payment</w:t>
      </w:r>
      <w:r>
        <w:rPr>
          <w:rFonts w:ascii="Times New Roman" w:cs="Times New Roman" w:eastAsia="Times New Roman" w:hAnsi="Times New Roman"/>
          <w:sz w:val="16"/>
          <w:szCs w:val="16"/>
          <w:color w:val="auto"/>
        </w:rPr>
        <w:t>”).</w:t>
      </w:r>
    </w:p>
    <w:p>
      <w:pPr>
        <w:spacing w:after="0" w:line="155"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6"/>
          <w:szCs w:val="16"/>
          <w:color w:val="auto"/>
        </w:rPr>
        <w:t>Any Global Note may be endorsed with or have incorporated in the text thereof such legends or recitals or changes not inconsistent with the provisions of this Indenture as may be required by the Custodian or the Depositary, or as may be required to comply with any applicable law or any regulation thereunder or with the rules and regulations of any securities exchange or automated quotation system upon which the Notes may be listed or traded or designated for issuance or to conform with any usage with respect thereto, or to indicate any special limitations or restrictions to which any particular Notes are subject.</w:t>
      </w:r>
    </w:p>
    <w:p>
      <w:pPr>
        <w:spacing w:after="0" w:line="162"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6"/>
          <w:szCs w:val="16"/>
          <w:color w:val="auto"/>
        </w:rPr>
        <w:t>Any of the Notes may have such letters, numbers or other marks of identification and such notations, legends or endorsements as the Officer executing the same may approve (execution thereof to be conclusive evidence of such approval) and as are not inconsistent with the provisions of this Indenture, or as may be required to comply with any law or with any rule or regulation made pursuant thereto or with any rule or regulation of any securities exchange or automated quotation system on which the Notes may be listed or designated for issuance, or to conform to usage or to indicate any special limitations or restrictions to which any particular Notes are subject.</w:t>
      </w:r>
    </w:p>
    <w:p>
      <w:pPr>
        <w:spacing w:after="0" w:line="162" w:lineRule="exact"/>
        <w:rPr>
          <w:sz w:val="20"/>
          <w:szCs w:val="20"/>
          <w:color w:val="auto"/>
        </w:rPr>
      </w:pPr>
    </w:p>
    <w:p>
      <w:pPr>
        <w:jc w:val="both"/>
        <w:ind w:firstLine="382"/>
        <w:spacing w:after="0" w:line="254" w:lineRule="auto"/>
        <w:rPr>
          <w:sz w:val="20"/>
          <w:szCs w:val="20"/>
          <w:color w:val="auto"/>
        </w:rPr>
      </w:pPr>
      <w:r>
        <w:rPr>
          <w:rFonts w:ascii="Times New Roman" w:cs="Times New Roman" w:eastAsia="Times New Roman" w:hAnsi="Times New Roman"/>
          <w:sz w:val="16"/>
          <w:szCs w:val="16"/>
          <w:color w:val="auto"/>
        </w:rPr>
        <w:t>Each Global Note shall represent such principal amount of the outstanding Notes as shall be specified therein and shall provide that it shall represent the aggregate principal amount of outstanding Notes from time to time endorsed thereon and that the aggregate principal amount of outstanding Notes represented thereby may from time to time be increased or reduced to reflect redemptions, repurchases, cancellations, conversions, transfers or exchanges permitted hereby. Any endorsement of a Global Note to reflect the amount of any increase or decrease in the amount of outstanding Notes represented thereby shall be made by the Trustee or the Custodian, at the direction of the Trustee, in such manner and upon instructions given by the Holder of such Notes in accordance with this Indenture. Payment of principal (including the Redemption Price and the Fundamental Change Repurchase Price, if applicable) of, and accrued and unpaid interest on, a Global Note shall be made to the Holder of such Note on the date of payment, unless a record date or other means of determining Holders eligible to receive payment is provided for herein.</w:t>
      </w:r>
    </w:p>
    <w:p>
      <w:pPr>
        <w:spacing w:after="0" w:line="167" w:lineRule="exact"/>
        <w:rPr>
          <w:sz w:val="20"/>
          <w:szCs w:val="20"/>
          <w:color w:val="auto"/>
        </w:rPr>
      </w:pPr>
    </w:p>
    <w:p>
      <w:pPr>
        <w:jc w:val="both"/>
        <w:ind w:right="20" w:firstLine="382"/>
        <w:spacing w:after="0" w:line="257" w:lineRule="auto"/>
        <w:rPr>
          <w:sz w:val="20"/>
          <w:szCs w:val="20"/>
          <w:color w:val="auto"/>
        </w:rPr>
      </w:pPr>
      <w:r>
        <w:rPr>
          <w:rFonts w:ascii="Times New Roman" w:cs="Times New Roman" w:eastAsia="Times New Roman" w:hAnsi="Times New Roman"/>
          <w:sz w:val="16"/>
          <w:szCs w:val="16"/>
          <w:color w:val="auto"/>
        </w:rPr>
        <w:t>On each Interest Payment Date, the Company shall pay Cash Interest and shall pay PIK Interest with respect to a Global Note, and the Trustee upon receipt of an Authentication Order shall increase the principal amount of such Note by an amount equal to the PIK Interest payable, rounded up to the nearest $1.00 for the relevant interest period on the principal amount of such Note as of the relevant Regular Record Date for such Interest Payment Date, to the credit of the Holders on such Regular Record Date, pro rata in accordance with their interests, and an adjustment shall be made on the books and records of the Trustee with respect to such Global Note, by the Trustee to reflect such increase.</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9" w:name="page40"/>
    <w:bookmarkEnd w:id="39"/>
    <w:p>
      <w:pPr>
        <w:jc w:val="both"/>
        <w:ind w:right="20" w:firstLine="382"/>
        <w:spacing w:after="0" w:line="259" w:lineRule="auto"/>
        <w:rPr>
          <w:sz w:val="20"/>
          <w:szCs w:val="20"/>
          <w:color w:val="auto"/>
        </w:rPr>
      </w:pPr>
      <w:r>
        <w:rPr>
          <w:rFonts w:ascii="Times New Roman" w:cs="Times New Roman" w:eastAsia="Times New Roman" w:hAnsi="Times New Roman"/>
          <w:sz w:val="16"/>
          <w:szCs w:val="16"/>
          <w:color w:val="auto"/>
        </w:rPr>
        <w:t>On each Interest Payment Date, the Company shall pay PIK Interest by issuing certificated PIK Notes, and the principal amount of such PIK Notes issued to any Holder, for the relevant interest period as of the relevant Regular Record Date for such Interest Payment Date, shall be rounded up to the nearest $1.00. Following an increase in the principal amount of a Global Note as a result of a PIK Payment such Global Note will bear interest on such increased principal amount from and after the relevant Interest Payment Date.</w:t>
      </w:r>
    </w:p>
    <w:p>
      <w:pPr>
        <w:spacing w:after="0" w:line="162" w:lineRule="exact"/>
        <w:rPr>
          <w:sz w:val="20"/>
          <w:szCs w:val="20"/>
          <w:color w:val="auto"/>
        </w:rPr>
      </w:pPr>
    </w:p>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For the avoidance of doubt, the Company shall make all payments of interest payable upon a redemption or in connection with a Fundamental Change in cash, assuming all PIK Interest is payable in cash.</w:t>
      </w:r>
    </w:p>
    <w:p>
      <w:pPr>
        <w:spacing w:after="0" w:line="142" w:lineRule="exact"/>
        <w:rPr>
          <w:sz w:val="20"/>
          <w:szCs w:val="20"/>
          <w:color w:val="auto"/>
        </w:rPr>
      </w:pPr>
    </w:p>
    <w:p>
      <w:pPr>
        <w:jc w:val="both"/>
        <w:ind w:right="20" w:firstLine="382"/>
        <w:spacing w:after="0" w:line="279" w:lineRule="auto"/>
        <w:rPr>
          <w:sz w:val="20"/>
          <w:szCs w:val="20"/>
          <w:color w:val="auto"/>
        </w:rPr>
      </w:pPr>
      <w:r>
        <w:rPr>
          <w:rFonts w:ascii="Times New Roman" w:cs="Times New Roman" w:eastAsia="Times New Roman" w:hAnsi="Times New Roman"/>
          <w:sz w:val="15"/>
          <w:szCs w:val="15"/>
          <w:color w:val="auto"/>
        </w:rPr>
        <w:t xml:space="preserve">Section 2.03. </w:t>
      </w:r>
      <w:r>
        <w:rPr>
          <w:rFonts w:ascii="Times New Roman" w:cs="Times New Roman" w:eastAsia="Times New Roman" w:hAnsi="Times New Roman"/>
          <w:sz w:val="15"/>
          <w:szCs w:val="15"/>
          <w:i w:val="1"/>
          <w:iCs w:val="1"/>
          <w:color w:val="auto"/>
        </w:rPr>
        <w:t>Date and Denomination of Notes; Payments of Interest and Defaulted Amounts.</w:t>
      </w:r>
      <w:r>
        <w:rPr>
          <w:rFonts w:ascii="Times New Roman" w:cs="Times New Roman" w:eastAsia="Times New Roman" w:hAnsi="Times New Roman"/>
          <w:sz w:val="15"/>
          <w:szCs w:val="15"/>
          <w:color w:val="auto"/>
        </w:rPr>
        <w:t xml:space="preserve"> (a) The Notes shall be issuable in registered form without coupons in minimum denominations of $1,000 principal amount and integral multiples thereof, subject to the issuance of PIK Notes or the increase in the principal amount of a Global Note in order to evidence PIK Payments, which PIK Notes or increased principal amount of a Global Note will be in denominations of $1.00 and integral multiples of $1.00 in excess thereof. Each Note shall be dated the date of its authentication and shall bear interest from the date specified on the face of such Note. Accrued interest on the Notes shall be computed on the basis of a 360-day year composed of twelve 30-day months and, for partial months, on the basis of the number of days actually elapsed in a 30-day month.</w:t>
      </w:r>
    </w:p>
    <w:p>
      <w:pPr>
        <w:spacing w:after="0" w:line="147" w:lineRule="exact"/>
        <w:rPr>
          <w:sz w:val="20"/>
          <w:szCs w:val="20"/>
          <w:color w:val="auto"/>
        </w:rPr>
      </w:pPr>
    </w:p>
    <w:p>
      <w:pPr>
        <w:jc w:val="both"/>
        <w:ind w:firstLine="1143"/>
        <w:spacing w:after="0" w:line="252" w:lineRule="auto"/>
        <w:tabs>
          <w:tab w:leader="none" w:pos="1372"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Person in whose name any Note (or its Predecessor Note) is registered on the Note Register at the close of business on any Regular Record Date with respect to any Interest Payment Date shall be entitled to receive the interest payable on such Interest Payment Date. The principal amount of any Note (x) in the case of any Physical Note, shall be payable at the office or agency of the Company maintained by the Company for such purposes in the United States of America, which shall initially be the Corporate Trust Office and (y) in the case of any Global Note, shall be payable by wire transfer of immediately available funds to the account of the Depositary or its nominee. The Company shall pay, or cause the Paying Agent to pay, interest (i) on any Physical Notes (A) to Holders holding Physical Notes having an aggregate principal amount of $5,000,000 or less, by check mailed to the Holders of these Notes at their addresses as they appear in the Note Register and (B) to Holders holding Physical Notes having an aggregate principal amount of more than $5,000,000, either by check mailed to each such Holder or, upon written application by such a Holder to the Note Registrar in a form reasonably satisfactory to the Note Registrar not later than the relevant Regular Record Date, by wire transfer in immediately available funds to that Holder’s account within the United States if such Holder has provided the Trustee or the Paying Agent (if other than the Trustee) with the requisite information necessary to make such wire transfer, which written application shall remain in effect until the Holder notifies, in writing, the Note Registrar to the contrary or (ii) on any Global Note by wire transfer of immediately available funds to the account of the Depositary or its nominee.</w:t>
      </w:r>
    </w:p>
    <w:p>
      <w:pPr>
        <w:spacing w:after="0" w:line="169"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7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Defaulted Amounts shall forthwith cease to be payable to the Holder on the relevant payment date but shall accrue interest per annum at the rate borne by the Notes, subject to the enforceability thereof under applicable law, from, and including, such relevant payment date, and such Defaulted Amounts together with such interest thereon shall be paid by the Company, at its election in each case, as provided in clause (i) or (ii) below:</w:t>
      </w:r>
    </w:p>
    <w:p>
      <w:pPr>
        <w:spacing w:after="0" w:line="155" w:lineRule="exact"/>
        <w:rPr>
          <w:rFonts w:ascii="Times New Roman" w:cs="Times New Roman" w:eastAsia="Times New Roman" w:hAnsi="Times New Roman"/>
          <w:sz w:val="16"/>
          <w:szCs w:val="16"/>
          <w:color w:val="auto"/>
        </w:rPr>
      </w:pPr>
    </w:p>
    <w:p>
      <w:pPr>
        <w:jc w:val="both"/>
        <w:ind w:firstLine="1366"/>
        <w:spacing w:after="0" w:line="251" w:lineRule="auto"/>
        <w:tabs>
          <w:tab w:leader="none" w:pos="1560"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elect to make payment of any Defaulted Amounts to the Persons in whose names the Notes (or their respective Predecessor Notes) are registered at the close of business on a special record date for the payment of such Defaulted Amounts, which shall be fixed in the following manner. The Company shall notify the Trustee in writing of the amount of the Defaulted Amounts proposed to be paid on each Note and the date of the proposed payment (which shall be not less than 25 days after the receipt by the Trustee of such notice, unless the Trustee shall consent to an earlier date), and at the same time the Company shall deposit with the Trustee an amount of money equal to the aggregate amount to be paid in respect of such Defaulted Amounts or shall make arrangements satisfactory to the Trustee for such deposit on or prior to the date of the proposed payment, such money when deposited to be held in trust for the benefit of the Persons entitled to such Defaulted Amounts as in this clause provided. Thereupon the Company shall fix a special record date for the payment of such Defaulted Amounts which shall be not more than 15 days and not less than 10 days prior to the date of the proposed payment, and not less than 10 days after the receipt by the Trustee of the notice of the proposed payment (unless the Trustee shall consent to an earlier date). The Company shall promptly notify the Trustee of such special record date at least [●] Business Days before such notice is to be sent to the Holders and the Trustee, in the name and at the expense of the Company, shall cause notice of the proposed payment of such Defaulted Amounts and the special record date therefor to be delivered to each Holder not less than 10 days prior to such special record date. Notice of the proposed payment of such Defaulted Amounts and the special record date therefor having been so delivered, such Defaulted Amounts shall be paid to the Persons in whose names the Notes (or their respective Predecessor Notes) are registered at the close of business on such special record date and shall no longer be payable pursuant to the following clause (ii) of this Section 2.03(c). The Trustee shall have no responsibility whatsoever for the calculation of the Defaulted Amount.</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0" w:name="page41"/>
    <w:bookmarkEnd w:id="40"/>
    <w:p>
      <w:pPr>
        <w:jc w:val="both"/>
        <w:ind w:right="20" w:firstLine="1366"/>
        <w:spacing w:after="0" w:line="259" w:lineRule="auto"/>
        <w:tabs>
          <w:tab w:leader="none" w:pos="1622"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make payment of any Defaulted Amounts in any other lawful manner not inconsistent with the requirements of any securities exchange or automated quotation system on which the Notes may be listed or designated for issuance, and upon such notice as may be required by such exchange or automated quotation system, if, after notice given by the Company to the Trustee of the proposed payment pursuant to this clause, such manner of payment shall be deemed practicable by the Trustee.</w:t>
      </w:r>
    </w:p>
    <w:p>
      <w:pPr>
        <w:spacing w:after="0" w:line="160" w:lineRule="exact"/>
        <w:rPr>
          <w:sz w:val="20"/>
          <w:szCs w:val="20"/>
          <w:color w:val="auto"/>
        </w:rPr>
      </w:pPr>
    </w:p>
    <w:p>
      <w:pPr>
        <w:jc w:val="both"/>
        <w:ind w:firstLine="382"/>
        <w:spacing w:after="0" w:line="283" w:lineRule="auto"/>
        <w:rPr>
          <w:sz w:val="20"/>
          <w:szCs w:val="20"/>
          <w:color w:val="auto"/>
        </w:rPr>
      </w:pPr>
      <w:r>
        <w:rPr>
          <w:rFonts w:ascii="Times New Roman" w:cs="Times New Roman" w:eastAsia="Times New Roman" w:hAnsi="Times New Roman"/>
          <w:sz w:val="16"/>
          <w:szCs w:val="16"/>
          <w:color w:val="auto"/>
        </w:rPr>
        <w:t xml:space="preserve">Section 2.04. </w:t>
      </w:r>
      <w:r>
        <w:rPr>
          <w:rFonts w:ascii="Times New Roman" w:cs="Times New Roman" w:eastAsia="Times New Roman" w:hAnsi="Times New Roman"/>
          <w:sz w:val="16"/>
          <w:szCs w:val="16"/>
          <w:i w:val="1"/>
          <w:iCs w:val="1"/>
          <w:color w:val="auto"/>
        </w:rPr>
        <w:t>Execution, Authentication and Delivery of Notes.</w:t>
      </w:r>
      <w:r>
        <w:rPr>
          <w:rFonts w:ascii="Times New Roman" w:cs="Times New Roman" w:eastAsia="Times New Roman" w:hAnsi="Times New Roman"/>
          <w:sz w:val="16"/>
          <w:szCs w:val="16"/>
          <w:color w:val="auto"/>
        </w:rPr>
        <w:t xml:space="preserve"> The Notes shall be signed in the name and on behalf of the Company by the manual, facsimile or electronic signature of its Chief Executive Officer, Chief Financial Officer, Treasurer, Secretary or other Officer of the Company.</w:t>
      </w:r>
    </w:p>
    <w:p>
      <w:pPr>
        <w:spacing w:after="0" w:line="142" w:lineRule="exact"/>
        <w:rPr>
          <w:sz w:val="20"/>
          <w:szCs w:val="20"/>
          <w:color w:val="auto"/>
        </w:rPr>
      </w:pPr>
    </w:p>
    <w:p>
      <w:pPr>
        <w:jc w:val="both"/>
        <w:ind w:firstLine="382"/>
        <w:spacing w:after="0" w:line="255" w:lineRule="auto"/>
        <w:rPr>
          <w:sz w:val="20"/>
          <w:szCs w:val="20"/>
          <w:color w:val="auto"/>
        </w:rPr>
      </w:pPr>
      <w:r>
        <w:rPr>
          <w:rFonts w:ascii="Times New Roman" w:cs="Times New Roman" w:eastAsia="Times New Roman" w:hAnsi="Times New Roman"/>
          <w:sz w:val="16"/>
          <w:szCs w:val="16"/>
          <w:color w:val="auto"/>
        </w:rPr>
        <w:t xml:space="preserve">Subject to Section 4.11(c), at any time and from time to time after the execution and delivery of this Indenture, the Company may deliver Notes, including any additional Notes or PIK Notes, executed by the Company to the Trustee for authentication, together with a Company Order for the authentication and delivery of such Notes, and the Trustee in accordance with such Company Order shall authenticate and deliver such Notes, without any further action by the Company hereunder;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xml:space="preserve">, that the Trustee shall be entitled to receive an Officer’s Certificate and an Opinion of Counsel of the Company with respect to the issuance, authentication and delivery of such Notes;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further</w:t>
      </w:r>
      <w:r>
        <w:rPr>
          <w:rFonts w:ascii="Times New Roman" w:cs="Times New Roman" w:eastAsia="Times New Roman" w:hAnsi="Times New Roman"/>
          <w:sz w:val="16"/>
          <w:szCs w:val="16"/>
          <w:color w:val="auto"/>
        </w:rPr>
        <w:t>, that notwithstanding anything to the contrary herein, no Officer’s Certificate or Opinion of Counsel shall be required to be delivered in connection with a payment of PIK Interest on each Interest Payment Date (whether by an issuance of PIK Notes or by an increase in Global Notes reflecting a PIK Payment).</w:t>
      </w:r>
    </w:p>
    <w:p>
      <w:pPr>
        <w:spacing w:after="0" w:line="165"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6"/>
          <w:szCs w:val="16"/>
          <w:color w:val="auto"/>
        </w:rPr>
        <w:t>Only such Notes as shall bear thereon a certificate of authentication substantially in the form set forth on the Form of Note attached as Exhibit A hereto, executed manually by an authorized officer of the Trustee (or an authenticating agent appointed by the Trustee as provided by Section 18.10), shall be entitled to the benefits of this Indenture or be valid or obligatory for any purpose. Such certificate by the Trustee (or such an authenticating agent) upon any Note executed by the Company shall be conclusive evidence that the Note so authenticated has been duly authenticated and delivered hereunder and that the Holder is entitled to the benefits of this Indenture.</w:t>
      </w:r>
    </w:p>
    <w:p>
      <w:pPr>
        <w:spacing w:after="0" w:line="162"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6"/>
          <w:szCs w:val="16"/>
          <w:color w:val="auto"/>
        </w:rPr>
        <w:t>In case any Officer of the Company who shall have signed any of the Notes shall cease to be such Officer before the Notes so signed shall have been authenticated and delivered by the Trustee, or disposed of by the Company, such Notes nevertheless may be authenticated and delivered or disposed of as though the person who signed such Notes had not ceased to be such Officer of the Company; and any Note may be signed on behalf of the Company by such persons as, at the actual date of the execution of such Note, shall be the Officers of the Company, although at the date of the execution of this Indenture any such person was not such an Officer.</w:t>
      </w:r>
    </w:p>
    <w:p>
      <w:pPr>
        <w:spacing w:after="0" w:line="160"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6"/>
          <w:szCs w:val="16"/>
          <w:color w:val="auto"/>
        </w:rPr>
        <w:t xml:space="preserve">Section 2.05. </w:t>
      </w:r>
      <w:r>
        <w:rPr>
          <w:rFonts w:ascii="Times New Roman" w:cs="Times New Roman" w:eastAsia="Times New Roman" w:hAnsi="Times New Roman"/>
          <w:sz w:val="16"/>
          <w:szCs w:val="16"/>
          <w:i w:val="1"/>
          <w:iCs w:val="1"/>
          <w:color w:val="auto"/>
        </w:rPr>
        <w:t>Exchange and Registration of Transfer of Notes; Restrictions on Transfer; Depositary.</w:t>
      </w:r>
      <w:r>
        <w:rPr>
          <w:rFonts w:ascii="Times New Roman" w:cs="Times New Roman" w:eastAsia="Times New Roman" w:hAnsi="Times New Roman"/>
          <w:sz w:val="16"/>
          <w:szCs w:val="16"/>
          <w:color w:val="auto"/>
        </w:rPr>
        <w:t xml:space="preserve"> (a) The Company shall cause to be kept at the Corporate Trust Office a register (the register maintained in such office or in any other office or agency of the Company designated pursuant to Section 4.02, the “</w:t>
      </w:r>
      <w:r>
        <w:rPr>
          <w:rFonts w:ascii="Times New Roman" w:cs="Times New Roman" w:eastAsia="Times New Roman" w:hAnsi="Times New Roman"/>
          <w:sz w:val="16"/>
          <w:szCs w:val="16"/>
          <w:b w:val="1"/>
          <w:bCs w:val="1"/>
          <w:color w:val="auto"/>
        </w:rPr>
        <w:t>Note Register</w:t>
      </w:r>
      <w:r>
        <w:rPr>
          <w:rFonts w:ascii="Times New Roman" w:cs="Times New Roman" w:eastAsia="Times New Roman" w:hAnsi="Times New Roman"/>
          <w:sz w:val="16"/>
          <w:szCs w:val="16"/>
          <w:color w:val="auto"/>
        </w:rPr>
        <w:t>”) in which, subject to such reasonable regulations as it may prescribe, the Company shall provide for the registration of Notes and of transfers of Notes. Such register shall be in written form or in any form capable of being converted into written form within a reasonable period of time. The Trustee is hereby initially appointed the “</w:t>
      </w:r>
      <w:r>
        <w:rPr>
          <w:rFonts w:ascii="Times New Roman" w:cs="Times New Roman" w:eastAsia="Times New Roman" w:hAnsi="Times New Roman"/>
          <w:sz w:val="16"/>
          <w:szCs w:val="16"/>
          <w:b w:val="1"/>
          <w:bCs w:val="1"/>
          <w:color w:val="auto"/>
        </w:rPr>
        <w:t>Note Registrar</w:t>
      </w:r>
      <w:r>
        <w:rPr>
          <w:rFonts w:ascii="Times New Roman" w:cs="Times New Roman" w:eastAsia="Times New Roman" w:hAnsi="Times New Roman"/>
          <w:sz w:val="16"/>
          <w:szCs w:val="16"/>
          <w:color w:val="auto"/>
        </w:rPr>
        <w:t>” for the purpose of registering Notes and transfers of Notes as herein provided. The Company may appoint one or more co-Note Registrars in accordance with Section 4.02.</w:t>
      </w:r>
    </w:p>
    <w:p>
      <w:pPr>
        <w:spacing w:after="0" w:line="164" w:lineRule="exact"/>
        <w:rPr>
          <w:sz w:val="20"/>
          <w:szCs w:val="20"/>
          <w:color w:val="auto"/>
        </w:rPr>
      </w:pPr>
    </w:p>
    <w:p>
      <w:pPr>
        <w:jc w:val="both"/>
        <w:ind w:firstLine="382"/>
        <w:spacing w:after="0" w:line="265" w:lineRule="auto"/>
        <w:rPr>
          <w:sz w:val="20"/>
          <w:szCs w:val="20"/>
          <w:color w:val="auto"/>
        </w:rPr>
      </w:pPr>
      <w:r>
        <w:rPr>
          <w:rFonts w:ascii="Times New Roman" w:cs="Times New Roman" w:eastAsia="Times New Roman" w:hAnsi="Times New Roman"/>
          <w:sz w:val="16"/>
          <w:szCs w:val="16"/>
          <w:color w:val="auto"/>
        </w:rPr>
        <w:t>Upon surrender for registration of transfer of any Note to the Note Registrar or any co-Note Registrar, and satisfaction of the requirements for such transfer set forth in this Section 2.05, the Company shall execute, and the Trustee shall authenticate and deliver, in the name of the designated transferee or transferees, one or more new Notes of any authorized denominations and of a like aggregate principal amount and bearing such restrictive legends as may be required by this Indenture.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1" w:name="page42"/>
    <w:bookmarkEnd w:id="41"/>
    <w:p>
      <w:pPr>
        <w:jc w:val="both"/>
        <w:ind w:firstLine="382"/>
        <w:spacing w:after="0" w:line="265" w:lineRule="auto"/>
        <w:rPr>
          <w:sz w:val="20"/>
          <w:szCs w:val="20"/>
          <w:color w:val="auto"/>
        </w:rPr>
      </w:pPr>
      <w:r>
        <w:rPr>
          <w:rFonts w:ascii="Times New Roman" w:cs="Times New Roman" w:eastAsia="Times New Roman" w:hAnsi="Times New Roman"/>
          <w:sz w:val="16"/>
          <w:szCs w:val="16"/>
          <w:color w:val="auto"/>
        </w:rPr>
        <w:t>Notes may be exchanged for other Notes of any authorized denominations and of a like aggregate principal amount, upon surrender of the Notes to be exchanged at any such office or agency maintained by the Company pursuant to Section 4.02. Whenever any Notes are so surrendered for exchange, the Company shall execute, and the Trustee shall authenticate and deliver, the Notes that the Holder making the exchange is entitled to receive, bearing registration numbers not contemporaneously outstanding.</w:t>
      </w:r>
    </w:p>
    <w:p>
      <w:pPr>
        <w:spacing w:after="0" w:line="155" w:lineRule="exact"/>
        <w:rPr>
          <w:sz w:val="20"/>
          <w:szCs w:val="20"/>
          <w:color w:val="auto"/>
        </w:rPr>
      </w:pPr>
    </w:p>
    <w:p>
      <w:pPr>
        <w:jc w:val="both"/>
        <w:ind w:right="20" w:firstLine="382"/>
        <w:spacing w:after="0" w:line="265" w:lineRule="auto"/>
        <w:rPr>
          <w:sz w:val="20"/>
          <w:szCs w:val="20"/>
          <w:color w:val="auto"/>
        </w:rPr>
      </w:pPr>
      <w:r>
        <w:rPr>
          <w:rFonts w:ascii="Times New Roman" w:cs="Times New Roman" w:eastAsia="Times New Roman" w:hAnsi="Times New Roman"/>
          <w:sz w:val="16"/>
          <w:szCs w:val="16"/>
          <w:color w:val="auto"/>
        </w:rPr>
        <w:t>All Notes presented or surrendered for registration of transfer or for exchange, repurchase, redemption or conversion shall (if so required by the Company, the Trustee, the Note Registrar or any co-Note Registrar) be duly endorsed, or be accompanied by a written instrument or instruments of transfer in form satisfactory to the Company and duly executed, by the Holder thereof or its attorney-in-fact duly authorized in writing.</w:t>
      </w:r>
    </w:p>
    <w:p>
      <w:pPr>
        <w:spacing w:after="0" w:line="155" w:lineRule="exact"/>
        <w:rPr>
          <w:sz w:val="20"/>
          <w:szCs w:val="20"/>
          <w:color w:val="auto"/>
        </w:rPr>
      </w:pPr>
    </w:p>
    <w:p>
      <w:pPr>
        <w:jc w:val="both"/>
        <w:ind w:right="20" w:firstLine="382"/>
        <w:spacing w:after="0" w:line="259" w:lineRule="auto"/>
        <w:rPr>
          <w:sz w:val="20"/>
          <w:szCs w:val="20"/>
          <w:color w:val="auto"/>
        </w:rPr>
      </w:pPr>
      <w:r>
        <w:rPr>
          <w:rFonts w:ascii="Times New Roman" w:cs="Times New Roman" w:eastAsia="Times New Roman" w:hAnsi="Times New Roman"/>
          <w:sz w:val="16"/>
          <w:szCs w:val="16"/>
          <w:color w:val="auto"/>
        </w:rPr>
        <w:t>No service charge shall be imposed by the Company, the Trustee, the Note Registrar, any co-Note Registrar or the Paying Agent for any exchange or registration of transfer of Notes, but the Company may require a Holder to pay a sum sufficient to cover any documentary, stamp or similar issue or transfer tax required in connection therewith as a result of the name of the Holder of new Notes issued upon such exchange or registration of transfer being different from the name of the Holder of the old Notes surrendered for exchange or registration of transfer.</w:t>
      </w:r>
    </w:p>
    <w:p>
      <w:pPr>
        <w:spacing w:after="0" w:line="162" w:lineRule="exact"/>
        <w:rPr>
          <w:sz w:val="20"/>
          <w:szCs w:val="20"/>
          <w:color w:val="auto"/>
        </w:rPr>
      </w:pPr>
    </w:p>
    <w:p>
      <w:pPr>
        <w:jc w:val="both"/>
        <w:ind w:right="20" w:firstLine="382"/>
        <w:spacing w:after="0" w:line="259" w:lineRule="auto"/>
        <w:rPr>
          <w:sz w:val="20"/>
          <w:szCs w:val="20"/>
          <w:color w:val="auto"/>
        </w:rPr>
      </w:pPr>
      <w:r>
        <w:rPr>
          <w:rFonts w:ascii="Times New Roman" w:cs="Times New Roman" w:eastAsia="Times New Roman" w:hAnsi="Times New Roman"/>
          <w:sz w:val="16"/>
          <w:szCs w:val="16"/>
          <w:color w:val="auto"/>
        </w:rPr>
        <w:t>None of the Company, the Trustee, the Note Registrar or any co-Note Registrar shall be required to exchange for other Notes or register a transfer of (i) any Notes surrendered for conversion or, if a portion of any Note is surrendered for conversion, such portion thereof surrendered for conversion, (ii) any Notes, or a portion of any Note, surrendered for repurchase (and not withdrawn) in accordance with Article 15 or (iii) any Notes selected for redemption in accordance with Article 16, except the unredeemed portion thereof.</w:t>
      </w:r>
    </w:p>
    <w:p>
      <w:pPr>
        <w:spacing w:after="0" w:line="162" w:lineRule="exact"/>
        <w:rPr>
          <w:sz w:val="20"/>
          <w:szCs w:val="20"/>
          <w:color w:val="auto"/>
        </w:rPr>
      </w:pPr>
    </w:p>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All Notes issued upon any registration of transfer or exchange of Notes in accordance with this Indenture shall be the valid obligations of the Company, evidencing the same debt, and entitled to the same benefits under this Indenture as the Notes surrendered upon such registration of transfer or exchange.</w:t>
      </w:r>
    </w:p>
    <w:p>
      <w:pPr>
        <w:spacing w:after="0" w:line="144" w:lineRule="exact"/>
        <w:rPr>
          <w:sz w:val="20"/>
          <w:szCs w:val="20"/>
          <w:color w:val="auto"/>
        </w:rPr>
      </w:pPr>
    </w:p>
    <w:p>
      <w:pPr>
        <w:jc w:val="both"/>
        <w:ind w:firstLine="760"/>
        <w:spacing w:after="0" w:line="257" w:lineRule="auto"/>
        <w:tabs>
          <w:tab w:leader="none" w:pos="99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 long as the Notes are eligible for book-entry settlement with the Depositary, unless otherwise required by law, subject to the fourth paragraph from the end of Section 2.05(c) all Notes shall be represented by one or more Notes in global form (each, a “</w:t>
      </w:r>
      <w:r>
        <w:rPr>
          <w:rFonts w:ascii="Times New Roman" w:cs="Times New Roman" w:eastAsia="Times New Roman" w:hAnsi="Times New Roman"/>
          <w:sz w:val="16"/>
          <w:szCs w:val="16"/>
          <w:b w:val="1"/>
          <w:bCs w:val="1"/>
          <w:color w:val="auto"/>
        </w:rPr>
        <w:t>Global Note</w:t>
      </w:r>
      <w:r>
        <w:rPr>
          <w:rFonts w:ascii="Times New Roman" w:cs="Times New Roman" w:eastAsia="Times New Roman" w:hAnsi="Times New Roman"/>
          <w:sz w:val="16"/>
          <w:szCs w:val="16"/>
          <w:color w:val="auto"/>
        </w:rPr>
        <w:t>”) registered in the name of the Depositary or the nominee of the Depositary. Each Global Note shall bear the legend required on a Global Note set forth in Exhibit A hereto. The transfer and exchange of beneficial interests in a Global Note that does not involve the issuance of a Physical Note shall be effected through the Depositary (but not the Trustee or the Custodian) in accordance with this Indenture (including the restrictions on transfer set forth herein) and the procedures of the Depositary therefor.</w:t>
      </w:r>
    </w:p>
    <w:p>
      <w:pPr>
        <w:spacing w:after="0" w:line="162" w:lineRule="exact"/>
        <w:rPr>
          <w:rFonts w:ascii="Times New Roman" w:cs="Times New Roman" w:eastAsia="Times New Roman" w:hAnsi="Times New Roman"/>
          <w:sz w:val="16"/>
          <w:szCs w:val="16"/>
          <w:color w:val="auto"/>
        </w:rPr>
      </w:pPr>
    </w:p>
    <w:p>
      <w:pPr>
        <w:jc w:val="both"/>
        <w:ind w:firstLine="760"/>
        <w:spacing w:after="0" w:line="255" w:lineRule="auto"/>
        <w:tabs>
          <w:tab w:leader="none" w:pos="981"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Every Note that bears or is required under this Section 2.05(c) to bear the Restrictive Notes Legend (together with any Common Stock issued upon conversion of the Notes that is required to bear the legend set forth in Section 2.05(d), collectively, the “</w:t>
      </w:r>
      <w:r>
        <w:rPr>
          <w:rFonts w:ascii="Times New Roman" w:cs="Times New Roman" w:eastAsia="Times New Roman" w:hAnsi="Times New Roman"/>
          <w:sz w:val="16"/>
          <w:szCs w:val="16"/>
          <w:b w:val="1"/>
          <w:bCs w:val="1"/>
          <w:color w:val="auto"/>
        </w:rPr>
        <w:t>Restricted Securities</w:t>
      </w:r>
      <w:r>
        <w:rPr>
          <w:rFonts w:ascii="Times New Roman" w:cs="Times New Roman" w:eastAsia="Times New Roman" w:hAnsi="Times New Roman"/>
          <w:sz w:val="16"/>
          <w:szCs w:val="16"/>
          <w:color w:val="auto"/>
        </w:rPr>
        <w:t>”) shall be subject to the restrictions on transfer set forth in this Section 2.05(c) (including the legend set forth below) or Section 2.05(d)(including the legend set forth therein), as applicable, unless such restrictions on transfer shall be eliminated or otherwise waived by written consent of the Company, and the Holder of each such Restricted Security, by such Holder’s acceptance thereof, agrees to be bound by all such restrictions on transfer. As used in this Section 2.05(c) and Section 2.05(d), the term “</w:t>
      </w:r>
      <w:r>
        <w:rPr>
          <w:rFonts w:ascii="Times New Roman" w:cs="Times New Roman" w:eastAsia="Times New Roman" w:hAnsi="Times New Roman"/>
          <w:sz w:val="16"/>
          <w:szCs w:val="16"/>
          <w:b w:val="1"/>
          <w:bCs w:val="1"/>
          <w:color w:val="auto"/>
        </w:rPr>
        <w:t>transfer</w:t>
      </w:r>
      <w:r>
        <w:rPr>
          <w:rFonts w:ascii="Times New Roman" w:cs="Times New Roman" w:eastAsia="Times New Roman" w:hAnsi="Times New Roman"/>
          <w:sz w:val="16"/>
          <w:szCs w:val="16"/>
          <w:color w:val="auto"/>
        </w:rPr>
        <w:t>” encompasses any sale, pledge, transfer or other disposition whatsoever of any Restricted Security.</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2" w:name="page43"/>
    <w:bookmarkEnd w:id="42"/>
    <w:p>
      <w:pPr>
        <w:jc w:val="both"/>
        <w:ind w:right="20" w:firstLine="382"/>
        <w:spacing w:after="0" w:line="257" w:lineRule="auto"/>
        <w:rPr>
          <w:sz w:val="20"/>
          <w:szCs w:val="20"/>
          <w:color w:val="auto"/>
        </w:rPr>
      </w:pPr>
      <w:r>
        <w:rPr>
          <w:rFonts w:ascii="Times New Roman" w:cs="Times New Roman" w:eastAsia="Times New Roman" w:hAnsi="Times New Roman"/>
          <w:sz w:val="16"/>
          <w:szCs w:val="16"/>
          <w:color w:val="auto"/>
        </w:rPr>
        <w:t>Any certificate evidencing some or all of the Notes (and all securities issued in exchange therefor or substitution thereof, other than Common Stock, if any, issued upon conversion thereof, which shall bear the legend set forth in Section 2.05(d), if applicable) shall bear a legend in substantially the following form (the “</w:t>
      </w:r>
      <w:r>
        <w:rPr>
          <w:rFonts w:ascii="Times New Roman" w:cs="Times New Roman" w:eastAsia="Times New Roman" w:hAnsi="Times New Roman"/>
          <w:sz w:val="16"/>
          <w:szCs w:val="16"/>
          <w:b w:val="1"/>
          <w:bCs w:val="1"/>
          <w:color w:val="auto"/>
        </w:rPr>
        <w:t>Restrictive Notes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Legend</w:t>
      </w:r>
      <w:r>
        <w:rPr>
          <w:rFonts w:ascii="Times New Roman" w:cs="Times New Roman" w:eastAsia="Times New Roman" w:hAnsi="Times New Roman"/>
          <w:sz w:val="16"/>
          <w:szCs w:val="16"/>
          <w:color w:val="auto"/>
        </w:rPr>
        <w:t>”) (unless such Notes have been transferred pursuant to a registration statement that has become or been declared effective under the Securities Act and that continues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 effective at the time of such transfer, or sold pursuant to the exemption from registration provided by Rule 144 or any similar provision then in force under the Securities Act, or unless otherwise agreed by the Company in writing, with notice thereof to the Trustee):</w:t>
      </w:r>
    </w:p>
    <w:p>
      <w:pPr>
        <w:spacing w:after="0" w:line="162" w:lineRule="exact"/>
        <w:rPr>
          <w:sz w:val="20"/>
          <w:szCs w:val="20"/>
          <w:color w:val="auto"/>
        </w:rPr>
      </w:pPr>
    </w:p>
    <w:p>
      <w:pPr>
        <w:jc w:val="both"/>
        <w:ind w:right="20" w:firstLine="382"/>
        <w:spacing w:after="0" w:line="290" w:lineRule="auto"/>
        <w:rPr>
          <w:sz w:val="20"/>
          <w:szCs w:val="20"/>
          <w:color w:val="auto"/>
        </w:rPr>
      </w:pPr>
      <w:r>
        <w:rPr>
          <w:rFonts w:ascii="Times New Roman" w:cs="Times New Roman" w:eastAsia="Times New Roman" w:hAnsi="Times New Roman"/>
          <w:sz w:val="15"/>
          <w:szCs w:val="15"/>
          <w:color w:val="auto"/>
        </w:rPr>
        <w:t>THIS SECURITY AND THE COMMON STOCK, IF ANY, ISSUABLE UPON CONVERSION OF THIS SECURITY HAVE NOT BEEN REGISTERED UNDER THE SECURITIES ACT OF 1933, AS AMENDED (THE “</w:t>
      </w:r>
      <w:r>
        <w:rPr>
          <w:rFonts w:ascii="Times New Roman" w:cs="Times New Roman" w:eastAsia="Times New Roman" w:hAnsi="Times New Roman"/>
          <w:sz w:val="15"/>
          <w:szCs w:val="15"/>
          <w:b w:val="1"/>
          <w:bCs w:val="1"/>
          <w:color w:val="auto"/>
        </w:rPr>
        <w:t>SECURITIES ACT</w:t>
      </w:r>
      <w:r>
        <w:rPr>
          <w:rFonts w:ascii="Times New Roman" w:cs="Times New Roman" w:eastAsia="Times New Roman" w:hAnsi="Times New Roman"/>
          <w:sz w:val="15"/>
          <w:szCs w:val="15"/>
          <w:color w:val="auto"/>
        </w:rPr>
        <w:t>”), AND MAY NOT BE OFFERED, SOLD, PLEDGED OR OTHERWISE TRANSFERRED EXCEPT IN ACCORDANCE WITH THE FOLLOWING SENTENCE. BY ITS ACQUISITION HEREOF OR OF A BENEFICIAL INTEREST HEREIN, THE ACQUIRER:</w:t>
      </w:r>
    </w:p>
    <w:p>
      <w:pPr>
        <w:spacing w:after="0" w:line="138" w:lineRule="exact"/>
        <w:rPr>
          <w:sz w:val="20"/>
          <w:szCs w:val="20"/>
          <w:color w:val="auto"/>
        </w:rPr>
      </w:pPr>
    </w:p>
    <w:p>
      <w:pPr>
        <w:jc w:val="both"/>
        <w:ind w:right="20" w:firstLine="382"/>
        <w:spacing w:after="0" w:line="260" w:lineRule="auto"/>
        <w:rPr>
          <w:sz w:val="20"/>
          <w:szCs w:val="20"/>
          <w:color w:val="auto"/>
        </w:rPr>
      </w:pPr>
      <w:r>
        <w:rPr>
          <w:rFonts w:ascii="Times New Roman" w:cs="Times New Roman" w:eastAsia="Times New Roman" w:hAnsi="Times New Roman"/>
          <w:sz w:val="16"/>
          <w:szCs w:val="16"/>
          <w:color w:val="auto"/>
        </w:rPr>
        <w:t>AGREES FOR THE BENEFIT OF [●]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THAT IT WILL NOT OFFER, SELL, PLEDGE OR OTHERWISE TRANSFER THIS SECURITY OR ANY BENEFICIAL INTEREST HEREIN PRIOR TO THE DATE THAT IS THE LATER OF (X) ONE YEAR AFTER THE LAST ORIGINAL ISSUE DATE HEREOF OR SUCH SHORTER PERIOD OF TIME AS PERMITTED BY RULE 144 UNDER THE SECURITIES ACT OR ANY SUCCESSOR PROVISION THERETO AND (Y) SUCH LATER DATE, IF ANY, AS MAY BE REQUIRED BY APPLICABLE LAW, EXCEPT:</w:t>
      </w:r>
    </w:p>
    <w:p>
      <w:pPr>
        <w:spacing w:after="0" w:line="161" w:lineRule="exact"/>
        <w:rPr>
          <w:sz w:val="20"/>
          <w:szCs w:val="20"/>
          <w:color w:val="auto"/>
        </w:rPr>
      </w:pPr>
    </w:p>
    <w:p>
      <w:pPr>
        <w:ind w:left="1000" w:hanging="256"/>
        <w:spacing w:after="0"/>
        <w:tabs>
          <w:tab w:leader="none" w:pos="100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COMPANY OR ANY SUBSIDIARY THEREOF, OR</w:t>
      </w:r>
    </w:p>
    <w:p>
      <w:pPr>
        <w:spacing w:after="0" w:line="198" w:lineRule="exact"/>
        <w:rPr>
          <w:rFonts w:ascii="Times New Roman" w:cs="Times New Roman" w:eastAsia="Times New Roman" w:hAnsi="Times New Roman"/>
          <w:sz w:val="16"/>
          <w:szCs w:val="16"/>
          <w:color w:val="auto"/>
        </w:rPr>
      </w:pPr>
    </w:p>
    <w:p>
      <w:pPr>
        <w:ind w:left="360" w:right="20" w:firstLine="384"/>
        <w:spacing w:after="0" w:line="280" w:lineRule="auto"/>
        <w:tabs>
          <w:tab w:leader="none" w:pos="1006"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A REGISTRATION STATEMENT THAT HAS BECOME EFFECTIVE UNDER THE SECURITIES ACT AND IS EFFECTIVE AT THE TIME OF SUCH TRANSFER, OR</w:t>
      </w:r>
    </w:p>
    <w:p>
      <w:pPr>
        <w:spacing w:after="0" w:line="144" w:lineRule="exact"/>
        <w:rPr>
          <w:rFonts w:ascii="Times New Roman" w:cs="Times New Roman" w:eastAsia="Times New Roman" w:hAnsi="Times New Roman"/>
          <w:sz w:val="16"/>
          <w:szCs w:val="16"/>
          <w:color w:val="auto"/>
        </w:rPr>
      </w:pPr>
    </w:p>
    <w:p>
      <w:pPr>
        <w:ind w:left="360" w:right="20" w:firstLine="384"/>
        <w:spacing w:after="0" w:line="280" w:lineRule="auto"/>
        <w:tabs>
          <w:tab w:leader="none" w:pos="1018"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 PERSON REASONABLY BELIEVED TO BE A QUALIFIED INSTITUTIONAL BUYER IN COMPLIANCE WITH RULE 144A UNDER THE SECURITIES ACT, OR</w:t>
      </w:r>
    </w:p>
    <w:p>
      <w:pPr>
        <w:spacing w:after="0" w:line="144" w:lineRule="exact"/>
        <w:rPr>
          <w:rFonts w:ascii="Times New Roman" w:cs="Times New Roman" w:eastAsia="Times New Roman" w:hAnsi="Times New Roman"/>
          <w:sz w:val="16"/>
          <w:szCs w:val="16"/>
          <w:color w:val="auto"/>
        </w:rPr>
      </w:pPr>
    </w:p>
    <w:p>
      <w:pPr>
        <w:ind w:left="360" w:right="20" w:firstLine="384"/>
        <w:spacing w:after="0" w:line="280" w:lineRule="auto"/>
        <w:tabs>
          <w:tab w:leader="none" w:pos="1003"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AN EXEMPTION FROM REGISTRATION PROVIDED BY RULE 144 UNDER THE SECURITIES ACT OR ANY OTHER AVAILABLE EXEMPTION FROM THE REGISTRATION REQUIREMENTS OF THE SECURITIES ACT.</w:t>
      </w:r>
    </w:p>
    <w:p>
      <w:pPr>
        <w:spacing w:after="0" w:line="144"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6"/>
          <w:szCs w:val="16"/>
          <w:color w:val="auto"/>
        </w:rPr>
        <w:t>PRIOR TO THE REGISTRATION OF ANY TRANSFER IN ACCORDANCE WITH CLAUSE (2)(D) ABOVE, THE COMPANY AND THE TRUSTEE RESERVE THE RIGHT TO REQUIRE THE DELIVERY OF SUCH LEGAL OPINIONS, CERTIFICATIONS OR OTHER EVIDENCE AS MAY REASONABLY BE REQUIRED IN ORDER FOR THE COMPANY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62" w:lineRule="exact"/>
        <w:rPr>
          <w:sz w:val="20"/>
          <w:szCs w:val="20"/>
          <w:color w:val="auto"/>
        </w:rPr>
      </w:pPr>
    </w:p>
    <w:p>
      <w:pPr>
        <w:jc w:val="both"/>
        <w:ind w:right="20" w:firstLine="382"/>
        <w:spacing w:after="0" w:line="265" w:lineRule="auto"/>
        <w:rPr>
          <w:sz w:val="20"/>
          <w:szCs w:val="20"/>
          <w:color w:val="auto"/>
        </w:rPr>
      </w:pPr>
      <w:r>
        <w:rPr>
          <w:rFonts w:ascii="Times New Roman" w:cs="Times New Roman" w:eastAsia="Times New Roman" w:hAnsi="Times New Roman"/>
          <w:sz w:val="16"/>
          <w:szCs w:val="16"/>
          <w:color w:val="auto"/>
        </w:rPr>
        <w:t>NO AFFILIATE (AS DEFINED IN RULE 144 UNDER THE SECURITIES ACT) OF THE COMPANY OR PERSON THAT HAS BEEN AN AFFILIATE (AS DEFINED IN RULE 144 UNDER THE SECURITIES ACT) OF THE COMPANY DURING THE PRECEDING THREE MONTHS MAY PURCHASE, OTHERWISE ACQUIRE OR HOLD THIS SECURITY OR A BENEFICIAL INTEREST HEREIN.</w:t>
      </w:r>
    </w:p>
    <w:p>
      <w:pPr>
        <w:spacing w:after="0" w:line="155" w:lineRule="exact"/>
        <w:rPr>
          <w:sz w:val="20"/>
          <w:szCs w:val="20"/>
          <w:color w:val="auto"/>
        </w:rPr>
      </w:pPr>
    </w:p>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No transfer of any Note prior to the Resale Restriction Termination Date will be registered by the Note Registrar unless the applicable box on the Form of Assignment and Transfer has been checked.</w:t>
      </w:r>
    </w:p>
    <w:p>
      <w:pPr>
        <w:spacing w:after="0" w:line="144" w:lineRule="exact"/>
        <w:rPr>
          <w:sz w:val="20"/>
          <w:szCs w:val="20"/>
          <w:color w:val="auto"/>
        </w:rPr>
      </w:pPr>
    </w:p>
    <w:p>
      <w:pPr>
        <w:jc w:val="both"/>
        <w:ind w:firstLine="382"/>
        <w:spacing w:after="0" w:line="251" w:lineRule="auto"/>
        <w:rPr>
          <w:sz w:val="20"/>
          <w:szCs w:val="20"/>
          <w:color w:val="auto"/>
        </w:rPr>
      </w:pPr>
      <w:r>
        <w:rPr>
          <w:rFonts w:ascii="Times New Roman" w:cs="Times New Roman" w:eastAsia="Times New Roman" w:hAnsi="Times New Roman"/>
          <w:sz w:val="16"/>
          <w:szCs w:val="16"/>
          <w:color w:val="auto"/>
        </w:rPr>
        <w:t xml:space="preserve">Any Note (or security issued in exchange or substitution therefor) (i) as to which such restrictions on transfer shall have expired in accordance with their terms, (ii) that has been transferred pursuant to a registration statement that has become effective or been declared effective under the Securities Act and that continues to be effective at the time of such transfer or (iii) that has been sold pursuant to the exemption from registration provided by Rule 144 or any similar provision then in force under the Securities Act, may, upon surrender of such Note for exchange to the Note Registrar in accordance with the provisions of this Section 2.05, be exchanged for a new Note or Notes, of like tenor and aggregate principal amount, which shall not bear the Restrictive Notes Legend required by this Section 2.05(c) and shall not be assigned a restricted CUSIP number. The Restrictive Notes Legend set forth above and affixed on any Note will be deemed, in accordance with the terms of the certificate representing such Note, to be removed therefrom upon the Company’ s delivery to the Trustee of written notice to such effect, without further action by the Company, the Trustee, the Holder(s) thereof or any other Person; at such time, such Note will be deemed to be assigned an unrestricted CUSIP number as provided in the certificate representing such Note, it being understood that the Depositary of any Global Note may require a mandatory exchange or other process to cause such Global Note to be identified by an unrestricted CUSIP number in the facilities of such Depositary;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if such Note is a Global Note and the Depositary thereof requires a mandatory exchange or other procedure to cause such Global Note to be identified by “unrestricted” CUSIP and ISIN numbers in the facilities of such Depositary, then (i) the Company will effect such exchange or procedure as soon as reasonably practicable; and (ii) for purposes of Section 4.06, such Global Note will not be deemed to be identified by unrestricted CUSIP and ISIN numbers until such time as such exchange or procedure is effected. The Company and the Trustee reserve the right to require the delivery of such legal opinions, certifications or other evidence as may reasonably be required in order to determine that any proposed transfer of any Note is being made in compliance with the Securities Act and applicable state securities laws.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3" w:name="page44"/>
    <w:bookmarkEnd w:id="43"/>
    <w:p>
      <w:pPr>
        <w:jc w:val="both"/>
        <w:ind w:firstLine="382"/>
        <w:spacing w:after="0" w:line="265" w:lineRule="auto"/>
        <w:rPr>
          <w:sz w:val="20"/>
          <w:szCs w:val="20"/>
          <w:color w:val="auto"/>
        </w:rPr>
      </w:pPr>
      <w:r>
        <w:rPr>
          <w:rFonts w:ascii="Times New Roman" w:cs="Times New Roman" w:eastAsia="Times New Roman" w:hAnsi="Times New Roman"/>
          <w:sz w:val="16"/>
          <w:szCs w:val="16"/>
          <w:color w:val="auto"/>
        </w:rPr>
        <w:t>The Company shall be entitled to instruct the Custodian in writing to so surrender any Global Note as to which any of the conditions set forth in clause (i) through (iii) of the first sentence of the immediately preceding paragraph have been satisfied, and, upon such instruction, the Custodian shall so surrender such Global Note for exchange; and any new Global Note so exchanged therefor shall not bear the Restrictive Notes Legend specified in this Section 2.05(c) and shall not be assigned a restricted CUSIP number.</w:t>
      </w:r>
    </w:p>
    <w:p>
      <w:pPr>
        <w:spacing w:after="0" w:line="155"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6"/>
          <w:szCs w:val="16"/>
          <w:color w:val="auto"/>
        </w:rPr>
        <w:t>Notwithstanding any other provisions of this Indenture (other than the provisions set forth in this Section 2.05(c)), a Global Note may not be transferred as a whole or in part except (i) by the Depositary to a nominee of the Depositary or by a nominee of the Depositary to the Depositary or another nominee of the Depositary or by the Depositary or any such nominee to a successor Depositary or a nominee of such successor Depositary and (ii) for exchange of a Global Note or a portion thereof for one or more Physical Notes in accordance with the second immediately succeeding paragraph.</w:t>
      </w:r>
    </w:p>
    <w:p>
      <w:pPr>
        <w:spacing w:after="0" w:line="162" w:lineRule="exact"/>
        <w:rPr>
          <w:sz w:val="20"/>
          <w:szCs w:val="20"/>
          <w:color w:val="auto"/>
        </w:rPr>
      </w:pPr>
    </w:p>
    <w:p>
      <w:pPr>
        <w:jc w:val="both"/>
        <w:ind w:firstLine="382"/>
        <w:spacing w:after="0" w:line="265" w:lineRule="auto"/>
        <w:rPr>
          <w:sz w:val="20"/>
          <w:szCs w:val="20"/>
          <w:color w:val="auto"/>
        </w:rPr>
      </w:pPr>
      <w:r>
        <w:rPr>
          <w:rFonts w:ascii="Times New Roman" w:cs="Times New Roman" w:eastAsia="Times New Roman" w:hAnsi="Times New Roman"/>
          <w:sz w:val="16"/>
          <w:szCs w:val="16"/>
          <w:color w:val="auto"/>
        </w:rPr>
        <w:t>The Depositary shall be a clearing agency registered under the Exchange Act. The Company initially appoints The Depository Trust Company to act as Depositary with respect to each Global Note. Initially, each Global Note shall be issued to the Depositary, registered in the name of Cede &amp; Co., as the nominee of the Depositary, and deposited with the Trustee as custodian for Cede &amp; Co.</w:t>
      </w:r>
    </w:p>
    <w:p>
      <w:pPr>
        <w:spacing w:after="0" w:line="155" w:lineRule="exact"/>
        <w:rPr>
          <w:sz w:val="20"/>
          <w:szCs w:val="20"/>
          <w:color w:val="auto"/>
        </w:rPr>
      </w:pPr>
    </w:p>
    <w:p>
      <w:pPr>
        <w:jc w:val="both"/>
        <w:ind w:right="20" w:firstLine="382"/>
        <w:spacing w:after="0" w:line="253" w:lineRule="auto"/>
        <w:rPr>
          <w:sz w:val="20"/>
          <w:szCs w:val="20"/>
          <w:color w:val="auto"/>
        </w:rPr>
      </w:pPr>
      <w:r>
        <w:rPr>
          <w:rFonts w:ascii="Times New Roman" w:cs="Times New Roman" w:eastAsia="Times New Roman" w:hAnsi="Times New Roman"/>
          <w:sz w:val="16"/>
          <w:szCs w:val="16"/>
          <w:color w:val="auto"/>
        </w:rPr>
        <w:t>If (i) the Depositary notifies the Company at any time that the Depositary is unwilling or unable to continue as depositary for the Global Notes and a successor depositary is not appointed within 90 days, (ii) the Depositary ceases to be registered as a clearing agency under the Exchange Act and a successor depositary is not appointed within 90 days or (iii) an Event of Default with respect to the Notes has occurred and is continuing and, subject to the Depositary’s applicable procedures, a beneficial owner of any Note requests that its beneficial interest therein be issued as a Physical Note, the Company shall execute, and the Trustee, upon receipt of an Officer’s Certificate and a Company Order for the authentication and delivery of Notes, shall authenticate and deliver (x) in the case of clause (iii), a Physical Note to such beneficial owner in a principal amount equal to the principal amount of such Note corresponding to such beneficial owner’s beneficial interest and (y) in the case of clause (i) or (ii), Physical Notes to each beneficial owner of the related Global Notes (or a portion thereof) in an aggregate principal amount equal to the aggregate principal amount of such Global Notes in exchange for such Global Notes, and upon delivery of the Global Notes to the Trustee such Global Notes shall be canceled.</w:t>
      </w:r>
    </w:p>
    <w:p>
      <w:pPr>
        <w:spacing w:after="0" w:line="169" w:lineRule="exact"/>
        <w:rPr>
          <w:sz w:val="20"/>
          <w:szCs w:val="20"/>
          <w:color w:val="auto"/>
        </w:rPr>
      </w:pPr>
    </w:p>
    <w:p>
      <w:pPr>
        <w:jc w:val="both"/>
        <w:ind w:right="20" w:firstLine="382"/>
        <w:spacing w:after="0" w:line="259" w:lineRule="auto"/>
        <w:rPr>
          <w:sz w:val="20"/>
          <w:szCs w:val="20"/>
          <w:color w:val="auto"/>
        </w:rPr>
      </w:pPr>
      <w:r>
        <w:rPr>
          <w:rFonts w:ascii="Times New Roman" w:cs="Times New Roman" w:eastAsia="Times New Roman" w:hAnsi="Times New Roman"/>
          <w:sz w:val="16"/>
          <w:szCs w:val="16"/>
          <w:color w:val="auto"/>
        </w:rPr>
        <w:t>Physical Notes issued in exchange for all or a part of the Global Note pursuant to this Section 2.05(c) shall be registered in such names and in such authorized denominations as the Depositary, pursuant to instructions from its direct or indirect participants or otherwise, or, in the case of clause (iii) of the immediately preceding paragraph, the relevant beneficial owner, shall instruct the Trustee. Upon execution and authentication, the Trustee shall deliver such Physical Notes to the Persons in whose names such Physical Notes are so registered.</w:t>
      </w:r>
    </w:p>
    <w:p>
      <w:pPr>
        <w:spacing w:after="0" w:line="162" w:lineRule="exact"/>
        <w:rPr>
          <w:sz w:val="20"/>
          <w:szCs w:val="20"/>
          <w:color w:val="auto"/>
        </w:rPr>
      </w:pPr>
    </w:p>
    <w:p>
      <w:pPr>
        <w:jc w:val="both"/>
        <w:ind w:firstLine="382"/>
        <w:spacing w:after="0" w:line="255" w:lineRule="auto"/>
        <w:rPr>
          <w:sz w:val="20"/>
          <w:szCs w:val="20"/>
          <w:color w:val="auto"/>
        </w:rPr>
      </w:pPr>
      <w:r>
        <w:rPr>
          <w:rFonts w:ascii="Times New Roman" w:cs="Times New Roman" w:eastAsia="Times New Roman" w:hAnsi="Times New Roman"/>
          <w:sz w:val="16"/>
          <w:szCs w:val="16"/>
          <w:color w:val="auto"/>
        </w:rPr>
        <w:t>At such time as all interests in a Global Note have been converted, canceled, repurchased upon a Fundamental Change, redeemed or transferred, such Global Note shall be, upon receipt thereof, canceled by the Trustee in accordance with standing procedures and existing instructions between the Depositary and the Custodian. At any time prior to such cancellation, if any interest in a Global Note is exchanged for Physical Notes, converted, canceled, repurchased upon a Fundamental Change, redeemed or transferred to a transferee who receives Physical Notes therefor or any Physical Note is exchanged or transferred for part of such Global Note, the principal amount of such Global Note shall, in accordance with the standing procedures and instructions existing between the Depositary and the Custodian, be appropriately reduced or increased, as the case may be, and an endorsement shall be made on such Global Note, by the Trustee or the Custodian, at the direction of the Trustee, to reflect such reduction or increase.</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4" w:name="page45"/>
    <w:bookmarkEnd w:id="44"/>
    <w:p>
      <w:pPr>
        <w:jc w:val="both"/>
        <w:ind w:right="20" w:firstLine="382"/>
        <w:spacing w:after="0" w:line="265" w:lineRule="auto"/>
        <w:rPr>
          <w:sz w:val="20"/>
          <w:szCs w:val="20"/>
          <w:color w:val="auto"/>
        </w:rPr>
      </w:pPr>
      <w:r>
        <w:rPr>
          <w:rFonts w:ascii="Times New Roman" w:cs="Times New Roman" w:eastAsia="Times New Roman" w:hAnsi="Times New Roman"/>
          <w:sz w:val="16"/>
          <w:szCs w:val="16"/>
          <w:color w:val="auto"/>
        </w:rPr>
        <w:t>None of the Company, the Trustee, the Conversion Agent, the Paying Agent or any agent of the Company or the Trustee shall have any responsibility or liability for any act or omission of the Depositary or for the payment of amounts to owners of beneficial interest in a Global Note, for any aspect of the records relating to or payments made on account of those interests by the Depositary, or for maintaining, supervising or reviewing any records of the Depositary relating to those interests.</w:t>
      </w:r>
    </w:p>
    <w:p>
      <w:pPr>
        <w:spacing w:after="0" w:line="155" w:lineRule="exact"/>
        <w:rPr>
          <w:sz w:val="20"/>
          <w:szCs w:val="20"/>
          <w:color w:val="auto"/>
        </w:rPr>
      </w:pPr>
    </w:p>
    <w:p>
      <w:pPr>
        <w:jc w:val="both"/>
        <w:ind w:right="20" w:firstLine="760"/>
        <w:spacing w:after="0" w:line="255" w:lineRule="auto"/>
        <w:tabs>
          <w:tab w:leader="none" w:pos="1014"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stock certificate representing Common Stock issued upon conversion of a Note shall bear a legend in substantially the following form (unless such Common Stock has been transferred pursuant to a registration statement that has become or been declared effective under the Securities Act and that continues to be effective at the time of such transfer, or pursuant to the exemption from registration provided by Rule 144 or any similar provision then in force under the Securities Act, or such Common Stock has been issued upon conversion of a Note that has been transferred pursuant to a registration statement that has become or been declared effective under the Securities Act and that continues to be effective at the time of such transfer, or pursuant to the exemption from registration provided by Rule 144 or any similar provision then in force under the Securities Act, or unless otherwise agreed by the Company with written notice thereof to the Trustee and any transfer agent for the Common Stock):</w:t>
      </w:r>
    </w:p>
    <w:p>
      <w:pPr>
        <w:spacing w:after="0" w:line="163" w:lineRule="exact"/>
        <w:rPr>
          <w:sz w:val="20"/>
          <w:szCs w:val="20"/>
          <w:color w:val="auto"/>
        </w:rPr>
      </w:pPr>
    </w:p>
    <w:p>
      <w:pPr>
        <w:jc w:val="both"/>
        <w:ind w:firstLine="382"/>
        <w:spacing w:after="0" w:line="266" w:lineRule="auto"/>
        <w:rPr>
          <w:sz w:val="20"/>
          <w:szCs w:val="20"/>
          <w:color w:val="auto"/>
        </w:rPr>
      </w:pPr>
      <w:r>
        <w:rPr>
          <w:rFonts w:ascii="Times New Roman" w:cs="Times New Roman" w:eastAsia="Times New Roman" w:hAnsi="Times New Roman"/>
          <w:sz w:val="16"/>
          <w:szCs w:val="16"/>
          <w:color w:val="auto"/>
        </w:rPr>
        <w:t>THIS SECURITY HAS NOT BEEN REGISTERED UNDER THE SECURITIES ACT OF 1933, AS AMENDED (THE “</w:t>
      </w:r>
      <w:r>
        <w:rPr>
          <w:rFonts w:ascii="Times New Roman" w:cs="Times New Roman" w:eastAsia="Times New Roman" w:hAnsi="Times New Roman"/>
          <w:sz w:val="16"/>
          <w:szCs w:val="16"/>
          <w:b w:val="1"/>
          <w:bCs w:val="1"/>
          <w:color w:val="auto"/>
        </w:rPr>
        <w:t>SECURITIES ACT</w:t>
      </w:r>
      <w:r>
        <w:rPr>
          <w:rFonts w:ascii="Times New Roman" w:cs="Times New Roman" w:eastAsia="Times New Roman" w:hAnsi="Times New Roman"/>
          <w:sz w:val="16"/>
          <w:szCs w:val="16"/>
          <w:color w:val="auto"/>
        </w:rPr>
        <w:t>”), AND MAY NOT BE OFFERED, SOLD, PLEDGED OR OTHERWISE TRANSFERRED EXCEPT IN ACCORDANCE WITH THE FOLLOWING SENTENCE. BY ITS ACQUISITION HEREOF OR OF A BENEFICIAL INTEREST HEREIN, THE ACQUIRER:</w:t>
      </w:r>
    </w:p>
    <w:p>
      <w:pPr>
        <w:spacing w:after="0" w:line="153" w:lineRule="exact"/>
        <w:rPr>
          <w:sz w:val="20"/>
          <w:szCs w:val="20"/>
          <w:color w:val="auto"/>
        </w:rPr>
      </w:pPr>
    </w:p>
    <w:p>
      <w:pPr>
        <w:jc w:val="both"/>
        <w:ind w:right="20" w:firstLine="382"/>
        <w:spacing w:after="0" w:line="257" w:lineRule="auto"/>
        <w:rPr>
          <w:sz w:val="20"/>
          <w:szCs w:val="20"/>
          <w:color w:val="auto"/>
        </w:rPr>
      </w:pPr>
      <w:r>
        <w:rPr>
          <w:rFonts w:ascii="Times New Roman" w:cs="Times New Roman" w:eastAsia="Times New Roman" w:hAnsi="Times New Roman"/>
          <w:sz w:val="16"/>
          <w:szCs w:val="16"/>
          <w:color w:val="auto"/>
        </w:rPr>
        <w:t>AGREES FOR THE BENEFIT OF [●]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THAT IT WILL NOT OFFER, SELL, PLEDGE OR OTHERWISE TRANSFER THIS SECURITY OR ANY BENEFICIAL INTEREST HEREIN PRIOR TO THE DATE THAT IS THE LATER OF (X) ONE YEAR AFTER THE LAST ORIGINAL ISSUE DATE OF THE NOTES UPON THE CONVERSION OF WHICH THIS SECURITY WAS ISSUED OR SUCH SHORTER PERIOD OF TIME AS PERMITTED BY RULE 144 UNDER THE SECURITIES ACT OR ANY SUCCESSOR PROVISION THERETO AND (Y) SUCH LATER DATE, IF ANY, AS MAY BE REQUIRED BY APPLICABLE LAW, EXCEPT:</w:t>
      </w:r>
    </w:p>
    <w:p>
      <w:pPr>
        <w:spacing w:after="0" w:line="164" w:lineRule="exact"/>
        <w:rPr>
          <w:sz w:val="20"/>
          <w:szCs w:val="20"/>
          <w:color w:val="auto"/>
        </w:rPr>
      </w:pPr>
    </w:p>
    <w:p>
      <w:pPr>
        <w:ind w:left="1020" w:hanging="260"/>
        <w:spacing w:after="0"/>
        <w:tabs>
          <w:tab w:leader="none" w:pos="10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COMPANY OR ANY SUBSIDIARY THEREOF, OR</w:t>
      </w:r>
    </w:p>
    <w:p>
      <w:pPr>
        <w:spacing w:after="0" w:line="198" w:lineRule="exact"/>
        <w:rPr>
          <w:rFonts w:ascii="Times New Roman" w:cs="Times New Roman" w:eastAsia="Times New Roman" w:hAnsi="Times New Roman"/>
          <w:sz w:val="16"/>
          <w:szCs w:val="16"/>
          <w:color w:val="auto"/>
        </w:rPr>
      </w:pPr>
    </w:p>
    <w:p>
      <w:pPr>
        <w:ind w:left="380" w:right="20" w:firstLine="380"/>
        <w:spacing w:after="0" w:line="280" w:lineRule="auto"/>
        <w:tabs>
          <w:tab w:leader="none" w:pos="1014"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A REGISTRATION STATEMENT THAT HAS BECOME EFFECTIVE UNDER THE SECURITIES ACT AND IS EFFECTIVE AT THE TIME OF SUCH TRANSFER, OR</w:t>
      </w:r>
    </w:p>
    <w:p>
      <w:pPr>
        <w:spacing w:after="0" w:line="144" w:lineRule="exact"/>
        <w:rPr>
          <w:rFonts w:ascii="Times New Roman" w:cs="Times New Roman" w:eastAsia="Times New Roman" w:hAnsi="Times New Roman"/>
          <w:sz w:val="16"/>
          <w:szCs w:val="16"/>
          <w:color w:val="auto"/>
        </w:rPr>
      </w:pPr>
    </w:p>
    <w:p>
      <w:pPr>
        <w:ind w:left="380" w:firstLine="380"/>
        <w:spacing w:after="0" w:line="280" w:lineRule="auto"/>
        <w:tabs>
          <w:tab w:leader="none" w:pos="1026"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 PERSON REASONABLY BELIEVED TO BE A QUALIFIED INSTITUTIONAL BUYER IN COMPLIANCE WITH RULE 144A UNDER THE SECURITIES ACT, OR</w:t>
      </w:r>
    </w:p>
    <w:p>
      <w:pPr>
        <w:spacing w:after="0" w:line="144" w:lineRule="exact"/>
        <w:rPr>
          <w:rFonts w:ascii="Times New Roman" w:cs="Times New Roman" w:eastAsia="Times New Roman" w:hAnsi="Times New Roman"/>
          <w:sz w:val="16"/>
          <w:szCs w:val="16"/>
          <w:color w:val="auto"/>
        </w:rPr>
      </w:pPr>
    </w:p>
    <w:p>
      <w:pPr>
        <w:ind w:left="380" w:right="20" w:firstLine="380"/>
        <w:spacing w:after="0" w:line="315" w:lineRule="auto"/>
        <w:tabs>
          <w:tab w:leader="none" w:pos="1023"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PURSUANT TO AN EXEMPTION FROM REGISTRATION PROVIDED BY RULE 144 UNDER THE SECURITIES ACT OR ANY OTHER AVAILABLE EXEMPTION FROM THE REGISTRATION REQUIREMENTS OF THE SECURITIES ACT AND ANY APPLICABLE STATE SECURITIES LAWS.</w:t>
      </w:r>
    </w:p>
    <w:p>
      <w:pPr>
        <w:spacing w:after="0" w:line="121"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6"/>
          <w:szCs w:val="16"/>
          <w:color w:val="auto"/>
        </w:rPr>
        <w:t>PRIOR TO THE REGISTRATION OF THIS SECURITY IN CONNECTION WITH ANY TRANSFER IN ACCORDANCE WITH CLAUSE (2)(D) ABOVE, THE COMPANY AND THE TRANSFER AGENT FOR THE COMPANY’S COMMON STOCK RESERVE THE RIGHT TO REQUIRE THE DELIVERY OF SUCH LEGAL OPINIONS, CERTIFICATIONS OR OTHER EVIDENCE AS MAY REASONABLY BE REQUIRED IN ORDER FOR THE COMPANY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62"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6"/>
          <w:szCs w:val="16"/>
          <w:color w:val="auto"/>
        </w:rPr>
        <w:t>Any such Common Stock (i) as to which such restrictions on transfer shall have expired in accordance with their terms, (ii) that has been transferred pursuant to a registration statement that has become or been declared effective under the Securities Act and that continues to be effective at the time of such transfer or (iii) that has been sold pursuant to the exemption from registration provided by Rule 144 or any similar provision then in force under the Securities Act, may, upon surrender of the certificates representing such shares of Common Stock for exchange in accordance with the procedures of the transfer agent for the Common Stock, be exchanged for a new certificate or certificates for a like aggregate number of shares of Common Stock, which shall not bear the restrictive legend required by this Section 2.05(d).</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5" w:name="page46"/>
    <w:bookmarkEnd w:id="45"/>
    <w:p>
      <w:pPr>
        <w:ind w:left="380"/>
        <w:spacing w:after="0"/>
        <w:rPr>
          <w:sz w:val="20"/>
          <w:szCs w:val="20"/>
          <w:color w:val="auto"/>
        </w:rPr>
      </w:pPr>
      <w:r>
        <w:rPr>
          <w:rFonts w:ascii="Times New Roman" w:cs="Times New Roman" w:eastAsia="Times New Roman" w:hAnsi="Times New Roman"/>
          <w:sz w:val="16"/>
          <w:szCs w:val="16"/>
          <w:color w:val="auto"/>
        </w:rPr>
        <w:t>The Company shall cause any Note that is repurchased or owned by it to be surrendered to the Trustee for cancellation in accordance with Section 2.08.</w:t>
      </w:r>
    </w:p>
    <w:p>
      <w:pPr>
        <w:spacing w:after="0" w:line="198" w:lineRule="exact"/>
        <w:rPr>
          <w:sz w:val="20"/>
          <w:szCs w:val="20"/>
          <w:color w:val="auto"/>
        </w:rPr>
      </w:pPr>
    </w:p>
    <w:p>
      <w:pPr>
        <w:jc w:val="both"/>
        <w:ind w:right="20" w:firstLine="382"/>
        <w:spacing w:after="0" w:line="257" w:lineRule="auto"/>
        <w:rPr>
          <w:sz w:val="20"/>
          <w:szCs w:val="20"/>
          <w:color w:val="auto"/>
        </w:rPr>
      </w:pPr>
      <w:r>
        <w:rPr>
          <w:rFonts w:ascii="Times New Roman" w:cs="Times New Roman" w:eastAsia="Times New Roman" w:hAnsi="Times New Roman"/>
          <w:sz w:val="16"/>
          <w:szCs w:val="16"/>
          <w:color w:val="auto"/>
        </w:rPr>
        <w:t>The Trustee and any other agent appointed under this Indenture shall have no obligation or duty to monitor, determine or inquire as to compliance with any restrictions on transfer imposed under this Indenture or under applicable law with respect to any transfer of any interest in any Note (including any transfers between or among Depositary participants or beneficial owners of interests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62" w:lineRule="exact"/>
        <w:rPr>
          <w:sz w:val="20"/>
          <w:szCs w:val="20"/>
          <w:color w:val="auto"/>
        </w:rPr>
      </w:pPr>
    </w:p>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Neither the Trustee nor any agent shall have any responsibility or liability for any actions taken or not taken by the Depositary, and may assume performance absent written notice to the contrary.</w:t>
      </w:r>
    </w:p>
    <w:p>
      <w:pPr>
        <w:spacing w:after="0" w:line="144" w:lineRule="exact"/>
        <w:rPr>
          <w:sz w:val="20"/>
          <w:szCs w:val="20"/>
          <w:color w:val="auto"/>
        </w:rPr>
      </w:pPr>
    </w:p>
    <w:p>
      <w:pPr>
        <w:jc w:val="both"/>
        <w:ind w:firstLine="760"/>
        <w:spacing w:after="0" w:line="259" w:lineRule="auto"/>
        <w:tabs>
          <w:tab w:leader="none" w:pos="981"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Note or Common Stock issued upon conversion of a Note that is repurchased or owned by the Company or any Affiliate of the Company (or any Person who was an Affiliate of the Company at any time during the three months immediately preceding) may not be resold by the Company or such Affiliate (or such Person, as the case may be) unless registered under the Securities Act or resold pursuant to an exemption from the registration requirements of the Securities Act in a transaction that results in such Note or Common Stock, as the case may be, no longer being a “restricted security” (as defined under Rule 144).</w:t>
      </w:r>
    </w:p>
    <w:p>
      <w:pPr>
        <w:spacing w:after="0" w:line="160" w:lineRule="exact"/>
        <w:rPr>
          <w:sz w:val="20"/>
          <w:szCs w:val="20"/>
          <w:color w:val="auto"/>
        </w:rPr>
      </w:pPr>
    </w:p>
    <w:p>
      <w:pPr>
        <w:jc w:val="both"/>
        <w:ind w:firstLine="382"/>
        <w:spacing w:after="0" w:line="255" w:lineRule="auto"/>
        <w:rPr>
          <w:sz w:val="20"/>
          <w:szCs w:val="20"/>
          <w:color w:val="auto"/>
        </w:rPr>
      </w:pPr>
      <w:r>
        <w:rPr>
          <w:rFonts w:ascii="Times New Roman" w:cs="Times New Roman" w:eastAsia="Times New Roman" w:hAnsi="Times New Roman"/>
          <w:sz w:val="16"/>
          <w:szCs w:val="16"/>
          <w:color w:val="auto"/>
        </w:rPr>
        <w:t xml:space="preserve">Section 2.06. </w:t>
      </w:r>
      <w:r>
        <w:rPr>
          <w:rFonts w:ascii="Times New Roman" w:cs="Times New Roman" w:eastAsia="Times New Roman" w:hAnsi="Times New Roman"/>
          <w:sz w:val="16"/>
          <w:szCs w:val="16"/>
          <w:i w:val="1"/>
          <w:iCs w:val="1"/>
          <w:color w:val="auto"/>
        </w:rPr>
        <w:t>Mutilated, Destroyed, Lost or Stolen Notes.</w:t>
      </w:r>
      <w:r>
        <w:rPr>
          <w:rFonts w:ascii="Times New Roman" w:cs="Times New Roman" w:eastAsia="Times New Roman" w:hAnsi="Times New Roman"/>
          <w:sz w:val="16"/>
          <w:szCs w:val="16"/>
          <w:color w:val="auto"/>
        </w:rPr>
        <w:t xml:space="preserve"> In case any Note shall become mutilated or be destroyed, lost or stolen, the Company in its discretion may execute, and upon receipt of a Company Order the Trustee or an authenticating agent appointed by the Trustee shall authenticate and deliver, a new Note, bearing a registration number not contemporaneously outstanding, in exchange and substitution for the mutilated Note, or in lieu of and in substitution for the Note so destroyed, lost or stolen. In every case the applicant for a substituted Note shall furnish to the Company, to the Trustee and, if applicable, to such authenticating agent such security or indemnity as may be required by them to save each of them harmless from any loss, liability, cost or expense caused by or connected with such substitution, and, in every case of destruction, loss or theft, the applicant shall also furnish to the Company, to the Trustee and, if applicable, to such authenticating agent evidence to their satisfaction of the destruction, loss or theft of such Note and of the ownership thereof.</w:t>
      </w:r>
    </w:p>
    <w:p>
      <w:pPr>
        <w:spacing w:after="0" w:line="163" w:lineRule="exact"/>
        <w:rPr>
          <w:sz w:val="20"/>
          <w:szCs w:val="20"/>
          <w:color w:val="auto"/>
        </w:rPr>
      </w:pPr>
    </w:p>
    <w:p>
      <w:pPr>
        <w:jc w:val="both"/>
        <w:ind w:firstLine="382"/>
        <w:spacing w:after="0" w:line="252" w:lineRule="auto"/>
        <w:rPr>
          <w:sz w:val="20"/>
          <w:szCs w:val="20"/>
          <w:color w:val="auto"/>
        </w:rPr>
      </w:pPr>
      <w:r>
        <w:rPr>
          <w:rFonts w:ascii="Times New Roman" w:cs="Times New Roman" w:eastAsia="Times New Roman" w:hAnsi="Times New Roman"/>
          <w:sz w:val="16"/>
          <w:szCs w:val="16"/>
          <w:color w:val="auto"/>
        </w:rPr>
        <w:t>The Trustee or such authenticating agent may authenticate any such substituted Note and deliver the same upon the receipt of a Company Order and such security or indemnity as the Trustee, the Company and, if applicable, such authenticating agent may require. No service charge shall be imposed by the Company, the Trustee, the Note Registrar, any co-Note Registrar or the Paying Agent upon the issuance of any substitute Note, but the Company may require a Holder to pay a sum sufficient to cover any documentary, stamp or similar issue or transfer tax required in connection therewith as a result of the name of the Holder of the new substitute Note being different from the name of the Holder of the old Note that became mutilated or was destroyed, lost or stolen. In case any Note that has matured or is about to mature or has been surrendered for redemption or required repurchase or is about to be converted in accordance with Article 14 shall become mutilated or be destroyed, lost or stolen, the Company may, in its sole discretion, instead of issuing a substitute Note, pay or authorize the payment of or convert or authorize the conversion of the same (without surrender thereof except in the case of a mutilated Note), as the case may be, if the applicant for such payment or conversion shall furnish to the Company, to the Trustee and, if applicable, to such authenticating agent such security or indemnity as may be required by them to save each of them harmless for any loss, liability, cost or expense caused by or connected with such substitution, and, in every case of destruction, loss or theft, evidence satisfactory to the Company, the Trustee and, if applicable, any Paying Agent or Conversion Agent evidence of their satisfaction of the destruction, loss or theft of such Note and of the ownership thereof.</w:t>
      </w:r>
    </w:p>
    <w:p>
      <w:pPr>
        <w:spacing w:after="0" w:line="169" w:lineRule="exact"/>
        <w:rPr>
          <w:sz w:val="20"/>
          <w:szCs w:val="20"/>
          <w:color w:val="auto"/>
        </w:rPr>
      </w:pPr>
    </w:p>
    <w:p>
      <w:pPr>
        <w:jc w:val="both"/>
        <w:ind w:firstLine="382"/>
        <w:spacing w:after="0" w:line="255" w:lineRule="auto"/>
        <w:rPr>
          <w:sz w:val="20"/>
          <w:szCs w:val="20"/>
          <w:color w:val="auto"/>
        </w:rPr>
      </w:pPr>
      <w:r>
        <w:rPr>
          <w:rFonts w:ascii="Times New Roman" w:cs="Times New Roman" w:eastAsia="Times New Roman" w:hAnsi="Times New Roman"/>
          <w:sz w:val="16"/>
          <w:szCs w:val="16"/>
          <w:color w:val="auto"/>
        </w:rPr>
        <w:t>Every substitute Note issued pursuant to the provisions of this Section 2.06 by virtue of the fact that any Note is destroyed, lost or stolen shall constitute an additional contractual obligation of the Company, whether or not the destroyed, lost or stolen Note shall be found at any time, and shall be entitled to all the benefits of (but shall be subject to all the limitations set forth in) this Indenture equally and proportionately with any and all other Notes duly issued hereunder. To the extent permitted by law, all Notes shall be held and owned upon the express condition that the foregoing provisions are exclusive with respect to the replacement, payment, redemption, conversion or repurchase of mutilated, destroyed, lost or stolen Notes and shall preclude any and all other rights or remedies notwithstanding any law or statute existing or hereafter enacted to the contrary with respect to the replacement, payment, redemption, conversion or repurchase of negotiable instruments or other securities without their surrender.</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6" w:name="page47"/>
    <w:bookmarkEnd w:id="46"/>
    <w:p>
      <w:pPr>
        <w:jc w:val="both"/>
        <w:ind w:firstLine="382"/>
        <w:spacing w:after="0" w:line="253" w:lineRule="auto"/>
        <w:rPr>
          <w:sz w:val="20"/>
          <w:szCs w:val="20"/>
          <w:color w:val="auto"/>
        </w:rPr>
      </w:pPr>
      <w:r>
        <w:rPr>
          <w:rFonts w:ascii="Times New Roman" w:cs="Times New Roman" w:eastAsia="Times New Roman" w:hAnsi="Times New Roman"/>
          <w:sz w:val="16"/>
          <w:szCs w:val="16"/>
          <w:color w:val="auto"/>
        </w:rPr>
        <w:t xml:space="preserve">Section 2.07. </w:t>
      </w:r>
      <w:r>
        <w:rPr>
          <w:rFonts w:ascii="Times New Roman" w:cs="Times New Roman" w:eastAsia="Times New Roman" w:hAnsi="Times New Roman"/>
          <w:sz w:val="16"/>
          <w:szCs w:val="16"/>
          <w:i w:val="1"/>
          <w:iCs w:val="1"/>
          <w:color w:val="auto"/>
        </w:rPr>
        <w:t>Temporary Notes.</w:t>
      </w:r>
      <w:r>
        <w:rPr>
          <w:rFonts w:ascii="Times New Roman" w:cs="Times New Roman" w:eastAsia="Times New Roman" w:hAnsi="Times New Roman"/>
          <w:sz w:val="16"/>
          <w:szCs w:val="16"/>
          <w:color w:val="auto"/>
        </w:rPr>
        <w:t xml:space="preserve"> Pending the preparation of Physical Notes, the Company may execute and the Trustee or an authenticating agent appointed by the Trustee shall, upon written request of the Company, authenticate and deliver temporary Notes (printed or lithographed). Temporary Notes shall be issuable in any authorized denomination, and substantially in the form of the Physical Notes but with such omissions, insertions and variations as may be appropriate for temporary Notes, all as may be determined by the Company. Every such temporary Note shall be executed by the Company and authenticated by the Trustee or such authenticating agent upon the same conditions and in substantially the same manner, and with the same effect, as the Physical Notes. Without unreasonable delay, the Company shall execute and deliver to the Trustee or such authenticating agent Physical Notes (other than any Global Note) and thereupon any or all temporary Notes (other than any Global Note) may be surrendered in exchange therefor, at each office or agency maintained by the Company pursuant to Section 4.02 and the Trustee or such authenticating agent upon receipt of a Company Order shall authenticate and deliver in exchange for such temporary Notes an equal aggregate principal amount of Physical Notes. Such exchange shall be made by the Company at its own expense and without any charge therefor. Until so exchanged, the temporary Notes shall in all respects be entitled to the same benefits and subject to the same limitations under this Indenture as Physical Notes authenticated and delivered hereunder.</w:t>
      </w:r>
    </w:p>
    <w:p>
      <w:pPr>
        <w:spacing w:after="0" w:line="164" w:lineRule="exact"/>
        <w:rPr>
          <w:sz w:val="20"/>
          <w:szCs w:val="20"/>
          <w:color w:val="auto"/>
        </w:rPr>
      </w:pPr>
    </w:p>
    <w:p>
      <w:pPr>
        <w:jc w:val="both"/>
        <w:ind w:right="20" w:firstLine="382"/>
        <w:spacing w:after="0" w:line="255" w:lineRule="auto"/>
        <w:rPr>
          <w:sz w:val="20"/>
          <w:szCs w:val="20"/>
          <w:color w:val="auto"/>
        </w:rPr>
      </w:pPr>
      <w:r>
        <w:rPr>
          <w:rFonts w:ascii="Times New Roman" w:cs="Times New Roman" w:eastAsia="Times New Roman" w:hAnsi="Times New Roman"/>
          <w:sz w:val="16"/>
          <w:szCs w:val="16"/>
          <w:color w:val="auto"/>
        </w:rPr>
        <w:t xml:space="preserve">Section 2.08. </w:t>
      </w:r>
      <w:r>
        <w:rPr>
          <w:rFonts w:ascii="Times New Roman" w:cs="Times New Roman" w:eastAsia="Times New Roman" w:hAnsi="Times New Roman"/>
          <w:sz w:val="16"/>
          <w:szCs w:val="16"/>
          <w:i w:val="1"/>
          <w:iCs w:val="1"/>
          <w:color w:val="auto"/>
        </w:rPr>
        <w:t>Cancellation of Notes Paid, Converted, Etc.</w:t>
      </w:r>
      <w:r>
        <w:rPr>
          <w:rFonts w:ascii="Times New Roman" w:cs="Times New Roman" w:eastAsia="Times New Roman" w:hAnsi="Times New Roman"/>
          <w:sz w:val="16"/>
          <w:szCs w:val="16"/>
          <w:color w:val="auto"/>
        </w:rPr>
        <w:t xml:space="preserve"> The Company shall cause all Notes surrendered for the purpose of payment, repurchase (including upon a Fundamental Change but not including Notes repurchased pursuant to cash-settled swaps and other derivatives), redemption, registration of transfer or exchange or conversion (other than any Notes exchanged pursuant to Section 14.12), if surrendered to the Company or any of its agents, Subsidiaries or Affiliates, as applicable, to be surrendered to the Trustee for cancellation. All Notes delivered to the Trustee shall be canceled promptly by it in accordance with its customary procedures. Except for any Notes surrendered for registration of transfer or exchange, or as otherwise expressly permitted by any of the provisions of this Indenture, no Notes shall be authenticated in exchange for any Notes surrendered to the Trustee for cancellation. The Trustee shall dispose of canceled Notes in accordance with its customary procedures and, after such disposition, shall deliver a certificate of such disposition to the Company, at the Company’s written request in a Company Order.</w:t>
      </w:r>
    </w:p>
    <w:p>
      <w:pPr>
        <w:spacing w:after="0" w:line="161" w:lineRule="exact"/>
        <w:rPr>
          <w:sz w:val="20"/>
          <w:szCs w:val="20"/>
          <w:color w:val="auto"/>
        </w:rPr>
      </w:pPr>
    </w:p>
    <w:p>
      <w:pPr>
        <w:jc w:val="both"/>
        <w:ind w:right="20" w:firstLine="382"/>
        <w:spacing w:after="0" w:line="257" w:lineRule="auto"/>
        <w:rPr>
          <w:sz w:val="20"/>
          <w:szCs w:val="20"/>
          <w:color w:val="auto"/>
        </w:rPr>
      </w:pPr>
      <w:r>
        <w:rPr>
          <w:rFonts w:ascii="Times New Roman" w:cs="Times New Roman" w:eastAsia="Times New Roman" w:hAnsi="Times New Roman"/>
          <w:sz w:val="16"/>
          <w:szCs w:val="16"/>
          <w:color w:val="auto"/>
        </w:rPr>
        <w:t xml:space="preserve">Section 2.09. </w:t>
      </w:r>
      <w:r>
        <w:rPr>
          <w:rFonts w:ascii="Times New Roman" w:cs="Times New Roman" w:eastAsia="Times New Roman" w:hAnsi="Times New Roman"/>
          <w:sz w:val="16"/>
          <w:szCs w:val="16"/>
          <w:i w:val="1"/>
          <w:iCs w:val="1"/>
          <w:color w:val="auto"/>
        </w:rPr>
        <w:t>CUSIP Numbers.</w:t>
      </w:r>
      <w:r>
        <w:rPr>
          <w:rFonts w:ascii="Times New Roman" w:cs="Times New Roman" w:eastAsia="Times New Roman" w:hAnsi="Times New Roman"/>
          <w:sz w:val="16"/>
          <w:szCs w:val="16"/>
          <w:color w:val="auto"/>
        </w:rPr>
        <w:t xml:space="preserve"> The Company in issuing the Notes may use “CUSIP” numbers (if then generally in use), and, if so, the Trustee shall use “CUSIP” numbers in all notices issued to Holders as a convenience to such Holders;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Trustee shall have no liability for any defect in the “CUSIP” numbers as they appear on any Note, notice or elsewhere, and, </w:t>
      </w:r>
      <w:r>
        <w:rPr>
          <w:rFonts w:ascii="Times New Roman" w:cs="Times New Roman" w:eastAsia="Times New Roman" w:hAnsi="Times New Roman"/>
          <w:sz w:val="16"/>
          <w:szCs w:val="16"/>
          <w:i w:val="1"/>
          <w:iCs w:val="1"/>
          <w:color w:val="auto"/>
        </w:rPr>
        <w:t>provided, further,</w:t>
      </w:r>
      <w:r>
        <w:rPr>
          <w:rFonts w:ascii="Times New Roman" w:cs="Times New Roman" w:eastAsia="Times New Roman" w:hAnsi="Times New Roman"/>
          <w:sz w:val="16"/>
          <w:szCs w:val="16"/>
          <w:color w:val="auto"/>
        </w:rPr>
        <w:t xml:space="preserve"> that any such notice may state that no representation is made as to the correctness of such numbers either as printed on the Notes or on such notice and that reliance may be placed only on the other identification numbers printed on the Notes. The Company shall promptly notify the Trustee in writing of any change in the “CUSIP” numbers.</w:t>
      </w:r>
    </w:p>
    <w:p>
      <w:pPr>
        <w:spacing w:after="0" w:line="162" w:lineRule="exact"/>
        <w:rPr>
          <w:sz w:val="20"/>
          <w:szCs w:val="20"/>
          <w:color w:val="auto"/>
        </w:rPr>
      </w:pPr>
    </w:p>
    <w:p>
      <w:pPr>
        <w:jc w:val="both"/>
        <w:ind w:firstLine="382"/>
        <w:spacing w:after="0" w:line="252" w:lineRule="auto"/>
        <w:rPr>
          <w:sz w:val="20"/>
          <w:szCs w:val="20"/>
          <w:color w:val="auto"/>
        </w:rPr>
      </w:pPr>
      <w:r>
        <w:rPr>
          <w:rFonts w:ascii="Times New Roman" w:cs="Times New Roman" w:eastAsia="Times New Roman" w:hAnsi="Times New Roman"/>
          <w:sz w:val="16"/>
          <w:szCs w:val="16"/>
          <w:color w:val="auto"/>
        </w:rPr>
        <w:t xml:space="preserve">Section 2.10. </w:t>
      </w:r>
      <w:r>
        <w:rPr>
          <w:rFonts w:ascii="Times New Roman" w:cs="Times New Roman" w:eastAsia="Times New Roman" w:hAnsi="Times New Roman"/>
          <w:sz w:val="16"/>
          <w:szCs w:val="16"/>
          <w:i w:val="1"/>
          <w:iCs w:val="1"/>
          <w:color w:val="auto"/>
        </w:rPr>
        <w:t>Additional Notes; Repurchases.</w:t>
      </w:r>
      <w:r>
        <w:rPr>
          <w:rFonts w:ascii="Times New Roman" w:cs="Times New Roman" w:eastAsia="Times New Roman" w:hAnsi="Times New Roman"/>
          <w:sz w:val="16"/>
          <w:szCs w:val="16"/>
          <w:color w:val="auto"/>
        </w:rPr>
        <w:t xml:space="preserve"> The Company may, notwithstanding Section 2.01, reopen this Indenture and issue additional Notes hereunder with the same terms as the Notes initially issued hereunder (other than differences in the issue date, the issue price, interest accrued prior to the issue date of such additional Notes and, if applicable, restrictions on transfer in respect of such additional Notes) in an aggregate principal amount not to exceed $25.0 million;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it has given written notice to and obtained written consent from the Holders of a majority in aggregate principal amount of the Notes then outstanding prior to such date of issuance of additional Notes; and </w:t>
      </w:r>
      <w:r>
        <w:rPr>
          <w:rFonts w:ascii="Times New Roman" w:cs="Times New Roman" w:eastAsia="Times New Roman" w:hAnsi="Times New Roman"/>
          <w:sz w:val="16"/>
          <w:szCs w:val="16"/>
          <w:i w:val="1"/>
          <w:iCs w:val="1"/>
          <w:color w:val="auto"/>
        </w:rPr>
        <w:t>provided, further,</w:t>
      </w:r>
      <w:r>
        <w:rPr>
          <w:rFonts w:ascii="Times New Roman" w:cs="Times New Roman" w:eastAsia="Times New Roman" w:hAnsi="Times New Roman"/>
          <w:sz w:val="16"/>
          <w:szCs w:val="16"/>
          <w:color w:val="auto"/>
        </w:rPr>
        <w:t xml:space="preserve"> that if any such additional Notes are not fungible with the Notes initially issued hereunder for U.S. federal income tax or securities law purposes, such additional Notes shall not have the same CUSIP numbers as the Notes initially issued hereunder. Prior to the issuance of any such additional Notes, the Company shall deliver to the Trustee (copied to the Paying Agent and Note Registrar) a Company Order, an Officer’s Certificate and an Opinion of Counsel, such Officer’s Certificate and Opinion of Counsel to cover such matters, in addition to those required by Section 18.05, as the Trustee shall reasonably request. In addition, the Company may, to the extent permitted by law, and directly or indirectly (regardless of whether such Notes are surrendered to the Company), repurchase Notes in the open market or otherwise, whether by the Company or its Subsidiaries or through a privately negotiated transaction or public tender or exchange offer or through counterparties to private agreements, including by cash-settled swaps or other derivatives, in each case, without the consent of or notice to the Holders of the Notes. The Company shall cause any Notes so repurchased (other than Notes repurchased pursuant to cash-settled swaps or other derivatives) to be surrendered to the Trustee for cancellation in accordance with Section 2.08 and such Notes shall no longer be considered outstanding under this Indenture upon their repurchase.</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6"/>
          <w:szCs w:val="16"/>
          <w:color w:val="auto"/>
        </w:rPr>
        <w:t>ARTICLE 3</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0"/>
          <w:szCs w:val="10"/>
          <w:color w:val="auto"/>
        </w:rPr>
        <w:t>atisfaction and</w:t>
      </w:r>
      <w:r>
        <w:rPr>
          <w:rFonts w:ascii="Times New Roman" w:cs="Times New Roman" w:eastAsia="Times New Roman" w:hAnsi="Times New Roman"/>
          <w:sz w:val="16"/>
          <w:szCs w:val="16"/>
          <w:color w:val="auto"/>
        </w:rPr>
        <w:t xml:space="preserve"> D</w:t>
      </w:r>
      <w:r>
        <w:rPr>
          <w:rFonts w:ascii="Times New Roman" w:cs="Times New Roman" w:eastAsia="Times New Roman" w:hAnsi="Times New Roman"/>
          <w:sz w:val="10"/>
          <w:szCs w:val="10"/>
          <w:color w:val="auto"/>
        </w:rPr>
        <w:t>ischarge</w:t>
      </w:r>
    </w:p>
    <w:p>
      <w:pPr>
        <w:spacing w:after="0" w:line="180" w:lineRule="exact"/>
        <w:rPr>
          <w:sz w:val="20"/>
          <w:szCs w:val="20"/>
          <w:color w:val="auto"/>
        </w:rPr>
      </w:pPr>
    </w:p>
    <w:p>
      <w:pPr>
        <w:jc w:val="both"/>
        <w:ind w:firstLine="382"/>
        <w:spacing w:after="0" w:line="253" w:lineRule="auto"/>
        <w:rPr>
          <w:sz w:val="20"/>
          <w:szCs w:val="20"/>
          <w:color w:val="auto"/>
        </w:rPr>
      </w:pPr>
      <w:r>
        <w:rPr>
          <w:rFonts w:ascii="Times New Roman" w:cs="Times New Roman" w:eastAsia="Times New Roman" w:hAnsi="Times New Roman"/>
          <w:sz w:val="16"/>
          <w:szCs w:val="16"/>
          <w:color w:val="auto"/>
        </w:rPr>
        <w:t xml:space="preserve">Section 3.01. </w:t>
      </w:r>
      <w:r>
        <w:rPr>
          <w:rFonts w:ascii="Times New Roman" w:cs="Times New Roman" w:eastAsia="Times New Roman" w:hAnsi="Times New Roman"/>
          <w:sz w:val="16"/>
          <w:szCs w:val="16"/>
          <w:i w:val="1"/>
          <w:iCs w:val="1"/>
          <w:color w:val="auto"/>
        </w:rPr>
        <w:t>Satisfaction and Discharge.</w:t>
      </w:r>
      <w:r>
        <w:rPr>
          <w:rFonts w:ascii="Times New Roman" w:cs="Times New Roman" w:eastAsia="Times New Roman" w:hAnsi="Times New Roman"/>
          <w:sz w:val="16"/>
          <w:szCs w:val="16"/>
          <w:color w:val="auto"/>
        </w:rPr>
        <w:t xml:space="preserve"> This Indenture and the Notes shall upon request of the Company contained in an Officer’s Certificate cease to be of further effect, and the Trustee, at the expense of the Company, shall execute such instruments reasonably requested by the Company acknowledging satisfaction and discharge of this Indenture and the Notes, when (a) (i) all Notes theretofore authenticated and delivered (other than Notes which have been destroyed, lost or stolen and which have been replaced, paid or converted as provided in Section 2.06) have been delivered to the Trustee for cancellation; or (ii) the Company has deposited with the Trustee or delivered to Holders, as applicable, after the Notes have become due and payable, whether on the Maturity Date, any Redemption Date, any Fundamental Change Repurchase Date, upon conversion or otherwise, cash and/or shares of Common Stock (or other Reference Property) or a combination thereof, as applicable, solely to satisfy the Company’s Conversion Obligation, sufficient to pay all of the outstanding Notes and all other sums due and payable under this Indenture by the Company; and (b) the Company has delivered to the Trustee an Officer’s Certificate and an Opinion of Counsel, each stating that all conditions precedent herein provided for relating to the satisfaction and discharge of this Indenture have been complied with. Notwithstanding the satisfaction and discharge of this Indenture, the obligations of the Company to the Trustee under Section 7.06 shall survive.</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4</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w:t>
      </w:r>
      <w:r>
        <w:rPr>
          <w:rFonts w:ascii="Times New Roman" w:cs="Times New Roman" w:eastAsia="Times New Roman" w:hAnsi="Times New Roman"/>
          <w:sz w:val="10"/>
          <w:szCs w:val="10"/>
          <w:color w:val="auto"/>
        </w:rPr>
        <w:t>articular</w:t>
      </w:r>
      <w:r>
        <w:rPr>
          <w:rFonts w:ascii="Times New Roman" w:cs="Times New Roman" w:eastAsia="Times New Roman" w:hAnsi="Times New Roman"/>
          <w:sz w:val="16"/>
          <w:szCs w:val="16"/>
          <w:color w:val="auto"/>
        </w:rPr>
        <w:t xml:space="preserve"> C</w:t>
      </w:r>
      <w:r>
        <w:rPr>
          <w:rFonts w:ascii="Times New Roman" w:cs="Times New Roman" w:eastAsia="Times New Roman" w:hAnsi="Times New Roman"/>
          <w:sz w:val="10"/>
          <w:szCs w:val="10"/>
          <w:color w:val="auto"/>
        </w:rPr>
        <w:t>ovenants of the</w:t>
      </w:r>
      <w:r>
        <w:rPr>
          <w:rFonts w:ascii="Times New Roman" w:cs="Times New Roman" w:eastAsia="Times New Roman" w:hAnsi="Times New Roman"/>
          <w:sz w:val="16"/>
          <w:szCs w:val="16"/>
          <w:color w:val="auto"/>
        </w:rPr>
        <w:t xml:space="preserve"> C</w:t>
      </w:r>
      <w:r>
        <w:rPr>
          <w:rFonts w:ascii="Times New Roman" w:cs="Times New Roman" w:eastAsia="Times New Roman" w:hAnsi="Times New Roman"/>
          <w:sz w:val="10"/>
          <w:szCs w:val="10"/>
          <w:color w:val="auto"/>
        </w:rPr>
        <w:t>ompany</w:t>
      </w:r>
    </w:p>
    <w:p>
      <w:pPr>
        <w:spacing w:after="0" w:line="180" w:lineRule="exact"/>
        <w:rPr>
          <w:sz w:val="20"/>
          <w:szCs w:val="20"/>
          <w:color w:val="auto"/>
        </w:rPr>
      </w:pPr>
    </w:p>
    <w:p>
      <w:pPr>
        <w:jc w:val="both"/>
        <w:ind w:firstLine="382"/>
        <w:spacing w:after="0" w:line="266" w:lineRule="auto"/>
        <w:rPr>
          <w:sz w:val="20"/>
          <w:szCs w:val="20"/>
          <w:color w:val="auto"/>
        </w:rPr>
      </w:pPr>
      <w:r>
        <w:rPr>
          <w:rFonts w:ascii="Times New Roman" w:cs="Times New Roman" w:eastAsia="Times New Roman" w:hAnsi="Times New Roman"/>
          <w:sz w:val="16"/>
          <w:szCs w:val="16"/>
          <w:color w:val="auto"/>
        </w:rPr>
        <w:t xml:space="preserve">Section 4.01. </w:t>
      </w:r>
      <w:r>
        <w:rPr>
          <w:rFonts w:ascii="Times New Roman" w:cs="Times New Roman" w:eastAsia="Times New Roman" w:hAnsi="Times New Roman"/>
          <w:sz w:val="16"/>
          <w:szCs w:val="16"/>
          <w:i w:val="1"/>
          <w:iCs w:val="1"/>
          <w:color w:val="auto"/>
        </w:rPr>
        <w:t>Payment of Principal and Interest.</w:t>
      </w:r>
      <w:r>
        <w:rPr>
          <w:rFonts w:ascii="Times New Roman" w:cs="Times New Roman" w:eastAsia="Times New Roman" w:hAnsi="Times New Roman"/>
          <w:sz w:val="16"/>
          <w:szCs w:val="16"/>
          <w:color w:val="auto"/>
        </w:rPr>
        <w:t xml:space="preserve"> The Company covenants and agrees that it will cause to be paid the principal (including the Redemption Price and the Fundamental Change Repurchase Price, if applicable) of, and accrued and unpaid interest on, each of the Notes at the places, at the respective times and in the manner provided herein and in the Notes.</w:t>
      </w:r>
    </w:p>
    <w:p>
      <w:pPr>
        <w:spacing w:after="0" w:line="1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On the Maturity Date, the Company shall repay the principal of each of the Notes (the “</w:t>
      </w:r>
      <w:r>
        <w:rPr>
          <w:rFonts w:ascii="Times New Roman" w:cs="Times New Roman" w:eastAsia="Times New Roman" w:hAnsi="Times New Roman"/>
          <w:sz w:val="16"/>
          <w:szCs w:val="16"/>
          <w:b w:val="1"/>
          <w:bCs w:val="1"/>
          <w:color w:val="auto"/>
        </w:rPr>
        <w:t>Maturity Obligation</w:t>
      </w:r>
      <w:r>
        <w:rPr>
          <w:rFonts w:ascii="Times New Roman" w:cs="Times New Roman" w:eastAsia="Times New Roman" w:hAnsi="Times New Roman"/>
          <w:sz w:val="16"/>
          <w:szCs w:val="16"/>
          <w:color w:val="auto"/>
        </w:rPr>
        <w:t>”) by Cash Settlement.</w:t>
      </w:r>
    </w:p>
    <w:p>
      <w:pPr>
        <w:spacing w:after="0" w:line="198" w:lineRule="exact"/>
        <w:rPr>
          <w:sz w:val="20"/>
          <w:szCs w:val="20"/>
          <w:color w:val="auto"/>
        </w:rPr>
      </w:pPr>
    </w:p>
    <w:p>
      <w:pPr>
        <w:jc w:val="both"/>
        <w:ind w:firstLine="382"/>
        <w:spacing w:after="0" w:line="283" w:lineRule="auto"/>
        <w:rPr>
          <w:sz w:val="20"/>
          <w:szCs w:val="20"/>
          <w:color w:val="auto"/>
        </w:rPr>
      </w:pPr>
      <w:r>
        <w:rPr>
          <w:rFonts w:ascii="Times New Roman" w:cs="Times New Roman" w:eastAsia="Times New Roman" w:hAnsi="Times New Roman"/>
          <w:sz w:val="16"/>
          <w:szCs w:val="16"/>
          <w:color w:val="auto"/>
        </w:rPr>
        <w:t xml:space="preserve">Interest on the Notes shall be paid in Cash Interest and PIK Interest;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the Company shall make all payments of interest payable upon a redemption or in connection with a Fundamental Change in cash, assuming all PIK Interest is payable in cash.</w:t>
      </w:r>
    </w:p>
    <w:p>
      <w:pPr>
        <w:spacing w:after="0" w:line="142" w:lineRule="exact"/>
        <w:rPr>
          <w:sz w:val="20"/>
          <w:szCs w:val="20"/>
          <w:color w:val="auto"/>
        </w:rPr>
      </w:pPr>
    </w:p>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Interest on the Notes shall be paid at an interest rate of 20.0% per annum, with the Cash Interest portion accruing interest a rate of 15.0% per annum and the PIK Interest portion accruing interest and compounding on each Interest Payment Date at a rate of 5.0% per annum.</w:t>
      </w:r>
    </w:p>
    <w:p>
      <w:pPr>
        <w:spacing w:after="0" w:line="144" w:lineRule="exact"/>
        <w:rPr>
          <w:sz w:val="20"/>
          <w:szCs w:val="20"/>
          <w:color w:val="auto"/>
        </w:rPr>
      </w:pPr>
    </w:p>
    <w:p>
      <w:pPr>
        <w:jc w:val="both"/>
        <w:ind w:firstLine="382"/>
        <w:spacing w:after="0" w:line="315" w:lineRule="auto"/>
        <w:rPr>
          <w:sz w:val="20"/>
          <w:szCs w:val="20"/>
          <w:color w:val="auto"/>
        </w:rPr>
      </w:pPr>
      <w:r>
        <w:rPr>
          <w:rFonts w:ascii="Times New Roman" w:cs="Times New Roman" w:eastAsia="Times New Roman" w:hAnsi="Times New Roman"/>
          <w:sz w:val="15"/>
          <w:szCs w:val="15"/>
          <w:color w:val="auto"/>
        </w:rPr>
        <w:t>Cash Interest shall be considered paid on the date due if the Paying Agent, if other than the Company or a Subsidiary, holds as of 10:00 a.m. (New York City time) on the due date money deposited by the Company in immediately available funds and designated for and sufficient to pay all principal, premium, if any, and Cash Interest then due.</w:t>
      </w:r>
    </w:p>
    <w:p>
      <w:pPr>
        <w:spacing w:after="0" w:line="121" w:lineRule="exact"/>
        <w:rPr>
          <w:sz w:val="20"/>
          <w:szCs w:val="20"/>
          <w:color w:val="auto"/>
        </w:rPr>
      </w:pPr>
    </w:p>
    <w:p>
      <w:pPr>
        <w:jc w:val="both"/>
        <w:ind w:firstLine="382"/>
        <w:spacing w:after="0" w:line="280" w:lineRule="auto"/>
        <w:rPr>
          <w:sz w:val="20"/>
          <w:szCs w:val="20"/>
          <w:color w:val="auto"/>
        </w:rPr>
      </w:pPr>
      <w:r>
        <w:rPr>
          <w:rFonts w:ascii="Times New Roman" w:cs="Times New Roman" w:eastAsia="Times New Roman" w:hAnsi="Times New Roman"/>
          <w:sz w:val="16"/>
          <w:szCs w:val="16"/>
          <w:color w:val="auto"/>
        </w:rPr>
        <w:t>PIK Interest shall be considered paid on the date due if on such date the Trustee has received (i) an Authentication Order to increase the balance of any Global Note to reflect such PIK Interest or (ii) PIK Notes duly executed by the Company together with Authentication Order requesting the authentication of such PIK Notes by the Trustee.</w:t>
      </w:r>
    </w:p>
    <w:p>
      <w:pPr>
        <w:spacing w:after="0" w:line="142" w:lineRule="exact"/>
        <w:rPr>
          <w:sz w:val="20"/>
          <w:szCs w:val="20"/>
          <w:color w:val="auto"/>
        </w:rPr>
      </w:pPr>
    </w:p>
    <w:p>
      <w:pPr>
        <w:jc w:val="both"/>
        <w:ind w:right="20" w:firstLine="382"/>
        <w:spacing w:after="0" w:line="256" w:lineRule="auto"/>
        <w:rPr>
          <w:sz w:val="20"/>
          <w:szCs w:val="20"/>
          <w:color w:val="auto"/>
        </w:rPr>
      </w:pPr>
      <w:r>
        <w:rPr>
          <w:rFonts w:ascii="Times New Roman" w:cs="Times New Roman" w:eastAsia="Times New Roman" w:hAnsi="Times New Roman"/>
          <w:sz w:val="16"/>
          <w:szCs w:val="16"/>
          <w:color w:val="auto"/>
        </w:rPr>
        <w:t xml:space="preserve">Section 4.02. </w:t>
      </w:r>
      <w:r>
        <w:rPr>
          <w:rFonts w:ascii="Times New Roman" w:cs="Times New Roman" w:eastAsia="Times New Roman" w:hAnsi="Times New Roman"/>
          <w:sz w:val="16"/>
          <w:szCs w:val="16"/>
          <w:i w:val="1"/>
          <w:iCs w:val="1"/>
          <w:color w:val="auto"/>
        </w:rPr>
        <w:t>Maintenance of Office or Agency.</w:t>
      </w:r>
      <w:r>
        <w:rPr>
          <w:rFonts w:ascii="Times New Roman" w:cs="Times New Roman" w:eastAsia="Times New Roman" w:hAnsi="Times New Roman"/>
          <w:sz w:val="16"/>
          <w:szCs w:val="16"/>
          <w:color w:val="auto"/>
        </w:rPr>
        <w:t xml:space="preserve"> The Company will maintain in the United States of America, an office or agency where the Notes may be surrendered for registration of transfer or exchange or for presentation for payment or repurchase or redemption (“</w:t>
      </w:r>
      <w:r>
        <w:rPr>
          <w:rFonts w:ascii="Times New Roman" w:cs="Times New Roman" w:eastAsia="Times New Roman" w:hAnsi="Times New Roman"/>
          <w:sz w:val="16"/>
          <w:szCs w:val="16"/>
          <w:b w:val="1"/>
          <w:bCs w:val="1"/>
          <w:color w:val="auto"/>
        </w:rPr>
        <w:t>Paying Agent</w:t>
      </w:r>
      <w:r>
        <w:rPr>
          <w:rFonts w:ascii="Times New Roman" w:cs="Times New Roman" w:eastAsia="Times New Roman" w:hAnsi="Times New Roman"/>
          <w:sz w:val="16"/>
          <w:szCs w:val="16"/>
          <w:color w:val="auto"/>
        </w:rPr>
        <w:t>”) or for conversion (“</w:t>
      </w:r>
      <w:r>
        <w:rPr>
          <w:rFonts w:ascii="Times New Roman" w:cs="Times New Roman" w:eastAsia="Times New Roman" w:hAnsi="Times New Roman"/>
          <w:sz w:val="16"/>
          <w:szCs w:val="16"/>
          <w:b w:val="1"/>
          <w:bCs w:val="1"/>
          <w:color w:val="auto"/>
        </w:rPr>
        <w:t>Conversion Agent</w:t>
      </w:r>
      <w:r>
        <w:rPr>
          <w:rFonts w:ascii="Times New Roman" w:cs="Times New Roman" w:eastAsia="Times New Roman" w:hAnsi="Times New Roman"/>
          <w:sz w:val="16"/>
          <w:szCs w:val="16"/>
          <w:color w:val="auto"/>
        </w:rPr>
        <w:t>”) and where notices and demands to or upon the Company in respect of the Notes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or the office or agency of the Trustee located in the United States.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8" w:name="page49"/>
    <w:bookmarkEnd w:id="48"/>
    <w:p>
      <w:pPr>
        <w:jc w:val="both"/>
        <w:ind w:right="20" w:firstLine="382"/>
        <w:spacing w:after="0" w:line="257" w:lineRule="auto"/>
        <w:rPr>
          <w:sz w:val="20"/>
          <w:szCs w:val="20"/>
          <w:color w:val="auto"/>
        </w:rPr>
      </w:pPr>
      <w:r>
        <w:rPr>
          <w:rFonts w:ascii="Times New Roman" w:cs="Times New Roman" w:eastAsia="Times New Roman" w:hAnsi="Times New Roman"/>
          <w:sz w:val="16"/>
          <w:szCs w:val="16"/>
          <w:color w:val="auto"/>
        </w:rPr>
        <w:t xml:space="preserve">The Company may also from time to time designate as co-Note Registrars one or more other offices or agencies where the Notes may be presented or surrendered for any or all such purposes and may from time to time rescind such designations;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 such designation or rescission shall in any manner relieve the Company of its obligation to maintain an office or agency in the United States of America, for such purposes. The Company will give prompt written notice to the Trustee of any such designation or rescission and of any change in the location of any such other office or agency. The terms “</w:t>
      </w:r>
      <w:r>
        <w:rPr>
          <w:rFonts w:ascii="Times New Roman" w:cs="Times New Roman" w:eastAsia="Times New Roman" w:hAnsi="Times New Roman"/>
          <w:sz w:val="16"/>
          <w:szCs w:val="16"/>
          <w:b w:val="1"/>
          <w:bCs w:val="1"/>
          <w:color w:val="auto"/>
        </w:rPr>
        <w:t>Paying Agent</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b w:val="1"/>
          <w:bCs w:val="1"/>
          <w:color w:val="auto"/>
        </w:rPr>
        <w:t>Conversion Agent</w:t>
      </w:r>
      <w:r>
        <w:rPr>
          <w:rFonts w:ascii="Times New Roman" w:cs="Times New Roman" w:eastAsia="Times New Roman" w:hAnsi="Times New Roman"/>
          <w:sz w:val="16"/>
          <w:szCs w:val="16"/>
          <w:color w:val="auto"/>
        </w:rPr>
        <w:t>” include any such additional or other offices or agencies, as applicable.</w:t>
      </w:r>
    </w:p>
    <w:p>
      <w:pPr>
        <w:spacing w:after="0" w:line="162"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6"/>
          <w:szCs w:val="16"/>
          <w:color w:val="auto"/>
        </w:rPr>
        <w:t>The Company hereby initially designates the Trustee as the Paying Agent, Note Registrar, Custodian and Conversion Agent and the Corporate Trust Office as the office or agency in the contiguous United States, where Notes may be surrendered for registration of transfer or exchange or for presentation for payment or repurchase or redemption or for conversion and where notices and demands to or upon the Company in respect of the Notes and this Indenture may be served; provided that the Corporate Trust Office shall not be a place for service of legal process for the Company.</w:t>
      </w:r>
    </w:p>
    <w:p>
      <w:pPr>
        <w:spacing w:after="0" w:line="160" w:lineRule="exact"/>
        <w:rPr>
          <w:sz w:val="20"/>
          <w:szCs w:val="20"/>
          <w:color w:val="auto"/>
        </w:rPr>
      </w:pPr>
    </w:p>
    <w:p>
      <w:pPr>
        <w:jc w:val="both"/>
        <w:ind w:firstLine="382"/>
        <w:spacing w:after="0" w:line="283" w:lineRule="auto"/>
        <w:rPr>
          <w:sz w:val="20"/>
          <w:szCs w:val="20"/>
          <w:color w:val="auto"/>
        </w:rPr>
      </w:pPr>
      <w:r>
        <w:rPr>
          <w:rFonts w:ascii="Times New Roman" w:cs="Times New Roman" w:eastAsia="Times New Roman" w:hAnsi="Times New Roman"/>
          <w:sz w:val="16"/>
          <w:szCs w:val="16"/>
          <w:color w:val="auto"/>
        </w:rPr>
        <w:t xml:space="preserve">Section 4.03. </w:t>
      </w:r>
      <w:r>
        <w:rPr>
          <w:rFonts w:ascii="Times New Roman" w:cs="Times New Roman" w:eastAsia="Times New Roman" w:hAnsi="Times New Roman"/>
          <w:sz w:val="16"/>
          <w:szCs w:val="16"/>
          <w:i w:val="1"/>
          <w:iCs w:val="1"/>
          <w:color w:val="auto"/>
        </w:rPr>
        <w:t>Appointments to Fill Vacancies in Trustee’s Office.</w:t>
      </w:r>
      <w:r>
        <w:rPr>
          <w:rFonts w:ascii="Times New Roman" w:cs="Times New Roman" w:eastAsia="Times New Roman" w:hAnsi="Times New Roman"/>
          <w:sz w:val="16"/>
          <w:szCs w:val="16"/>
          <w:color w:val="auto"/>
        </w:rPr>
        <w:t xml:space="preserve"> The Company, whenever necessary to avoid or fill a vacancy in the office of Trustee, will appoint, in the manner provided in Section 7.09, a Trustee, so that there shall at all times be a Trustee hereunder.</w:t>
      </w:r>
    </w:p>
    <w:p>
      <w:pPr>
        <w:spacing w:after="0" w:line="140" w:lineRule="exact"/>
        <w:rPr>
          <w:sz w:val="20"/>
          <w:szCs w:val="20"/>
          <w:color w:val="auto"/>
        </w:rPr>
      </w:pPr>
    </w:p>
    <w:p>
      <w:pPr>
        <w:jc w:val="both"/>
        <w:ind w:right="20" w:firstLine="382"/>
        <w:spacing w:after="0" w:line="283" w:lineRule="auto"/>
        <w:rPr>
          <w:sz w:val="20"/>
          <w:szCs w:val="20"/>
          <w:color w:val="auto"/>
        </w:rPr>
      </w:pPr>
      <w:r>
        <w:rPr>
          <w:rFonts w:ascii="Times New Roman" w:cs="Times New Roman" w:eastAsia="Times New Roman" w:hAnsi="Times New Roman"/>
          <w:sz w:val="16"/>
          <w:szCs w:val="16"/>
          <w:color w:val="auto"/>
        </w:rPr>
        <w:t xml:space="preserve">Section 4.04. </w:t>
      </w:r>
      <w:r>
        <w:rPr>
          <w:rFonts w:ascii="Times New Roman" w:cs="Times New Roman" w:eastAsia="Times New Roman" w:hAnsi="Times New Roman"/>
          <w:sz w:val="16"/>
          <w:szCs w:val="16"/>
          <w:i w:val="1"/>
          <w:iCs w:val="1"/>
          <w:color w:val="auto"/>
        </w:rPr>
        <w:t>Provisions as to Paying Agent.</w:t>
      </w:r>
      <w:r>
        <w:rPr>
          <w:rFonts w:ascii="Times New Roman" w:cs="Times New Roman" w:eastAsia="Times New Roman" w:hAnsi="Times New Roman"/>
          <w:sz w:val="16"/>
          <w:szCs w:val="16"/>
          <w:color w:val="auto"/>
        </w:rPr>
        <w:t xml:space="preserve"> (a) If the Company shall appoint a Paying Agent other than the Trustee, the Company will cause such Paying Agent to execute and deliver to the Trustee an instrument in which such agent shall agree with the Trustee, subject to the provisions of this Section 4.04:</w:t>
      </w:r>
    </w:p>
    <w:p>
      <w:pPr>
        <w:spacing w:after="0" w:line="142" w:lineRule="exact"/>
        <w:rPr>
          <w:sz w:val="20"/>
          <w:szCs w:val="20"/>
          <w:color w:val="auto"/>
        </w:rPr>
      </w:pPr>
    </w:p>
    <w:p>
      <w:pPr>
        <w:ind w:right="20" w:firstLine="1143"/>
        <w:spacing w:after="0" w:line="280" w:lineRule="auto"/>
        <w:tabs>
          <w:tab w:leader="none" w:pos="1337"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it will hold all sums and PIK Notes held by it as such agent for the payment of the principal (including the Redemption Price and the Fundamental Change Repurchase Price, if applicable) of, or accrued and unpaid interest on, the Notes in trust for the benefit of the Holders of the Notes;</w:t>
      </w:r>
    </w:p>
    <w:p>
      <w:pPr>
        <w:spacing w:after="0" w:line="144" w:lineRule="exact"/>
        <w:rPr>
          <w:rFonts w:ascii="Times New Roman" w:cs="Times New Roman" w:eastAsia="Times New Roman" w:hAnsi="Times New Roman"/>
          <w:sz w:val="16"/>
          <w:szCs w:val="16"/>
          <w:color w:val="auto"/>
        </w:rPr>
      </w:pPr>
    </w:p>
    <w:p>
      <w:pPr>
        <w:ind w:firstLine="1143"/>
        <w:spacing w:after="0" w:line="280" w:lineRule="auto"/>
        <w:tabs>
          <w:tab w:leader="none" w:pos="1382"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it will give the Trustee prompt notice of any failure by the Company to make any payment of the principal (including the Redemption Price and the Fundamental Change Repurchase Price, if applicable) of, and accrued and unpaid interest on, the Notes when the same shall be due and payable; and</w:t>
      </w:r>
    </w:p>
    <w:p>
      <w:pPr>
        <w:spacing w:after="0" w:line="144" w:lineRule="exact"/>
        <w:rPr>
          <w:rFonts w:ascii="Times New Roman" w:cs="Times New Roman" w:eastAsia="Times New Roman" w:hAnsi="Times New Roman"/>
          <w:sz w:val="16"/>
          <w:szCs w:val="16"/>
          <w:color w:val="auto"/>
        </w:rPr>
      </w:pPr>
    </w:p>
    <w:p>
      <w:pPr>
        <w:ind w:left="1420" w:hanging="277"/>
        <w:spacing w:after="0"/>
        <w:tabs>
          <w:tab w:leader="none" w:pos="142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at any time during the continuance of an Event of Default, upon request of the Trustee, it will forthwith pay to the Trustee all sums or PIK Notes so</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held in trust.</w:t>
      </w:r>
    </w:p>
    <w:p>
      <w:pPr>
        <w:spacing w:after="0" w:line="182" w:lineRule="exact"/>
        <w:rPr>
          <w:sz w:val="20"/>
          <w:szCs w:val="20"/>
          <w:color w:val="auto"/>
        </w:rPr>
      </w:pPr>
    </w:p>
    <w:p>
      <w:pPr>
        <w:jc w:val="both"/>
        <w:ind w:right="20" w:firstLine="382"/>
        <w:spacing w:after="0" w:line="259" w:lineRule="auto"/>
        <w:rPr>
          <w:sz w:val="20"/>
          <w:szCs w:val="20"/>
          <w:color w:val="auto"/>
        </w:rPr>
      </w:pPr>
      <w:r>
        <w:rPr>
          <w:rFonts w:ascii="Times New Roman" w:cs="Times New Roman" w:eastAsia="Times New Roman" w:hAnsi="Times New Roman"/>
          <w:sz w:val="16"/>
          <w:szCs w:val="16"/>
          <w:color w:val="auto"/>
        </w:rPr>
        <w:t xml:space="preserve">The Company shall, on or before each due date of the principal (including the Redemption Price and the Fundamental Change Repurchase Price, if applicable) of, or accrued and unpaid interest on, the Notes, deposit with the Paying Agent a sum sufficient to pay such principal (including the Redemption Price and the Fundamental Change Repurchase Price, if applicable) or accrued and unpaid interest, and (unless such Paying Agent is the Trustee) the Company will promptly notify the Trustee of any failure to take such action;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such deposit is made on the due date, such deposit must be received by the Paying Agent by 10:00 a.m., New York City time, on such date.</w:t>
      </w:r>
    </w:p>
    <w:p>
      <w:pPr>
        <w:spacing w:after="0" w:line="162" w:lineRule="exact"/>
        <w:rPr>
          <w:sz w:val="20"/>
          <w:szCs w:val="20"/>
          <w:color w:val="auto"/>
        </w:rPr>
      </w:pPr>
    </w:p>
    <w:p>
      <w:pPr>
        <w:jc w:val="both"/>
        <w:ind w:firstLine="760"/>
        <w:spacing w:after="0" w:line="255" w:lineRule="auto"/>
        <w:tabs>
          <w:tab w:leader="none" w:pos="99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acts as its own Paying Agent, it shall, on or before each due date of the principal (including the Redemption Price and the Fundamental Change Repurchase Price, if applicable) of, and accrued and unpaid interest on, the Notes, set aside, segregate and hold in trust for the benefit of the Holders of the Notes a sum sufficient to pay such principal (including the Redemption Price and the Fundamental Change Repurchase Price, if applicable) and accrued and unpaid interest so becoming due and will promptly notify the Trustee in writing of any failure to take such action and of any failure by the Company to make any payment of the principal (including the Redemption Price and the Fundamental Change Repurchase Price, if applicable) of, or accrued and unpaid interest on, the Notes when the same shall become due and payable. On the occurrence of any Event of Default under Section 6.01(h) or Section 6.01(i), the Trustee shall automatically become the Paying Agent.</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9" w:name="page50"/>
    <w:bookmarkEnd w:id="49"/>
    <w:p>
      <w:pPr>
        <w:jc w:val="both"/>
        <w:ind w:firstLine="760"/>
        <w:spacing w:after="0" w:line="259" w:lineRule="auto"/>
        <w:tabs>
          <w:tab w:leader="none" w:pos="981"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Anything in this Section 4.04 to the contrary notwithstanding, the Company may, at any time, for the purpose of obtaining a satisfaction and discharge of this Indenture, or for any other reason, pay, cause to be paid or deliver to the Trustee all sums or amounts held in trust by the Company or any Paying Agent hereunder as required by this Section 4.04, such sums or amounts to be held by the Trustee upon the trusts herein contained and upon such payment or delivery by the Company or any Paying Agent to the Trustee, the Company or such Paying Agent shall be released from all further liability but only with respect to such sums or amounts.</w:t>
      </w:r>
    </w:p>
    <w:p>
      <w:pPr>
        <w:spacing w:after="0" w:line="161" w:lineRule="exact"/>
        <w:rPr>
          <w:rFonts w:ascii="Times New Roman" w:cs="Times New Roman" w:eastAsia="Times New Roman" w:hAnsi="Times New Roman"/>
          <w:sz w:val="16"/>
          <w:szCs w:val="16"/>
          <w:color w:val="auto"/>
        </w:rPr>
      </w:pPr>
    </w:p>
    <w:p>
      <w:pPr>
        <w:jc w:val="both"/>
        <w:ind w:firstLine="760"/>
        <w:spacing w:after="0" w:line="253" w:lineRule="auto"/>
        <w:tabs>
          <w:tab w:leader="none" w:pos="99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applicable escheatment laws, any money and shares of Common Stock deposited with the Trustee, the Conversion Agent or any Paying Agent or then held by the Company, in trust for the payment of the principal (including the Redemption Price and the Fundamental Change Repurchase Price, if applicable) of, accrued and unpaid interest on and the consideration due upon conversion of any Note and remaining unclaimed for two years after such principal (including the Redemption Price and the Fundamental Change Repurchase Price, if applicable), interest or consideration due upon conversion has become due and payable shall be paid to the Company on request of the Company contained in an Officer’s Certificate, or (if then held by the Company) shall be discharged from such trust and the Trustee shall have no further liability with respect to such fund or property; and the Holder of such Note shall thereafter, as an unsecured general creditor, look only to the Company for payment thereof, and all liability of the Trustee, the Conversion Agent or such Paying Agent with respect to such trust money and shares of Common Stock, and all liability of the Company as trustee thereof, shall thereupon cease.</w:t>
      </w:r>
    </w:p>
    <w:p>
      <w:pPr>
        <w:spacing w:after="0" w:line="167" w:lineRule="exact"/>
        <w:rPr>
          <w:sz w:val="20"/>
          <w:szCs w:val="20"/>
          <w:color w:val="auto"/>
        </w:rPr>
      </w:pPr>
    </w:p>
    <w:p>
      <w:pPr>
        <w:jc w:val="both"/>
        <w:ind w:right="20" w:firstLine="382"/>
        <w:spacing w:after="0" w:line="283" w:lineRule="auto"/>
        <w:rPr>
          <w:sz w:val="20"/>
          <w:szCs w:val="20"/>
          <w:color w:val="auto"/>
        </w:rPr>
      </w:pPr>
      <w:r>
        <w:rPr>
          <w:rFonts w:ascii="Times New Roman" w:cs="Times New Roman" w:eastAsia="Times New Roman" w:hAnsi="Times New Roman"/>
          <w:sz w:val="16"/>
          <w:szCs w:val="16"/>
          <w:color w:val="auto"/>
        </w:rPr>
        <w:t xml:space="preserve">Section 4.05. </w:t>
      </w:r>
      <w:r>
        <w:rPr>
          <w:rFonts w:ascii="Times New Roman" w:cs="Times New Roman" w:eastAsia="Times New Roman" w:hAnsi="Times New Roman"/>
          <w:sz w:val="16"/>
          <w:szCs w:val="16"/>
          <w:i w:val="1"/>
          <w:iCs w:val="1"/>
          <w:color w:val="auto"/>
        </w:rPr>
        <w:t>Existence.</w:t>
      </w:r>
      <w:r>
        <w:rPr>
          <w:rFonts w:ascii="Times New Roman" w:cs="Times New Roman" w:eastAsia="Times New Roman" w:hAnsi="Times New Roman"/>
          <w:sz w:val="16"/>
          <w:szCs w:val="16"/>
          <w:color w:val="auto"/>
        </w:rPr>
        <w:t xml:space="preserve"> Subject to Article 11, the Company shall do or cause to be done all things necessary to preserve and keep in full force and effect its corporate existence.</w:t>
      </w:r>
    </w:p>
    <w:p>
      <w:pPr>
        <w:spacing w:after="0" w:line="140"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6"/>
          <w:szCs w:val="16"/>
          <w:color w:val="auto"/>
        </w:rPr>
        <w:t xml:space="preserve">Section 4.06. </w:t>
      </w:r>
      <w:r>
        <w:rPr>
          <w:rFonts w:ascii="Times New Roman" w:cs="Times New Roman" w:eastAsia="Times New Roman" w:hAnsi="Times New Roman"/>
          <w:sz w:val="16"/>
          <w:szCs w:val="16"/>
          <w:i w:val="1"/>
          <w:iCs w:val="1"/>
          <w:color w:val="auto"/>
        </w:rPr>
        <w:t>Rule 144A Information Requirement and Annual Reports.</w:t>
      </w:r>
      <w:r>
        <w:rPr>
          <w:rFonts w:ascii="Times New Roman" w:cs="Times New Roman" w:eastAsia="Times New Roman" w:hAnsi="Times New Roman"/>
          <w:sz w:val="16"/>
          <w:szCs w:val="16"/>
          <w:color w:val="auto"/>
        </w:rPr>
        <w:t xml:space="preserve"> (a) At any time the Company is not subject to Section 13 or 15(d) of the Exchange Act, the Company shall, so long as any of the Notes or any shares of Common Stock issuable upon conversion thereof shall, at such time, constitute “restricted securities” within the meaning of Rule 144(a)(3) under the Securities Act, promptly provide to the Trustee and, upon written request, any Holder, beneficial owner or prospective purchaser of such Notes or any shares of Common Stock issuable upon conversion of such Notes, the information required to be delivered pursuant to Rule 144A(d)(4) under the Securities Act to facilitate the resale of such Notes or shares of Common Stock pursuant to Rule 144A.</w:t>
      </w:r>
    </w:p>
    <w:p>
      <w:pPr>
        <w:spacing w:after="0" w:line="164" w:lineRule="exact"/>
        <w:rPr>
          <w:sz w:val="20"/>
          <w:szCs w:val="20"/>
          <w:color w:val="auto"/>
        </w:rPr>
      </w:pPr>
    </w:p>
    <w:p>
      <w:pPr>
        <w:jc w:val="both"/>
        <w:ind w:firstLine="760"/>
        <w:spacing w:after="0" w:line="254" w:lineRule="auto"/>
        <w:tabs>
          <w:tab w:leader="none" w:pos="99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file with the Trustee, within 15 days after the same are required to be filed with the Commission, copies of any annual or quarterly reports (on Form 10-K or Form 10-Q or any respective successor form) that the Company is required to file with the Commission pursuant to Section 13 or 15(d) of the Exchange Act (excluding any such information, documents or reports, or portions thereof, subject to, or with respect to which the Company is actively seeking, confidential treatment and any correspondence with the Commission, and giving effect to any grace period provided by Rule 12b-25 under the Exchange Act (or any successor thereto)). Any such document or report that the Company files with the Commission via the Commission’s EDGAR system (or any successor system) shall be deemed to be filed with the Trustee for purposes of this Section 4.06(b) at the time such documents are filed via the EDGAR system (or such successor). The Trustee shall have no responsibility to determine whether such posting has occurred.</w:t>
      </w:r>
    </w:p>
    <w:p>
      <w:pPr>
        <w:spacing w:after="0" w:line="166" w:lineRule="exact"/>
        <w:rPr>
          <w:rFonts w:ascii="Times New Roman" w:cs="Times New Roman" w:eastAsia="Times New Roman" w:hAnsi="Times New Roman"/>
          <w:sz w:val="16"/>
          <w:szCs w:val="16"/>
          <w:color w:val="auto"/>
        </w:rPr>
      </w:pPr>
    </w:p>
    <w:p>
      <w:pPr>
        <w:jc w:val="both"/>
        <w:ind w:firstLine="760"/>
        <w:spacing w:after="0" w:line="265" w:lineRule="auto"/>
        <w:tabs>
          <w:tab w:leader="none" w:pos="981"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Delivery of the reports, information and documents described in subsection (b) above to the Trustee is for informational purposes only, and the information and the Trustee’s receipt of such shall not constitute constructive notice of any information contained therein or determinable from information contained therein, including the Company’s compliance with any of its covenants hereunder (as to which the Trustee is entitled to conclusively rely on an Officer’s Certificate).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50" w:name="page51"/>
    <w:bookmarkEnd w:id="50"/>
    <w:p>
      <w:pPr>
        <w:jc w:val="both"/>
        <w:ind w:left="4" w:firstLine="760"/>
        <w:spacing w:after="0" w:line="252" w:lineRule="auto"/>
        <w:tabs>
          <w:tab w:leader="none" w:pos="1001"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at any time following the one year anniversary of the Last Original Issue Date, the Company fails to timely file any document or report that it is required to file with the Commission pursuant to Section 13 or 15(d) of the Exchange Act, as applicable (after giving effect to all applicable grace periods thereunder and other than reports on Form 8-K), or the Notes are not otherwise freely tradable pursuant to Rule 144 by Holders other than the Company’s Affiliates or Holders that were the Company’s Affiliates at any time during the three months immediately preceding (as a result of restrictions pursuant to U.S. securities laws or the terms of this Indenture or the Notes) or the Notes fail to be subject to a registration statement that has become effective or been declared effective under the Securities Act and that continues to be effective in accordance with the terms of the Registration Rights Agreement, the Company shall pay Additional Interest on the Notes. Such Additional Interest shall accrue on the Notes at the rate of (i) 0.25% per annum of the principal amount of the Notes outstanding for each of the first 90 days and (ii) 0.50% per annum of the principal amount of the Notes</w:t>
      </w:r>
    </w:p>
    <w:p>
      <w:pPr>
        <w:spacing w:after="0" w:line="3" w:lineRule="exact"/>
        <w:rPr>
          <w:sz w:val="20"/>
          <w:szCs w:val="20"/>
          <w:color w:val="auto"/>
        </w:rPr>
      </w:pPr>
    </w:p>
    <w:p>
      <w:pPr>
        <w:jc w:val="both"/>
        <w:ind w:left="4"/>
        <w:spacing w:after="0" w:line="235" w:lineRule="auto"/>
        <w:rPr>
          <w:sz w:val="20"/>
          <w:szCs w:val="20"/>
          <w:color w:val="auto"/>
        </w:rPr>
      </w:pPr>
      <w:r>
        <w:rPr>
          <w:rFonts w:ascii="Times New Roman" w:cs="Times New Roman" w:eastAsia="Times New Roman" w:hAnsi="Times New Roman"/>
          <w:sz w:val="16"/>
          <w:szCs w:val="16"/>
          <w:color w:val="auto"/>
        </w:rPr>
        <w:t>outstanding for each day from, and including, the 91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6"/>
          <w:szCs w:val="16"/>
          <w:color w:val="auto"/>
        </w:rPr>
        <w:t xml:space="preserve"> day during such period for which the Company’s failure to file has occurred and is continuing or the Notes are not otherwise freely tradable pursuant to Rule 144 by Holders other than the Company’s Affiliates (or Holders that were the Company’s Affiliates at any time during the three months immediately preceding) without restrictions pursuant to U.S. securities laws or the terms of this Indenture or the Notes. As used in this Section 4.06(d), documents or reports that the Company is required to “file” with the Commission pursuant to Section 13 or 15(d) of the Exchange Act does not include documents or reports that the Company furnishes to the Commission pursuant to Section 13 or 15(d) of the Exchange Act. For purposes of this Section 4.06(d), the phrase “restrictions pursuant to U.S. securities laws or the terms of this Indenture or the Notes” shall not include, for the avoidance of doubt, the assignment of a restricted CUSIP number, the existence of the Restrictive Notes Legend on Notes in compliance with Section 2.05(c).</w:t>
      </w:r>
    </w:p>
    <w:p>
      <w:pPr>
        <w:spacing w:after="0" w:line="175" w:lineRule="exact"/>
        <w:rPr>
          <w:sz w:val="20"/>
          <w:szCs w:val="20"/>
          <w:color w:val="auto"/>
        </w:rPr>
      </w:pPr>
    </w:p>
    <w:p>
      <w:pPr>
        <w:ind w:left="984" w:hanging="220"/>
        <w:spacing w:after="0"/>
        <w:tabs>
          <w:tab w:leader="none" w:pos="984"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Additional Interest will be payable in cash in arrears on each Interest Payment Date following accrual in the same manner as regular interest on the Notes.</w:t>
      </w:r>
    </w:p>
    <w:p>
      <w:pPr>
        <w:spacing w:after="0" w:line="198" w:lineRule="exact"/>
        <w:rPr>
          <w:rFonts w:ascii="Times New Roman" w:cs="Times New Roman" w:eastAsia="Times New Roman" w:hAnsi="Times New Roman"/>
          <w:sz w:val="16"/>
          <w:szCs w:val="16"/>
          <w:color w:val="auto"/>
        </w:rPr>
      </w:pPr>
    </w:p>
    <w:p>
      <w:pPr>
        <w:jc w:val="both"/>
        <w:ind w:left="4" w:right="20" w:firstLine="760"/>
        <w:spacing w:after="0" w:line="254" w:lineRule="auto"/>
        <w:tabs>
          <w:tab w:leader="none" w:pos="968"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immediately succeeding sentence, the Additional Interest that is payable in accordance with Section 4.06(d) shall be in addition to, and not in lieu of, any Additional Interest that may be payable as a result of the Company’s election pursuant to Section 6.03. However, in no event shall Additional Interest payable for the Company’s failure to comply with its obligations to timely file any document or report that the Company is required to file with the Commission pursuant to Section 13 or 15(d) of the Exchange Act, as applicable (after giving effect to all applicable grace periods thereunder and other than reports on Form 8-K), as set forth in Section 4.06(d), together with any Additional Interest that may accrue at the Company’s election as a result of the Company’s failure to comply with its reporting obligations pursuant to Section 6.03, accrue at a rate in excess of 0.50% per annum pursuant to this Indenture, regardless of the number of events or circumstances giving rise to the requirement to pay such Additional Interest.</w:t>
      </w:r>
    </w:p>
    <w:p>
      <w:pPr>
        <w:spacing w:after="0" w:line="166" w:lineRule="exact"/>
        <w:rPr>
          <w:rFonts w:ascii="Times New Roman" w:cs="Times New Roman" w:eastAsia="Times New Roman" w:hAnsi="Times New Roman"/>
          <w:sz w:val="16"/>
          <w:szCs w:val="16"/>
          <w:color w:val="auto"/>
        </w:rPr>
      </w:pPr>
    </w:p>
    <w:p>
      <w:pPr>
        <w:jc w:val="both"/>
        <w:ind w:left="4" w:right="20" w:firstLine="760"/>
        <w:spacing w:after="0" w:line="257" w:lineRule="auto"/>
        <w:tabs>
          <w:tab w:leader="none" w:pos="995"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Additional Interest is payable by the Company pursuant to Section 4.06(d), the Company shall deliver to the Trustee (copied to the Paying Agent) an Officer’s Certificate to that effect stating (i) the amount of such Additional Interest that is payable and (ii) the date on which such Additional Interest is payable. Unless and until a Responsible Officer of the Trustee receives at the Corporate Trust Office such a certificate, the Trustee may assume without inquiry that no such Additional Interest is payable and the Trustee shall not have any duty to verify the Company’s calculation of Additional Interest. If the Company has paid Additional Interest directly to the Persons entitled to it, the Company shall deliver to the Trustee an Officer’s Certificate setting forth the particulars of such payment.</w:t>
      </w:r>
    </w:p>
    <w:p>
      <w:pPr>
        <w:spacing w:after="0" w:line="160" w:lineRule="exact"/>
        <w:rPr>
          <w:sz w:val="20"/>
          <w:szCs w:val="20"/>
          <w:color w:val="auto"/>
        </w:rPr>
      </w:pPr>
    </w:p>
    <w:p>
      <w:pPr>
        <w:jc w:val="both"/>
        <w:ind w:left="4" w:firstLine="382"/>
        <w:spacing w:after="0" w:line="256" w:lineRule="auto"/>
        <w:rPr>
          <w:sz w:val="20"/>
          <w:szCs w:val="20"/>
          <w:color w:val="auto"/>
        </w:rPr>
      </w:pPr>
      <w:r>
        <w:rPr>
          <w:rFonts w:ascii="Times New Roman" w:cs="Times New Roman" w:eastAsia="Times New Roman" w:hAnsi="Times New Roman"/>
          <w:sz w:val="16"/>
          <w:szCs w:val="16"/>
          <w:color w:val="auto"/>
        </w:rPr>
        <w:t xml:space="preserve">Section 4.07. </w:t>
      </w:r>
      <w:r>
        <w:rPr>
          <w:rFonts w:ascii="Times New Roman" w:cs="Times New Roman" w:eastAsia="Times New Roman" w:hAnsi="Times New Roman"/>
          <w:sz w:val="16"/>
          <w:szCs w:val="16"/>
          <w:i w:val="1"/>
          <w:iCs w:val="1"/>
          <w:color w:val="auto"/>
        </w:rPr>
        <w:t>Stay, Extension and Usury Laws.</w:t>
      </w:r>
      <w:r>
        <w:rPr>
          <w:rFonts w:ascii="Times New Roman" w:cs="Times New Roman" w:eastAsia="Times New Roman" w:hAnsi="Times New Roman"/>
          <w:sz w:val="16"/>
          <w:szCs w:val="16"/>
          <w:color w:val="auto"/>
        </w:rPr>
        <w:t xml:space="preserve"> The Company covenants (to the extent that it may lawfully do so) that it shall not at any time insist upon, plead, or in any manner whatsoever claim or take the benefit or advantage of, any stay, extension or usury law or other law that would prohibit or forgive the Company from paying all or any portion of the principal of or interest on the Notes as contemplated herein, wherever enacted, now or at any time hereafter in force, or that may affect the covenants or the performance of this Indenture;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had been enacted.</w:t>
      </w:r>
    </w:p>
    <w:p>
      <w:pPr>
        <w:spacing w:after="0" w:line="161" w:lineRule="exact"/>
        <w:rPr>
          <w:sz w:val="20"/>
          <w:szCs w:val="20"/>
          <w:color w:val="auto"/>
        </w:rPr>
      </w:pPr>
    </w:p>
    <w:p>
      <w:pPr>
        <w:jc w:val="both"/>
        <w:ind w:left="4" w:right="20" w:firstLine="382"/>
        <w:spacing w:after="0" w:line="226" w:lineRule="auto"/>
        <w:rPr>
          <w:sz w:val="20"/>
          <w:szCs w:val="20"/>
          <w:color w:val="auto"/>
        </w:rPr>
      </w:pPr>
      <w:r>
        <w:rPr>
          <w:rFonts w:ascii="Times New Roman" w:cs="Times New Roman" w:eastAsia="Times New Roman" w:hAnsi="Times New Roman"/>
          <w:sz w:val="16"/>
          <w:szCs w:val="16"/>
          <w:color w:val="auto"/>
        </w:rPr>
        <w:t xml:space="preserve">Section 4.08. </w:t>
      </w:r>
      <w:r>
        <w:rPr>
          <w:rFonts w:ascii="Times New Roman" w:cs="Times New Roman" w:eastAsia="Times New Roman" w:hAnsi="Times New Roman"/>
          <w:sz w:val="16"/>
          <w:szCs w:val="16"/>
          <w:i w:val="1"/>
          <w:iCs w:val="1"/>
          <w:color w:val="auto"/>
        </w:rPr>
        <w:t>Compliance Certificate; Statements as to Defaults.</w:t>
      </w:r>
      <w:r>
        <w:rPr>
          <w:rFonts w:ascii="Times New Roman" w:cs="Times New Roman" w:eastAsia="Times New Roman" w:hAnsi="Times New Roman"/>
          <w:sz w:val="16"/>
          <w:szCs w:val="16"/>
          <w:color w:val="auto"/>
        </w:rPr>
        <w:t xml:space="preserve"> The Company shall deliver to the Trustee within 120 days after the end of each fiscal year of the Company (beginning with the fiscal year ending on [June 30, 2022]</w:t>
      </w:r>
      <w:r>
        <w:rPr>
          <w:rFonts w:ascii="Times New Roman" w:cs="Times New Roman" w:eastAsia="Times New Roman" w:hAnsi="Times New Roman"/>
          <w:sz w:val="26"/>
          <w:szCs w:val="26"/>
          <w:color w:val="auto"/>
          <w:vertAlign w:val="superscript"/>
        </w:rPr>
        <w:t>7</w:t>
      </w:r>
      <w:r>
        <w:rPr>
          <w:rFonts w:ascii="Times New Roman" w:cs="Times New Roman" w:eastAsia="Times New Roman" w:hAnsi="Times New Roman"/>
          <w:sz w:val="16"/>
          <w:szCs w:val="16"/>
          <w:color w:val="auto"/>
        </w:rPr>
        <w:t>) an Officer’s Certificate stating whether the signers thereof have knowledge of any Default or Event of Default that occurred during the previous year and, if so, specifying each such Default or Event of Default and the nature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1790700" cy="15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190" w:lineRule="exact"/>
        <w:rPr>
          <w:sz w:val="20"/>
          <w:szCs w:val="20"/>
          <w:color w:val="auto"/>
        </w:rPr>
      </w:pPr>
    </w:p>
    <w:p>
      <w:pPr>
        <w:ind w:left="284" w:hanging="284"/>
        <w:spacing w:after="0"/>
        <w:tabs>
          <w:tab w:leader="none" w:pos="284"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NTD: Insert end of first fiscal year after issuance</w:t>
      </w:r>
    </w:p>
    <w:p>
      <w:pPr>
        <w:spacing w:after="0" w:line="3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51" w:name="page52"/>
    <w:bookmarkEnd w:id="51"/>
    <w:p>
      <w:pPr>
        <w:jc w:val="both"/>
        <w:ind w:firstLine="382"/>
        <w:spacing w:after="0" w:line="265" w:lineRule="auto"/>
        <w:rPr>
          <w:sz w:val="20"/>
          <w:szCs w:val="20"/>
          <w:color w:val="auto"/>
        </w:rPr>
      </w:pPr>
      <w:r>
        <w:rPr>
          <w:rFonts w:ascii="Times New Roman" w:cs="Times New Roman" w:eastAsia="Times New Roman" w:hAnsi="Times New Roman"/>
          <w:sz w:val="16"/>
          <w:szCs w:val="16"/>
          <w:color w:val="auto"/>
        </w:rPr>
        <w:t>In addition, the Company shall deliver to the Trustee, within 30 days after the occurrence of any Event of Default or Default, an Officer’s Certificate setting forth the details of such Event of Default or Default, its status and the action that the Company is taking or proposing to take in respect thereof; provided that the Company shall not be required to deliver such Officer’s Certificate if such Default or Event of Default has been cured within the applicable grace period (if any) provided for in this Indenture.</w:t>
      </w:r>
    </w:p>
    <w:p>
      <w:pPr>
        <w:spacing w:after="0" w:line="153" w:lineRule="exact"/>
        <w:rPr>
          <w:sz w:val="20"/>
          <w:szCs w:val="20"/>
          <w:color w:val="auto"/>
        </w:rPr>
      </w:pPr>
    </w:p>
    <w:p>
      <w:pPr>
        <w:jc w:val="both"/>
        <w:ind w:firstLine="382"/>
        <w:spacing w:after="0" w:line="283" w:lineRule="auto"/>
        <w:rPr>
          <w:sz w:val="20"/>
          <w:szCs w:val="20"/>
          <w:color w:val="auto"/>
        </w:rPr>
      </w:pPr>
      <w:r>
        <w:rPr>
          <w:rFonts w:ascii="Times New Roman" w:cs="Times New Roman" w:eastAsia="Times New Roman" w:hAnsi="Times New Roman"/>
          <w:sz w:val="16"/>
          <w:szCs w:val="16"/>
          <w:color w:val="auto"/>
        </w:rPr>
        <w:t xml:space="preserve">Section 4.09. </w:t>
      </w:r>
      <w:r>
        <w:rPr>
          <w:rFonts w:ascii="Times New Roman" w:cs="Times New Roman" w:eastAsia="Times New Roman" w:hAnsi="Times New Roman"/>
          <w:sz w:val="16"/>
          <w:szCs w:val="16"/>
          <w:i w:val="1"/>
          <w:iCs w:val="1"/>
          <w:color w:val="auto"/>
        </w:rPr>
        <w:t>Further Instruments and Acts.</w:t>
      </w:r>
      <w:r>
        <w:rPr>
          <w:rFonts w:ascii="Times New Roman" w:cs="Times New Roman" w:eastAsia="Times New Roman" w:hAnsi="Times New Roman"/>
          <w:sz w:val="16"/>
          <w:szCs w:val="16"/>
          <w:color w:val="auto"/>
        </w:rPr>
        <w:t xml:space="preserve"> Upon request of the Trustee, the Company will execute and deliver such further instruments and do such further acts as may be reasonably necessary or proper to carry out more effectively the purposes of this Indenture.</w:t>
      </w:r>
    </w:p>
    <w:p>
      <w:pPr>
        <w:spacing w:after="0" w:line="14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4.10. </w:t>
      </w:r>
      <w:r>
        <w:rPr>
          <w:rFonts w:ascii="Times New Roman" w:cs="Times New Roman" w:eastAsia="Times New Roman" w:hAnsi="Times New Roman"/>
          <w:sz w:val="16"/>
          <w:szCs w:val="16"/>
          <w:i w:val="1"/>
          <w:iCs w:val="1"/>
          <w:color w:val="auto"/>
        </w:rPr>
        <w:t>Limitations on Certain Restricted Payments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left="980" w:hanging="220"/>
        <w:spacing w:after="0"/>
        <w:tabs>
          <w:tab w:leader="none" w:pos="98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not, and shall not permit any of its Subsidiaries to, directly or indirectly:</w:t>
      </w:r>
    </w:p>
    <w:p>
      <w:pPr>
        <w:spacing w:after="0" w:line="198"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49" w:val="left"/>
        </w:tabs>
        <w:numPr>
          <w:ilvl w:val="1"/>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declare or pay any dividend on, or make any other payment or distribution in respect of, its Equity Interests or similar payment to the direct or indirect holders thereof in their capacity as such (other than any dividends or distributions payable solely in its Equity Interests and dividends or distributions payable to the Company or any of its Subsidiaries (and, if such Subsidiary has stockholders other than the Company or other Subsidiaries, to its other stockholders on no more than a pro rata basis));</w:t>
      </w:r>
    </w:p>
    <w:p>
      <w:pPr>
        <w:spacing w:after="0" w:line="155" w:lineRule="exact"/>
        <w:rPr>
          <w:rFonts w:ascii="Times New Roman" w:cs="Times New Roman" w:eastAsia="Times New Roman" w:hAnsi="Times New Roman"/>
          <w:sz w:val="16"/>
          <w:szCs w:val="16"/>
          <w:color w:val="auto"/>
        </w:rPr>
      </w:pPr>
    </w:p>
    <w:p>
      <w:pPr>
        <w:ind w:right="20" w:firstLine="1143"/>
        <w:spacing w:after="0" w:line="280" w:lineRule="auto"/>
        <w:tabs>
          <w:tab w:leader="none" w:pos="1405" w:val="left"/>
        </w:tabs>
        <w:numPr>
          <w:ilvl w:val="1"/>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purchase, redeem or otherwise acquire or retire for value any Equity Interests of the Company held by any Person or any Equity Interests of any Subsidiary of the Company held by any Affiliate of the Company (in each case other than held by the Company or a Subsidiary of the Company);</w:t>
      </w:r>
    </w:p>
    <w:p>
      <w:pPr>
        <w:spacing w:after="0" w:line="144" w:lineRule="exact"/>
        <w:rPr>
          <w:rFonts w:ascii="Times New Roman" w:cs="Times New Roman" w:eastAsia="Times New Roman" w:hAnsi="Times New Roman"/>
          <w:sz w:val="16"/>
          <w:szCs w:val="16"/>
          <w:color w:val="auto"/>
        </w:rPr>
      </w:pPr>
    </w:p>
    <w:p>
      <w:pPr>
        <w:ind w:right="20" w:firstLine="1143"/>
        <w:spacing w:after="0" w:line="280" w:lineRule="auto"/>
        <w:tabs>
          <w:tab w:leader="none" w:pos="1426" w:val="left"/>
        </w:tabs>
        <w:numPr>
          <w:ilvl w:val="1"/>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any purchase, repurchase, redemption, defeasance or other acquisition or retirement for value, prior to the scheduled maturity, scheduled repayment or scheduled sinking fund payment of any Indebtedness that is contractually subordinated in right of payment to the Notes; or</w:t>
      </w:r>
    </w:p>
    <w:p>
      <w:pPr>
        <w:spacing w:after="0" w:line="144" w:lineRule="exact"/>
        <w:rPr>
          <w:rFonts w:ascii="Times New Roman" w:cs="Times New Roman" w:eastAsia="Times New Roman" w:hAnsi="Times New Roman"/>
          <w:sz w:val="16"/>
          <w:szCs w:val="16"/>
          <w:color w:val="auto"/>
        </w:rPr>
      </w:pPr>
    </w:p>
    <w:p>
      <w:pPr>
        <w:ind w:left="1420" w:hanging="277"/>
        <w:spacing w:after="0"/>
        <w:tabs>
          <w:tab w:leader="none" w:pos="1420" w:val="left"/>
        </w:tabs>
        <w:numPr>
          <w:ilvl w:val="1"/>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any Restricted Investment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 such payments and other actions set forth in clauses (i) through (iv) above being collectively referred to as “</w:t>
      </w:r>
      <w:r>
        <w:rPr>
          <w:rFonts w:ascii="Times New Roman" w:cs="Times New Roman" w:eastAsia="Times New Roman" w:hAnsi="Times New Roman"/>
          <w:sz w:val="16"/>
          <w:szCs w:val="16"/>
          <w:b w:val="1"/>
          <w:bCs w:val="1"/>
          <w:color w:val="auto"/>
        </w:rPr>
        <w:t>Restricted Payments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(b) The foregoing provisions will not prohibit:</w:t>
      </w:r>
    </w:p>
    <w:p>
      <w:pPr>
        <w:spacing w:after="0" w:line="198" w:lineRule="exact"/>
        <w:rPr>
          <w:sz w:val="20"/>
          <w:szCs w:val="20"/>
          <w:color w:val="auto"/>
        </w:rPr>
      </w:pPr>
    </w:p>
    <w:p>
      <w:pPr>
        <w:jc w:val="both"/>
        <w:ind w:right="20" w:firstLine="378"/>
        <w:spacing w:after="0" w:line="257" w:lineRule="auto"/>
        <w:tabs>
          <w:tab w:leader="none" w:pos="608"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redemption, repurchase, retirement or other acquisition for value of any Equity Interests of the Company or any Subsidiary of the Company held by employees, former employees, directors, former directors, consultants or former consultants of the Company (or any of its Subsidiaries) (including any redemption, repurchase, retirement or other acquisition by reason of the Company or any of its Subsidiaries retaining any capital stock or other option, warrant or other right in respect of tax withholding obligations, and any related payment in respect of any such obligation);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aggregate amount of such repurchases and other acquisitions shall not exceed $3.0 million in any fiscal year (with unused amounts in any fiscal year being carried over to succeeding fiscal years subject to a maximum of $6.0 million in any calendar year);</w:t>
      </w:r>
    </w:p>
    <w:p>
      <w:pPr>
        <w:spacing w:after="0" w:line="162" w:lineRule="exact"/>
        <w:rPr>
          <w:rFonts w:ascii="Times New Roman" w:cs="Times New Roman" w:eastAsia="Times New Roman" w:hAnsi="Times New Roman"/>
          <w:sz w:val="16"/>
          <w:szCs w:val="16"/>
          <w:color w:val="auto"/>
        </w:rPr>
      </w:pPr>
    </w:p>
    <w:p>
      <w:pPr>
        <w:ind w:firstLine="378"/>
        <w:spacing w:after="0" w:line="280" w:lineRule="auto"/>
        <w:tabs>
          <w:tab w:leader="none" w:pos="62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repurchases of Capital Stock of the Company deemed to occur upon exercise of stock options, warrants or similar instruments if such Capital Stock represents a portion of the exercise price of such options, warrants or similar instruments;</w:t>
      </w:r>
    </w:p>
    <w:p>
      <w:pPr>
        <w:spacing w:after="0" w:line="144" w:lineRule="exact"/>
        <w:rPr>
          <w:rFonts w:ascii="Times New Roman" w:cs="Times New Roman" w:eastAsia="Times New Roman" w:hAnsi="Times New Roman"/>
          <w:sz w:val="16"/>
          <w:szCs w:val="16"/>
          <w:color w:val="auto"/>
        </w:rPr>
      </w:pPr>
    </w:p>
    <w:p>
      <w:pPr>
        <w:ind w:firstLine="378"/>
        <w:spacing w:after="0" w:line="280" w:lineRule="auto"/>
        <w:tabs>
          <w:tab w:leader="none" w:pos="608"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payments in lieu of the issuance of fractional shares in connection with the exercise of warrants, options or other securities convertible into or exchangeable for Capital Stock of the Company;</w:t>
      </w:r>
    </w:p>
    <w:p>
      <w:pPr>
        <w:spacing w:after="0" w:line="144" w:lineRule="exact"/>
        <w:rPr>
          <w:rFonts w:ascii="Times New Roman" w:cs="Times New Roman" w:eastAsia="Times New Roman" w:hAnsi="Times New Roman"/>
          <w:sz w:val="16"/>
          <w:szCs w:val="16"/>
          <w:color w:val="auto"/>
        </w:rPr>
      </w:pPr>
    </w:p>
    <w:p>
      <w:pPr>
        <w:jc w:val="both"/>
        <w:ind w:right="20" w:firstLine="378"/>
        <w:spacing w:after="0" w:line="265" w:lineRule="auto"/>
        <w:tabs>
          <w:tab w:leader="none" w:pos="608"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Restricted Payment made in exchange (including any such exchange pursuant to the exercise of a conversion right or privilege in connection with which cash is paid in lieu of the issuance of fractional shares) for, or with the net cash proceeds from, the substantially concurrent sale of Equity Interests of the Company (other than (i) Disqualified Capital Stock and (ii) Capital Stock issued or sold to a Subsidiary or any employee, director, consultant pursuant to an employee stock ownership plan); and</w:t>
      </w:r>
    </w:p>
    <w:p>
      <w:pPr>
        <w:spacing w:after="0" w:line="155" w:lineRule="exact"/>
        <w:rPr>
          <w:rFonts w:ascii="Times New Roman" w:cs="Times New Roman" w:eastAsia="Times New Roman" w:hAnsi="Times New Roman"/>
          <w:sz w:val="16"/>
          <w:szCs w:val="16"/>
          <w:color w:val="auto"/>
        </w:rPr>
      </w:pPr>
    </w:p>
    <w:p>
      <w:pPr>
        <w:ind w:left="600" w:hanging="222"/>
        <w:spacing w:after="0"/>
        <w:tabs>
          <w:tab w:leader="none" w:pos="60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distributions, dividends or other payments by the Company or any Subsidiary of the Company solely to pay income tax obligations then due.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52" w:name="page53"/>
    <w:bookmarkEnd w:id="52"/>
    <w:p>
      <w:pPr>
        <w:ind w:left="380"/>
        <w:spacing w:after="0"/>
        <w:rPr>
          <w:sz w:val="20"/>
          <w:szCs w:val="20"/>
          <w:color w:val="auto"/>
        </w:rPr>
      </w:pPr>
      <w:r>
        <w:rPr>
          <w:rFonts w:ascii="Times New Roman" w:cs="Times New Roman" w:eastAsia="Times New Roman" w:hAnsi="Times New Roman"/>
          <w:sz w:val="16"/>
          <w:szCs w:val="16"/>
          <w:color w:val="auto"/>
        </w:rPr>
        <w:t xml:space="preserve">Section 4.11. </w:t>
      </w:r>
      <w:r>
        <w:rPr>
          <w:rFonts w:ascii="Times New Roman" w:cs="Times New Roman" w:eastAsia="Times New Roman" w:hAnsi="Times New Roman"/>
          <w:sz w:val="16"/>
          <w:szCs w:val="16"/>
          <w:i w:val="1"/>
          <w:iCs w:val="1"/>
          <w:color w:val="auto"/>
        </w:rPr>
        <w:t>Limitation on Incurrence of Additional Indebtedness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firstLine="760"/>
        <w:spacing w:after="0" w:line="280" w:lineRule="auto"/>
        <w:tabs>
          <w:tab w:leader="none" w:pos="1005" w:val="left"/>
        </w:tabs>
        <w:numPr>
          <w:ilvl w:val="1"/>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not, and shall not permit any of its Subsidiaries to, directly or indirectly, create, incur, assume, guarantee, acquire, become liable, contingently or otherwise, with respect to or otherwise become responsible for payment of (collectively, “</w:t>
      </w:r>
      <w:r>
        <w:rPr>
          <w:rFonts w:ascii="Times New Roman" w:cs="Times New Roman" w:eastAsia="Times New Roman" w:hAnsi="Times New Roman"/>
          <w:sz w:val="16"/>
          <w:szCs w:val="16"/>
          <w:b w:val="1"/>
          <w:bCs w:val="1"/>
          <w:color w:val="auto"/>
        </w:rPr>
        <w:t>incur</w:t>
      </w:r>
      <w:r>
        <w:rPr>
          <w:rFonts w:ascii="Times New Roman" w:cs="Times New Roman" w:eastAsia="Times New Roman" w:hAnsi="Times New Roman"/>
          <w:sz w:val="16"/>
          <w:szCs w:val="16"/>
          <w:color w:val="auto"/>
        </w:rPr>
        <w:t>”) any Indebtedness (including Acquired Indebtedness).</w:t>
      </w:r>
    </w:p>
    <w:p>
      <w:pPr>
        <w:spacing w:after="0" w:line="144" w:lineRule="exact"/>
        <w:rPr>
          <w:rFonts w:ascii="Times New Roman" w:cs="Times New Roman" w:eastAsia="Times New Roman" w:hAnsi="Times New Roman"/>
          <w:sz w:val="16"/>
          <w:szCs w:val="16"/>
          <w:color w:val="auto"/>
        </w:rPr>
      </w:pPr>
    </w:p>
    <w:p>
      <w:pPr>
        <w:ind w:firstLine="760"/>
        <w:spacing w:after="0" w:line="280" w:lineRule="auto"/>
        <w:tabs>
          <w:tab w:leader="none" w:pos="990" w:val="left"/>
        </w:tabs>
        <w:numPr>
          <w:ilvl w:val="1"/>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clause (a) of this Section 4.11, the Company and its Subsidiaries may incur, without duplication, any of the following items of Indebtedness (“</w:t>
      </w:r>
      <w:r>
        <w:rPr>
          <w:rFonts w:ascii="Times New Roman" w:cs="Times New Roman" w:eastAsia="Times New Roman" w:hAnsi="Times New Roman"/>
          <w:sz w:val="16"/>
          <w:szCs w:val="16"/>
          <w:b w:val="1"/>
          <w:bCs w:val="1"/>
          <w:color w:val="auto"/>
        </w:rPr>
        <w:t>Permitted Indebtedness</w:t>
      </w:r>
      <w:r>
        <w:rPr>
          <w:rFonts w:ascii="Times New Roman" w:cs="Times New Roman" w:eastAsia="Times New Roman" w:hAnsi="Times New Roman"/>
          <w:sz w:val="16"/>
          <w:szCs w:val="16"/>
          <w:color w:val="auto"/>
        </w:rPr>
        <w:t>”):</w:t>
      </w:r>
    </w:p>
    <w:p>
      <w:pPr>
        <w:spacing w:after="0" w:line="144" w:lineRule="exact"/>
        <w:rPr>
          <w:rFonts w:ascii="Times New Roman" w:cs="Times New Roman" w:eastAsia="Times New Roman" w:hAnsi="Times New Roman"/>
          <w:sz w:val="16"/>
          <w:szCs w:val="16"/>
          <w:color w:val="auto"/>
        </w:rPr>
      </w:pPr>
    </w:p>
    <w:p>
      <w:pPr>
        <w:jc w:val="both"/>
        <w:ind w:right="20" w:firstLine="378"/>
        <w:spacing w:after="0" w:line="265" w:lineRule="auto"/>
        <w:tabs>
          <w:tab w:leader="none" w:pos="608"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(X) the Horizon Revolving Credit Facility and (Y) provided that the Horizon Revolving Credit Facility has been permanently repaid, Indebtedness incurred under any Credit Facility by the Company or any of its Subsidiaries (including letters of credit or bankers’ acceptances issued or created under any Credit Facility) not to exceed $15.0 million at any one time outstanding and any Refinancing Indebtedness in respect thereof;</w:t>
      </w:r>
    </w:p>
    <w:p>
      <w:pPr>
        <w:spacing w:after="0" w:line="155" w:lineRule="exact"/>
        <w:rPr>
          <w:rFonts w:ascii="Times New Roman" w:cs="Times New Roman" w:eastAsia="Times New Roman" w:hAnsi="Times New Roman"/>
          <w:sz w:val="16"/>
          <w:szCs w:val="16"/>
          <w:color w:val="auto"/>
        </w:rPr>
      </w:pPr>
    </w:p>
    <w:p>
      <w:pPr>
        <w:ind w:right="20" w:firstLine="378"/>
        <w:spacing w:after="0" w:line="280" w:lineRule="auto"/>
        <w:tabs>
          <w:tab w:leader="none" w:pos="632"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Indebtedness represented by the Notes and the Guarantees (including PIK Notes issued in connection with the payment of PIK Interest, but not including any additional Notes other than up to $25.0 million of additional Notes (including PIK Notes in connection therewith) in accordance with Section 2.10);</w:t>
      </w:r>
    </w:p>
    <w:p>
      <w:pPr>
        <w:spacing w:after="0" w:line="144" w:lineRule="exact"/>
        <w:rPr>
          <w:rFonts w:ascii="Times New Roman" w:cs="Times New Roman" w:eastAsia="Times New Roman" w:hAnsi="Times New Roman"/>
          <w:sz w:val="16"/>
          <w:szCs w:val="16"/>
          <w:color w:val="auto"/>
        </w:rPr>
      </w:pPr>
    </w:p>
    <w:p>
      <w:pPr>
        <w:ind w:left="600" w:hanging="222"/>
        <w:spacing w:after="0"/>
        <w:tabs>
          <w:tab w:leader="none" w:pos="60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Indebtedness of the Company and its Subsidiaries in existence on the Issue Date (other than the Notes, the Guarantees and any Credit Facility);</w:t>
      </w:r>
    </w:p>
    <w:p>
      <w:pPr>
        <w:spacing w:after="0" w:line="198" w:lineRule="exact"/>
        <w:rPr>
          <w:rFonts w:ascii="Times New Roman" w:cs="Times New Roman" w:eastAsia="Times New Roman" w:hAnsi="Times New Roman"/>
          <w:sz w:val="16"/>
          <w:szCs w:val="16"/>
          <w:color w:val="auto"/>
        </w:rPr>
      </w:pPr>
    </w:p>
    <w:p>
      <w:pPr>
        <w:ind w:right="20" w:firstLine="378"/>
        <w:spacing w:after="0" w:line="280" w:lineRule="auto"/>
        <w:tabs>
          <w:tab w:leader="none" w:pos="608"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Indebtedness arising from the honoring by a bank or other financial institution of a check, draft or similar instrument (except in the case of daylight overdrafts) drawn against insufficient funds in the ordinary course of business;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such Indebtedness is extinguished within ten Business Days of incurrence;</w:t>
      </w:r>
    </w:p>
    <w:p>
      <w:pPr>
        <w:spacing w:after="0" w:line="144" w:lineRule="exact"/>
        <w:rPr>
          <w:rFonts w:ascii="Times New Roman" w:cs="Times New Roman" w:eastAsia="Times New Roman" w:hAnsi="Times New Roman"/>
          <w:sz w:val="16"/>
          <w:szCs w:val="16"/>
          <w:color w:val="auto"/>
        </w:rPr>
      </w:pPr>
    </w:p>
    <w:p>
      <w:pPr>
        <w:jc w:val="both"/>
        <w:ind w:firstLine="378"/>
        <w:spacing w:after="0" w:line="254" w:lineRule="auto"/>
        <w:tabs>
          <w:tab w:leader="none" w:pos="632"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Indebtedness in respect of (i) workers’ compensation claims, self-insurance obligations, customer guarantees, performance, indemnity, surety, judgment, appeal, advance payment (including progress premiums), customs, value added or other tax or other guarantees or other similar bonds, instruments or obligations and completion guarantees and warranties provided by the Company or a Subsidiary or relating to liabilities, obligations or guarantees incurred in the ordinary course of business, (ii) customer deposits and advance payments (including progress premiums) or similar arrangements received in the ordinary course of business from customers, suppliers or vendors for goods or services purchased in the ordinary course of business, or (iii) any customary treasury, depositary, cash management, automatic clearinghouse arrangements, overdraft protections, credit or debit card, purchase card, electronic funds transfer, cash pooling or netting or setting off arrangements or similar arrangements in the ordinary course of business;</w:t>
      </w:r>
    </w:p>
    <w:p>
      <w:pPr>
        <w:spacing w:after="0" w:line="166" w:lineRule="exact"/>
        <w:rPr>
          <w:rFonts w:ascii="Times New Roman" w:cs="Times New Roman" w:eastAsia="Times New Roman" w:hAnsi="Times New Roman"/>
          <w:sz w:val="16"/>
          <w:szCs w:val="16"/>
          <w:color w:val="auto"/>
        </w:rPr>
      </w:pPr>
    </w:p>
    <w:p>
      <w:pPr>
        <w:jc w:val="both"/>
        <w:ind w:firstLine="378"/>
        <w:spacing w:after="0" w:line="257" w:lineRule="auto"/>
        <w:tabs>
          <w:tab w:leader="none" w:pos="608"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Indebtedness (including Capitalized Lease Obligations) of the Company or any of its Subsidiaries incurred to finance the purchase, lease, construction or improvement of any property, plant or equipment used or to be used in the business of the Company or such Subsidiary through the direct purchase of such property, plant or equipment, and any Refinancing Indebtedness which serves to refund or refinance any Indebtedness incurred pursuant to this clause in an aggregate outstanding principal amount which, when taken together with the principal amount of all other Indebtedness incurred pursuant to this clause and then outstanding, will not exceed $10.0 million at any one time outstanding;</w:t>
      </w:r>
    </w:p>
    <w:p>
      <w:pPr>
        <w:spacing w:after="0" w:line="162" w:lineRule="exact"/>
        <w:rPr>
          <w:rFonts w:ascii="Times New Roman" w:cs="Times New Roman" w:eastAsia="Times New Roman" w:hAnsi="Times New Roman"/>
          <w:sz w:val="16"/>
          <w:szCs w:val="16"/>
          <w:color w:val="auto"/>
        </w:rPr>
      </w:pPr>
    </w:p>
    <w:p>
      <w:pPr>
        <w:jc w:val="both"/>
        <w:ind w:right="20" w:firstLine="378"/>
        <w:spacing w:after="0" w:line="265" w:lineRule="auto"/>
        <w:tabs>
          <w:tab w:leader="none" w:pos="608"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Section 4.19, Indebtedness of (x) the Company or any of its Subsidiaries incurred or issued to finance an acquisition or (y) Persons that are acquired by the Company or any of its Subsidiaries or merged into, amalgamated or consolidated with the Company or any of its Subsidiaries in accordance with the terms of this Indenture;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such Indebtedness is in an aggregate amount not to exceed $10.0 million at any one time outstanding;</w:t>
      </w:r>
    </w:p>
    <w:p>
      <w:pPr>
        <w:spacing w:after="0" w:line="155" w:lineRule="exact"/>
        <w:rPr>
          <w:rFonts w:ascii="Times New Roman" w:cs="Times New Roman" w:eastAsia="Times New Roman" w:hAnsi="Times New Roman"/>
          <w:sz w:val="16"/>
          <w:szCs w:val="16"/>
          <w:color w:val="auto"/>
        </w:rPr>
      </w:pPr>
    </w:p>
    <w:p>
      <w:pPr>
        <w:jc w:val="both"/>
        <w:ind w:right="20" w:firstLine="378"/>
        <w:spacing w:after="0" w:line="265" w:lineRule="auto"/>
        <w:tabs>
          <w:tab w:leader="none" w:pos="62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guarantees by the Company or any of its Subsidiaries of Indebtedness of the Company or any of its Subsidiaries so long as the incurrence of such Indebtedness is permitted by the terms of this Indenture;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any Subsidiary which guarantees Indebtedness of the Company (other than the Notes) or of any other Subsidiary will concurrently provide a guarantee of the Notes;</w:t>
      </w:r>
    </w:p>
    <w:p>
      <w:pPr>
        <w:spacing w:after="0" w:line="155" w:lineRule="exact"/>
        <w:rPr>
          <w:rFonts w:ascii="Times New Roman" w:cs="Times New Roman" w:eastAsia="Times New Roman" w:hAnsi="Times New Roman"/>
          <w:sz w:val="16"/>
          <w:szCs w:val="16"/>
          <w:color w:val="auto"/>
        </w:rPr>
      </w:pPr>
    </w:p>
    <w:p>
      <w:pPr>
        <w:jc w:val="both"/>
        <w:ind w:firstLine="378"/>
        <w:spacing w:after="0" w:line="257" w:lineRule="auto"/>
        <w:tabs>
          <w:tab w:leader="none" w:pos="62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Indebtedness of the Company owing to and held by any Subsidiary of the Company or Indebtedness of a Subsidiary of the Company owing to and held by the Company or any other Subsidiary of the Company;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any subsequent issuance or transfer of Capital Stock or any other event which results in any such Indebtedness being beneficially held by a Person other than the Company or a Subsidiary of the Company; and any sale or other transfer of any such Indebtedness to a Person other than the Company or a Subsidiary of the Company shall be deemed, in each case under this clause (9) of this Section 4.11(b), to constitute an incurrence of such Indebtedness on the date of any such issuance, sale or transfer by the Company or such Subsidiary, as the case may be;</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53" w:name="page54"/>
    <w:bookmarkEnd w:id="53"/>
    <w:p>
      <w:pPr>
        <w:jc w:val="both"/>
        <w:ind w:left="4" w:firstLine="378"/>
        <w:spacing w:after="0" w:line="268" w:lineRule="auto"/>
        <w:tabs>
          <w:tab w:leader="none" w:pos="694" w:val="left"/>
        </w:tabs>
        <w:numPr>
          <w:ilvl w:val="1"/>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incurrence by the Company or any of its Subsidiaries of Indebtedness that serves to refund, refinance, replace, renew, extend or defease (collectively, “refinance” with “refinances,” “refinanced” and “refinancing” having a correlative meaning) any Indebtedness of the Company or any of its Subsidiaries incurred pursuant to Section 4.11(b)(2), (3) or (7) (“</w:t>
      </w:r>
      <w:r>
        <w:rPr>
          <w:rFonts w:ascii="Times New Roman" w:cs="Times New Roman" w:eastAsia="Times New Roman" w:hAnsi="Times New Roman"/>
          <w:sz w:val="15"/>
          <w:szCs w:val="15"/>
          <w:b w:val="1"/>
          <w:bCs w:val="1"/>
          <w:color w:val="auto"/>
        </w:rPr>
        <w:t>Refinancing Indebtedness</w:t>
      </w:r>
      <w:r>
        <w:rPr>
          <w:rFonts w:ascii="Times New Roman" w:cs="Times New Roman" w:eastAsia="Times New Roman" w:hAnsi="Times New Roman"/>
          <w:sz w:val="15"/>
          <w:szCs w:val="15"/>
          <w:color w:val="auto"/>
        </w:rPr>
        <w:t xml:space="preserve">”) on or prior to its respective maturity;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any Refinancing Indebtedness: (A) (i) if the Stated Maturity of the Indebtedness being refinanced is earlier than the Stated Maturity of the Notes, has a Stated Maturity no earlier than the Stated Maturity of the Indebtedness being refinanced or (ii) if the Stated Maturity of the Indebtedness being refinanced is later than the Stated Maturity of the Notes, has a Stated Maturity at least 91 days later than the Stated Maturity of the Notes; (B) has a Weighted Average Life to Maturity at the time such Refinancing Indebtedness is incurred which is not less than the remaining Weighted Average Life to Maturity of the Indebtedness being refinanced (or requires no or nominal payments in cash (other than interest payments) prior to the date that is 91 days after the maturity date of the Notes); (C) to the extent such Refinancing Indebtedness refinances Indebtedness subordinated in right of payment to the Notes or any Guarantee thereof, such Refinancing Indebtedness is subordinated in right of payment to the Notes or such Guarantee at least to the same extent as the Indebtedness being refinanced; and</w:t>
      </w:r>
    </w:p>
    <w:p>
      <w:pPr>
        <w:spacing w:after="0" w:line="3" w:lineRule="exact"/>
        <w:rPr>
          <w:rFonts w:ascii="Times New Roman" w:cs="Times New Roman" w:eastAsia="Times New Roman" w:hAnsi="Times New Roman"/>
          <w:sz w:val="15"/>
          <w:szCs w:val="15"/>
          <w:color w:val="auto"/>
        </w:rPr>
      </w:pPr>
    </w:p>
    <w:p>
      <w:pPr>
        <w:jc w:val="both"/>
        <w:ind w:left="4" w:hanging="4"/>
        <w:spacing w:after="0" w:line="252" w:lineRule="auto"/>
        <w:tabs>
          <w:tab w:leader="none" w:pos="284"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Incurred in an aggregate principal amount (or if issued with original issue discount, an aggregate issue price) that is equal to or less than the sum of the aggregate principal amount (or if issued with original issue discount, the aggregate accreted value) then outstanding of the Indebtedness being refinanced (plus, without duplication, any additional Indebtedness Incurred to pay premiums required by the instruments governing such existing Indebtedness or reasonable tender premiums, as determined in good faith by the Board of Directors of the Company, defeasance costs, accrued interest and fees and expenses in connection with any such refinancing);</w:t>
      </w:r>
    </w:p>
    <w:p>
      <w:pPr>
        <w:spacing w:after="0" w:line="166" w:lineRule="exact"/>
        <w:rPr>
          <w:rFonts w:ascii="Times New Roman" w:cs="Times New Roman" w:eastAsia="Times New Roman" w:hAnsi="Times New Roman"/>
          <w:sz w:val="16"/>
          <w:szCs w:val="16"/>
          <w:color w:val="auto"/>
        </w:rPr>
      </w:pPr>
    </w:p>
    <w:p>
      <w:pPr>
        <w:jc w:val="both"/>
        <w:ind w:left="4" w:right="20" w:firstLine="378"/>
        <w:spacing w:after="0" w:line="259" w:lineRule="auto"/>
        <w:tabs>
          <w:tab w:leader="none" w:pos="709" w:val="left"/>
        </w:tabs>
        <w:numPr>
          <w:ilvl w:val="1"/>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Indebtedness of the Company or any of its Subsidiaries not to exceed $10.0 million at any one time outstanding and any Refinancing Indebtedness in respect thereof;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in each case that (x) the Market Capitalization of the Company exceeds $1.1 billion for at least 20 Trading Days (whether or not consecutive) during a period of 30 consecutive Trading Days immediately prior to incurrence and (y) the 30-Day ADTV ending on the Business Day immediately prior to incurrence is greater than or equal to $2 million;</w:t>
      </w:r>
    </w:p>
    <w:p>
      <w:pPr>
        <w:spacing w:after="0" w:line="161" w:lineRule="exact"/>
        <w:rPr>
          <w:rFonts w:ascii="Times New Roman" w:cs="Times New Roman" w:eastAsia="Times New Roman" w:hAnsi="Times New Roman"/>
          <w:sz w:val="16"/>
          <w:szCs w:val="16"/>
          <w:color w:val="auto"/>
        </w:rPr>
      </w:pPr>
    </w:p>
    <w:p>
      <w:pPr>
        <w:jc w:val="both"/>
        <w:ind w:left="4" w:firstLine="378"/>
        <w:spacing w:after="0" w:line="265" w:lineRule="auto"/>
        <w:tabs>
          <w:tab w:leader="none" w:pos="700" w:val="left"/>
        </w:tabs>
        <w:numPr>
          <w:ilvl w:val="1"/>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Indebtedness arising from agreements of the Issuer or a Subsidiary providing for indemnification, adjustment of purchase price or similar obligations, in each case, incurred or assumed in connection with the disposition of any business, assets or a Subsidiary, other than guarantees of Indebtedness incurred by any Person acquiring all or any portion of such business, assets or a Subsidiary for the purpose of financing such acquisition; and</w:t>
      </w:r>
    </w:p>
    <w:p>
      <w:pPr>
        <w:spacing w:after="0" w:line="155" w:lineRule="exact"/>
        <w:rPr>
          <w:rFonts w:ascii="Times New Roman" w:cs="Times New Roman" w:eastAsia="Times New Roman" w:hAnsi="Times New Roman"/>
          <w:sz w:val="16"/>
          <w:szCs w:val="16"/>
          <w:color w:val="auto"/>
        </w:rPr>
      </w:pPr>
    </w:p>
    <w:p>
      <w:pPr>
        <w:ind w:left="4" w:right="20" w:firstLine="378"/>
        <w:spacing w:after="0" w:line="280" w:lineRule="auto"/>
        <w:tabs>
          <w:tab w:leader="none" w:pos="722" w:val="left"/>
        </w:tabs>
        <w:numPr>
          <w:ilvl w:val="1"/>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Hedging Obligations (excluding Hedging Obligations entered into for speculative purposes) for the purpose of limiting interest rate risk with respect to any Indebtedness permitted to be incurred pursuant to this covenant, exchange rate risk or commodity pricing risk.</w:t>
      </w:r>
    </w:p>
    <w:p>
      <w:pPr>
        <w:spacing w:after="0" w:line="144" w:lineRule="exact"/>
        <w:rPr>
          <w:rFonts w:ascii="Times New Roman" w:cs="Times New Roman" w:eastAsia="Times New Roman" w:hAnsi="Times New Roman"/>
          <w:sz w:val="16"/>
          <w:szCs w:val="16"/>
          <w:color w:val="auto"/>
        </w:rPr>
      </w:pPr>
    </w:p>
    <w:p>
      <w:pPr>
        <w:jc w:val="both"/>
        <w:ind w:left="4" w:firstLine="728"/>
        <w:spacing w:after="0" w:line="265" w:lineRule="auto"/>
        <w:tabs>
          <w:tab w:leader="none" w:pos="978" w:val="left"/>
        </w:tabs>
        <w:numPr>
          <w:ilvl w:val="2"/>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clause (b) of this Section 4.11, the Company shall not, and shall not permit any of its Subsidiaries to, directly or indirectly incur any Indebtedness consisting of securities convertible into or exchangeable for Capital Stock of the Company or any of its Subsidiaries (other than additional Notes of up to $25.0 million and PIK Notes).</w:t>
      </w:r>
    </w:p>
    <w:p>
      <w:pPr>
        <w:spacing w:after="0" w:line="153" w:lineRule="exact"/>
        <w:rPr>
          <w:sz w:val="20"/>
          <w:szCs w:val="20"/>
          <w:color w:val="auto"/>
        </w:rPr>
      </w:pPr>
    </w:p>
    <w:p>
      <w:pPr>
        <w:jc w:val="both"/>
        <w:ind w:left="4" w:firstLine="382"/>
        <w:spacing w:after="0" w:line="257" w:lineRule="auto"/>
        <w:rPr>
          <w:sz w:val="20"/>
          <w:szCs w:val="20"/>
          <w:color w:val="auto"/>
        </w:rPr>
      </w:pPr>
      <w:r>
        <w:rPr>
          <w:rFonts w:ascii="Times New Roman" w:cs="Times New Roman" w:eastAsia="Times New Roman" w:hAnsi="Times New Roman"/>
          <w:sz w:val="16"/>
          <w:szCs w:val="16"/>
          <w:color w:val="auto"/>
        </w:rPr>
        <w:t xml:space="preserve">Section 4.12. </w:t>
      </w:r>
      <w:r>
        <w:rPr>
          <w:rFonts w:ascii="Times New Roman" w:cs="Times New Roman" w:eastAsia="Times New Roman" w:hAnsi="Times New Roman"/>
          <w:sz w:val="16"/>
          <w:szCs w:val="16"/>
          <w:i w:val="1"/>
          <w:iCs w:val="1"/>
          <w:color w:val="auto"/>
        </w:rPr>
        <w:t>Transactions with Affiliates</w:t>
      </w:r>
      <w:r>
        <w:rPr>
          <w:rFonts w:ascii="Times New Roman" w:cs="Times New Roman" w:eastAsia="Times New Roman" w:hAnsi="Times New Roman"/>
          <w:sz w:val="16"/>
          <w:szCs w:val="16"/>
          <w:color w:val="auto"/>
        </w:rPr>
        <w:t>. The Company shall not, and shall not permit any of its Subsidiaries to, directly or indirectly, make any payment to, or sell, lease, exchange, transfer or otherwise dispose of any of its properties or assets to, or purchase any property or assets from, or enter into or make or amend any contract, agreement, understanding, loan, advance or guarantee with, or for the benefit of, any affiliate (each of the foregoing, an “</w:t>
      </w:r>
      <w:r>
        <w:rPr>
          <w:rFonts w:ascii="Times New Roman" w:cs="Times New Roman" w:eastAsia="Times New Roman" w:hAnsi="Times New Roman"/>
          <w:sz w:val="16"/>
          <w:szCs w:val="16"/>
          <w:b w:val="1"/>
          <w:bCs w:val="1"/>
          <w:color w:val="auto"/>
        </w:rPr>
        <w:t>Affiliate Transaction</w:t>
      </w:r>
      <w:r>
        <w:rPr>
          <w:rFonts w:ascii="Times New Roman" w:cs="Times New Roman" w:eastAsia="Times New Roman" w:hAnsi="Times New Roman"/>
          <w:sz w:val="16"/>
          <w:szCs w:val="16"/>
          <w:color w:val="auto"/>
        </w:rPr>
        <w:t>”) unless such Affiliate Transaction is on terms that are no less favorable to the Company or the relevant Subsidiary than those that would have been obtained in a comparable transaction at the time in an arm’s-length transaction with a person who was not an affiliate.</w:t>
      </w:r>
    </w:p>
    <w:p>
      <w:pPr>
        <w:spacing w:after="0" w:line="35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54" w:name="page55"/>
    <w:bookmarkEnd w:id="54"/>
    <w:p>
      <w:pPr>
        <w:ind w:left="380"/>
        <w:spacing w:after="0"/>
        <w:rPr>
          <w:sz w:val="20"/>
          <w:szCs w:val="20"/>
          <w:color w:val="auto"/>
        </w:rPr>
      </w:pPr>
      <w:r>
        <w:rPr>
          <w:rFonts w:ascii="Times New Roman" w:cs="Times New Roman" w:eastAsia="Times New Roman" w:hAnsi="Times New Roman"/>
          <w:sz w:val="16"/>
          <w:szCs w:val="16"/>
          <w:color w:val="auto"/>
        </w:rPr>
        <w:t>The foregoing provisions will not apply to the following:</w:t>
      </w:r>
    </w:p>
    <w:p>
      <w:pPr>
        <w:spacing w:after="0" w:line="198" w:lineRule="exact"/>
        <w:rPr>
          <w:sz w:val="20"/>
          <w:szCs w:val="20"/>
          <w:color w:val="auto"/>
        </w:rPr>
      </w:pPr>
    </w:p>
    <w:p>
      <w:pPr>
        <w:ind w:firstLine="728"/>
        <w:spacing w:after="0" w:line="280" w:lineRule="auto"/>
        <w:tabs>
          <w:tab w:leader="none" w:pos="949"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employment agreement and other employment benefits (including retirement, health, stock option and other benefit plans) entered into by the Company or any of its Subsidiaries in the ordinary course of business of the Company or such Subsidiary;</w:t>
      </w:r>
    </w:p>
    <w:p>
      <w:pPr>
        <w:spacing w:after="0" w:line="144" w:lineRule="exact"/>
        <w:rPr>
          <w:rFonts w:ascii="Times New Roman" w:cs="Times New Roman" w:eastAsia="Times New Roman" w:hAnsi="Times New Roman"/>
          <w:sz w:val="16"/>
          <w:szCs w:val="16"/>
          <w:color w:val="auto"/>
        </w:rPr>
      </w:pPr>
    </w:p>
    <w:p>
      <w:pPr>
        <w:ind w:left="960" w:hanging="232"/>
        <w:spacing w:after="0"/>
        <w:tabs>
          <w:tab w:leader="none" w:pos="96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transactions exclusively between or among the Company and/or its Subsidiaries;</w:t>
      </w:r>
    </w:p>
    <w:p>
      <w:pPr>
        <w:spacing w:after="0" w:line="198" w:lineRule="exact"/>
        <w:rPr>
          <w:rFonts w:ascii="Times New Roman" w:cs="Times New Roman" w:eastAsia="Times New Roman" w:hAnsi="Times New Roman"/>
          <w:sz w:val="16"/>
          <w:szCs w:val="16"/>
          <w:color w:val="auto"/>
        </w:rPr>
      </w:pPr>
    </w:p>
    <w:p>
      <w:pPr>
        <w:jc w:val="both"/>
        <w:ind w:right="20" w:firstLine="728"/>
        <w:spacing w:after="0" w:line="265" w:lineRule="auto"/>
        <w:tabs>
          <w:tab w:leader="none" w:pos="949"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agreement existing on the Issue Date, as in effect on the Issue Date, or as modified, amended or amended and restated by any modification, amendment or amendment and restatement (x) that, taken as a whole, is not more disadvantageous to the Holders in any material respect than such agreement as it was in effect on the Issue Date or (y) made in compliance with the applicable provisions of this covenant;</w:t>
      </w:r>
    </w:p>
    <w:p>
      <w:pPr>
        <w:spacing w:after="0" w:line="155" w:lineRule="exact"/>
        <w:rPr>
          <w:rFonts w:ascii="Times New Roman" w:cs="Times New Roman" w:eastAsia="Times New Roman" w:hAnsi="Times New Roman"/>
          <w:sz w:val="16"/>
          <w:szCs w:val="16"/>
          <w:color w:val="auto"/>
        </w:rPr>
      </w:pPr>
    </w:p>
    <w:p>
      <w:pPr>
        <w:ind w:left="960" w:hanging="232"/>
        <w:spacing w:after="0"/>
        <w:tabs>
          <w:tab w:leader="none" w:pos="96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reasonable compensation of, and indemnity arrangements in favor of, directors of the Company and its Subsidiaries entered into in the ordinary course of</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w:t>
      </w:r>
    </w:p>
    <w:p>
      <w:pPr>
        <w:spacing w:after="0" w:line="181" w:lineRule="exact"/>
        <w:rPr>
          <w:rFonts w:ascii="Times New Roman" w:cs="Times New Roman" w:eastAsia="Times New Roman" w:hAnsi="Times New Roman"/>
          <w:sz w:val="16"/>
          <w:szCs w:val="16"/>
          <w:color w:val="auto"/>
        </w:rPr>
      </w:pPr>
    </w:p>
    <w:p>
      <w:pPr>
        <w:ind w:left="940" w:hanging="212"/>
        <w:spacing w:after="0"/>
        <w:tabs>
          <w:tab w:leader="none" w:pos="94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issuance or sale of any equity interests of the Company and any contribution to the common equity of the Company; and</w:t>
      </w:r>
    </w:p>
    <w:p>
      <w:pPr>
        <w:spacing w:after="0" w:line="198" w:lineRule="exact"/>
        <w:rPr>
          <w:rFonts w:ascii="Times New Roman" w:cs="Times New Roman" w:eastAsia="Times New Roman" w:hAnsi="Times New Roman"/>
          <w:sz w:val="16"/>
          <w:szCs w:val="16"/>
          <w:color w:val="auto"/>
        </w:rPr>
      </w:pPr>
    </w:p>
    <w:p>
      <w:pPr>
        <w:jc w:val="both"/>
        <w:ind w:firstLine="728"/>
        <w:spacing w:after="0" w:line="265" w:lineRule="auto"/>
        <w:tabs>
          <w:tab w:leader="none" w:pos="932"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transactions in which the Company or any Subsidiary of the Company delivers to the Trustee a letter from an Independent Financial Advisor stating that such transaction is fair to the Company or such Subsidiary from a financial point of view or stating that the terms are not materially less favorable than those that could have been obtained by the Company or such Subsidiary in a comparable transaction at such time on an arms’ length basis from a Person that is not an Affiliate.</w:t>
      </w:r>
    </w:p>
    <w:p>
      <w:pPr>
        <w:spacing w:after="0" w:line="153" w:lineRule="exact"/>
        <w:rPr>
          <w:sz w:val="20"/>
          <w:szCs w:val="20"/>
          <w:color w:val="auto"/>
        </w:rPr>
      </w:pPr>
    </w:p>
    <w:p>
      <w:pPr>
        <w:jc w:val="both"/>
        <w:ind w:right="20" w:firstLine="382"/>
        <w:spacing w:after="0" w:line="260" w:lineRule="auto"/>
        <w:rPr>
          <w:sz w:val="20"/>
          <w:szCs w:val="20"/>
          <w:color w:val="auto"/>
        </w:rPr>
      </w:pPr>
      <w:r>
        <w:rPr>
          <w:rFonts w:ascii="Times New Roman" w:cs="Times New Roman" w:eastAsia="Times New Roman" w:hAnsi="Times New Roman"/>
          <w:sz w:val="16"/>
          <w:szCs w:val="16"/>
          <w:color w:val="auto"/>
        </w:rPr>
        <w:t xml:space="preserve">Section 4.13. </w:t>
      </w:r>
      <w:r>
        <w:rPr>
          <w:rFonts w:ascii="Times New Roman" w:cs="Times New Roman" w:eastAsia="Times New Roman" w:hAnsi="Times New Roman"/>
          <w:sz w:val="16"/>
          <w:szCs w:val="16"/>
          <w:i w:val="1"/>
          <w:iCs w:val="1"/>
          <w:color w:val="auto"/>
        </w:rPr>
        <w:t>Limitation on Liens</w:t>
      </w:r>
      <w:r>
        <w:rPr>
          <w:rFonts w:ascii="Times New Roman" w:cs="Times New Roman" w:eastAsia="Times New Roman" w:hAnsi="Times New Roman"/>
          <w:sz w:val="16"/>
          <w:szCs w:val="16"/>
          <w:color w:val="auto"/>
        </w:rPr>
        <w:t>. The Company shall not, and shall not permit any of its Subsidiaries, directly or indirectly, to, enter into, create, incur, assume or suffer to exist any Liens of any kind securing Indebtedness, other than Permitted Liens, on or with respect to any property or assets of the Company or any Subsidiary now owned or hereafter acquired or any interest therein or any income or profits therefrom, unless the Notes, the Guarantees and related Obligations are secured on an equal (or senior) and ratable basis with such Indebtedness (and related Obligations).</w:t>
      </w:r>
    </w:p>
    <w:p>
      <w:pPr>
        <w:spacing w:after="0" w:line="159" w:lineRule="exact"/>
        <w:rPr>
          <w:sz w:val="20"/>
          <w:szCs w:val="20"/>
          <w:color w:val="auto"/>
        </w:rPr>
      </w:pPr>
    </w:p>
    <w:p>
      <w:pPr>
        <w:jc w:val="both"/>
        <w:ind w:right="20" w:firstLine="382"/>
        <w:spacing w:after="0" w:line="260" w:lineRule="auto"/>
        <w:rPr>
          <w:sz w:val="20"/>
          <w:szCs w:val="20"/>
          <w:color w:val="auto"/>
        </w:rPr>
      </w:pPr>
      <w:r>
        <w:rPr>
          <w:rFonts w:ascii="Times New Roman" w:cs="Times New Roman" w:eastAsia="Times New Roman" w:hAnsi="Times New Roman"/>
          <w:sz w:val="16"/>
          <w:szCs w:val="16"/>
          <w:color w:val="auto"/>
        </w:rPr>
        <w:t xml:space="preserve">Section 4.14. </w:t>
      </w:r>
      <w:r>
        <w:rPr>
          <w:rFonts w:ascii="Times New Roman" w:cs="Times New Roman" w:eastAsia="Times New Roman" w:hAnsi="Times New Roman"/>
          <w:sz w:val="16"/>
          <w:szCs w:val="16"/>
          <w:i w:val="1"/>
          <w:iCs w:val="1"/>
          <w:color w:val="auto"/>
        </w:rPr>
        <w:t>Subsidiary Guarantees.</w:t>
      </w:r>
      <w:r>
        <w:rPr>
          <w:rFonts w:ascii="Times New Roman" w:cs="Times New Roman" w:eastAsia="Times New Roman" w:hAnsi="Times New Roman"/>
          <w:sz w:val="16"/>
          <w:szCs w:val="16"/>
          <w:color w:val="auto"/>
        </w:rPr>
        <w:t xml:space="preserve"> The Company shall not create any Domestic Subsidiary or permit any of its Domestic Subsidiaries, directly or indirectly, by way of pledge, intercompany note or otherwise, to assume, guarantee or in any other manner become liable with respect to any Indebtedness (other than the Notes) of the Company or any Guarantor, unless, in any such case, such Domestic Subsidiary executes and delivers a supplemental indenture to this Indenture providing a Guarantee as provided in Article 17 by such Domestic Subsidiary;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 Domestic Subsidiary shall be required to guarantee the Notes if it is prohibited by law from Guaranteeing the Notes.</w:t>
      </w:r>
    </w:p>
    <w:p>
      <w:pPr>
        <w:spacing w:after="0" w:line="159" w:lineRule="exact"/>
        <w:rPr>
          <w:sz w:val="20"/>
          <w:szCs w:val="20"/>
          <w:color w:val="auto"/>
        </w:rPr>
      </w:pPr>
    </w:p>
    <w:p>
      <w:pPr>
        <w:jc w:val="both"/>
        <w:ind w:right="20" w:firstLine="382"/>
        <w:spacing w:after="0" w:line="266" w:lineRule="auto"/>
        <w:rPr>
          <w:sz w:val="20"/>
          <w:szCs w:val="20"/>
          <w:color w:val="auto"/>
        </w:rPr>
      </w:pPr>
      <w:r>
        <w:rPr>
          <w:rFonts w:ascii="Times New Roman" w:cs="Times New Roman" w:eastAsia="Times New Roman" w:hAnsi="Times New Roman"/>
          <w:sz w:val="16"/>
          <w:szCs w:val="16"/>
          <w:color w:val="auto"/>
        </w:rPr>
        <w:t xml:space="preserve">Section 4.15. </w:t>
      </w:r>
      <w:r>
        <w:rPr>
          <w:rFonts w:ascii="Times New Roman" w:cs="Times New Roman" w:eastAsia="Times New Roman" w:hAnsi="Times New Roman"/>
          <w:sz w:val="16"/>
          <w:szCs w:val="16"/>
          <w:i w:val="1"/>
          <w:iCs w:val="1"/>
          <w:color w:val="auto"/>
        </w:rPr>
        <w:t>Registration Rights</w:t>
      </w:r>
      <w:r>
        <w:rPr>
          <w:rFonts w:ascii="Times New Roman" w:cs="Times New Roman" w:eastAsia="Times New Roman" w:hAnsi="Times New Roman"/>
          <w:sz w:val="16"/>
          <w:szCs w:val="16"/>
          <w:color w:val="auto"/>
        </w:rPr>
        <w:t>. The Company agrees that the Holders from time to time of Registrable Securities are entitled to the benefits of the Registration Rights Agreement. By its acceptance thereof, the Holder of Registrable Securities will have agreed to be bound by the terms of the Registration Rights Agreement relating to such Registrable Securities.</w:t>
      </w:r>
    </w:p>
    <w:p>
      <w:pPr>
        <w:spacing w:after="0" w:line="153" w:lineRule="exact"/>
        <w:rPr>
          <w:sz w:val="20"/>
          <w:szCs w:val="20"/>
          <w:color w:val="auto"/>
        </w:rPr>
      </w:pPr>
    </w:p>
    <w:p>
      <w:pPr>
        <w:jc w:val="both"/>
        <w:ind w:firstLine="382"/>
        <w:spacing w:after="0" w:line="260" w:lineRule="auto"/>
        <w:rPr>
          <w:sz w:val="20"/>
          <w:szCs w:val="20"/>
          <w:color w:val="auto"/>
        </w:rPr>
      </w:pPr>
      <w:r>
        <w:rPr>
          <w:rFonts w:ascii="Times New Roman" w:cs="Times New Roman" w:eastAsia="Times New Roman" w:hAnsi="Times New Roman"/>
          <w:sz w:val="16"/>
          <w:szCs w:val="16"/>
          <w:color w:val="auto"/>
        </w:rPr>
        <w:t xml:space="preserve">Section 4.16. </w:t>
      </w:r>
      <w:r>
        <w:rPr>
          <w:rFonts w:ascii="Times New Roman" w:cs="Times New Roman" w:eastAsia="Times New Roman" w:hAnsi="Times New Roman"/>
          <w:sz w:val="16"/>
          <w:szCs w:val="16"/>
          <w:i w:val="1"/>
          <w:iCs w:val="1"/>
          <w:color w:val="auto"/>
        </w:rPr>
        <w:t>Payment of Taxes</w:t>
      </w:r>
      <w:r>
        <w:rPr>
          <w:rFonts w:ascii="Times New Roman" w:cs="Times New Roman" w:eastAsia="Times New Roman" w:hAnsi="Times New Roman"/>
          <w:sz w:val="16"/>
          <w:szCs w:val="16"/>
          <w:color w:val="auto"/>
        </w:rPr>
        <w:t>. The Company shall pay or discharge or cause to be paid or discharged, before the same shall become delinquent, (i) all material taxes, assessments and governmental charges (including withholding taxes and any penalties, interest and additions to taxes) levied or imposed upon it or properties of it and (ii) all lawful claims for labor, materials and supplies that, if unpaid, might by law become a lien upon the property, except for such non-compliances as could not singly or in the aggregate reasonably be expected to have a material adverse effect on the financial condition or results of operations of the Company and its Subsidiaries, taken as a whole.</w:t>
      </w:r>
    </w:p>
    <w:p>
      <w:pPr>
        <w:spacing w:after="0" w:line="159" w:lineRule="exact"/>
        <w:rPr>
          <w:sz w:val="20"/>
          <w:szCs w:val="20"/>
          <w:color w:val="auto"/>
        </w:rPr>
      </w:pPr>
    </w:p>
    <w:p>
      <w:pPr>
        <w:jc w:val="both"/>
        <w:ind w:firstLine="382"/>
        <w:spacing w:after="0" w:line="260" w:lineRule="auto"/>
        <w:rPr>
          <w:sz w:val="20"/>
          <w:szCs w:val="20"/>
          <w:color w:val="auto"/>
        </w:rPr>
      </w:pPr>
      <w:r>
        <w:rPr>
          <w:rFonts w:ascii="Times New Roman" w:cs="Times New Roman" w:eastAsia="Times New Roman" w:hAnsi="Times New Roman"/>
          <w:sz w:val="16"/>
          <w:szCs w:val="16"/>
          <w:color w:val="auto"/>
        </w:rPr>
        <w:t xml:space="preserve">Section 4.17. </w:t>
      </w:r>
      <w:r>
        <w:rPr>
          <w:rFonts w:ascii="Times New Roman" w:cs="Times New Roman" w:eastAsia="Times New Roman" w:hAnsi="Times New Roman"/>
          <w:sz w:val="16"/>
          <w:szCs w:val="16"/>
          <w:i w:val="1"/>
          <w:iCs w:val="1"/>
          <w:color w:val="auto"/>
        </w:rPr>
        <w:t>Compliance with Laws</w:t>
      </w:r>
      <w:r>
        <w:rPr>
          <w:rFonts w:ascii="Times New Roman" w:cs="Times New Roman" w:eastAsia="Times New Roman" w:hAnsi="Times New Roman"/>
          <w:sz w:val="16"/>
          <w:szCs w:val="16"/>
          <w:color w:val="auto"/>
        </w:rPr>
        <w:t>. The Company shall comply with all applicable statutes, rules, regulations and orders of the United States of America, all states and municipalities thereof, and of any governmental department, commission, board, regulatory authority, bureau, agency and instrumentality of the foregoing, in respect of the conduct of its respective businesses and the ownership of its respective properties, except for such non-compliances as could not singly or in the aggregate reasonably be expected to have a material adverse effect on the financial condition or results of operations of the Company and its Subsidiaries, taken as a whole.</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55" w:name="page56"/>
    <w:bookmarkEnd w:id="55"/>
    <w:p>
      <w:pPr>
        <w:ind w:left="380"/>
        <w:spacing w:after="0"/>
        <w:rPr>
          <w:sz w:val="20"/>
          <w:szCs w:val="20"/>
          <w:color w:val="auto"/>
        </w:rPr>
      </w:pPr>
      <w:r>
        <w:rPr>
          <w:rFonts w:ascii="Times New Roman" w:cs="Times New Roman" w:eastAsia="Times New Roman" w:hAnsi="Times New Roman"/>
          <w:sz w:val="16"/>
          <w:szCs w:val="16"/>
          <w:color w:val="auto"/>
        </w:rPr>
        <w:t xml:space="preserve">Section 4.18. </w:t>
      </w:r>
      <w:r>
        <w:rPr>
          <w:rFonts w:ascii="Times New Roman" w:cs="Times New Roman" w:eastAsia="Times New Roman" w:hAnsi="Times New Roman"/>
          <w:sz w:val="16"/>
          <w:szCs w:val="16"/>
          <w:i w:val="1"/>
          <w:iCs w:val="1"/>
          <w:color w:val="auto"/>
        </w:rPr>
        <w:t>Limitation on Sales of Assets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left="1360" w:hanging="217"/>
        <w:spacing w:after="0"/>
        <w:tabs>
          <w:tab w:leader="none" w:pos="136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not, and shall not permit any Subsidiary to, make any Asset Sale unless:</w:t>
      </w:r>
    </w:p>
    <w:p>
      <w:pPr>
        <w:spacing w:after="0" w:line="198" w:lineRule="exact"/>
        <w:rPr>
          <w:rFonts w:ascii="Times New Roman" w:cs="Times New Roman" w:eastAsia="Times New Roman" w:hAnsi="Times New Roman"/>
          <w:sz w:val="16"/>
          <w:szCs w:val="16"/>
          <w:color w:val="auto"/>
        </w:rPr>
      </w:pPr>
    </w:p>
    <w:p>
      <w:pPr>
        <w:ind w:firstLine="1716"/>
        <w:spacing w:after="0" w:line="280" w:lineRule="auto"/>
        <w:tabs>
          <w:tab w:leader="none" w:pos="1911" w:val="left"/>
        </w:tabs>
        <w:numPr>
          <w:ilvl w:val="1"/>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or the applicable Subsidiary, as the case may be, receives consideration at the time of the Asset Sale at least equal to the Fair Market Value of the assets or Equity Interests issued or sold or otherwise disposed of;</w:t>
      </w:r>
    </w:p>
    <w:p>
      <w:pPr>
        <w:spacing w:after="0" w:line="144" w:lineRule="exact"/>
        <w:rPr>
          <w:rFonts w:ascii="Times New Roman" w:cs="Times New Roman" w:eastAsia="Times New Roman" w:hAnsi="Times New Roman"/>
          <w:sz w:val="16"/>
          <w:szCs w:val="16"/>
          <w:color w:val="auto"/>
        </w:rPr>
      </w:pPr>
    </w:p>
    <w:p>
      <w:pPr>
        <w:ind w:left="1960" w:hanging="244"/>
        <w:spacing w:after="0"/>
        <w:tabs>
          <w:tab w:leader="none" w:pos="1960" w:val="left"/>
        </w:tabs>
        <w:numPr>
          <w:ilvl w:val="1"/>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least 75% of the consideration received in the Asset Sale by the Company or such Subsidiary is in the form of cash or Cash Equivalents.</w:t>
      </w:r>
    </w:p>
    <w:p>
      <w:pPr>
        <w:spacing w:after="0" w:line="19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For purposes of this provision, each of the following will be deemed to be cash:</w:t>
      </w:r>
    </w:p>
    <w:p>
      <w:pPr>
        <w:spacing w:after="0" w:line="198" w:lineRule="exact"/>
        <w:rPr>
          <w:sz w:val="20"/>
          <w:szCs w:val="20"/>
          <w:color w:val="auto"/>
        </w:rPr>
      </w:pPr>
    </w:p>
    <w:p>
      <w:pPr>
        <w:jc w:val="both"/>
        <w:ind w:firstLine="1716"/>
        <w:spacing w:after="0" w:line="265" w:lineRule="auto"/>
        <w:tabs>
          <w:tab w:leader="none" w:pos="1994" w:val="left"/>
        </w:tabs>
        <w:numPr>
          <w:ilvl w:val="1"/>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liabilities, as shown on the Company most recent consolidated balance sheet, of the Company or any Subsidiary (other than contingent liabilities and liabilities that are by their terms subordinated to the Notes or any Guarantee) that are assumed by the transferee of any such assets pursuant to a customary novation agreement that releases the Company or such Subsidiary from further liability; and</w:t>
      </w:r>
    </w:p>
    <w:p>
      <w:pPr>
        <w:spacing w:after="0" w:line="155" w:lineRule="exact"/>
        <w:rPr>
          <w:rFonts w:ascii="Times New Roman" w:cs="Times New Roman" w:eastAsia="Times New Roman" w:hAnsi="Times New Roman"/>
          <w:sz w:val="16"/>
          <w:szCs w:val="16"/>
          <w:color w:val="auto"/>
        </w:rPr>
      </w:pPr>
    </w:p>
    <w:p>
      <w:pPr>
        <w:ind w:right="20" w:firstLine="1716"/>
        <w:spacing w:after="0" w:line="280" w:lineRule="auto"/>
        <w:tabs>
          <w:tab w:leader="none" w:pos="1997" w:val="left"/>
        </w:tabs>
        <w:numPr>
          <w:ilvl w:val="1"/>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securities, notes or other obligations received by the Company or any such Subsidiary from such transferee that are converted by the Company or such Subsidiary into cash within 90 days following the date of such Asset Sale, to the extent of the cash received in that conversion.</w:t>
      </w:r>
    </w:p>
    <w:p>
      <w:pPr>
        <w:spacing w:after="0" w:line="144"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Within 365 days after the receipt of any Net Proceeds from an Asset Sale, the Company (or the applicable Subsidiary, as the case may be) may apply such</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Proceeds:</w:t>
      </w:r>
    </w:p>
    <w:p>
      <w:pPr>
        <w:spacing w:after="0" w:line="18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5"/>
          <w:szCs w:val="15"/>
          <w:color w:val="auto"/>
        </w:rPr>
        <w:t>(i) to repay any indebtedness secured by a Lien and, in the case of a revolving credit facility, correspondingly permanently reduce commitments with</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respect thereto;</w:t>
      </w:r>
    </w:p>
    <w:p>
      <w:pPr>
        <w:spacing w:after="0" w:line="182" w:lineRule="exact"/>
        <w:rPr>
          <w:sz w:val="20"/>
          <w:szCs w:val="20"/>
          <w:color w:val="auto"/>
        </w:rPr>
      </w:pPr>
    </w:p>
    <w:p>
      <w:pPr>
        <w:ind w:right="20" w:firstLine="1716"/>
        <w:spacing w:after="0" w:line="280" w:lineRule="auto"/>
        <w:tabs>
          <w:tab w:leader="none" w:pos="1967" w:val="left"/>
        </w:tabs>
        <w:numPr>
          <w:ilvl w:val="1"/>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Section 4.19, to acquire all or substantially all of the assets of, or any Capital Stock of, another Permitted Business, if, after giving effect to any such acquisition of Capital Stock, the Permitted Business is or becomes a Guarantor;</w:t>
      </w:r>
    </w:p>
    <w:p>
      <w:pPr>
        <w:spacing w:after="0" w:line="144" w:lineRule="exact"/>
        <w:rPr>
          <w:rFonts w:ascii="Times New Roman" w:cs="Times New Roman" w:eastAsia="Times New Roman" w:hAnsi="Times New Roman"/>
          <w:sz w:val="16"/>
          <w:szCs w:val="16"/>
          <w:color w:val="auto"/>
        </w:rPr>
      </w:pPr>
    </w:p>
    <w:p>
      <w:pPr>
        <w:ind w:left="2000" w:hanging="284"/>
        <w:spacing w:after="0"/>
        <w:tabs>
          <w:tab w:leader="none" w:pos="2000" w:val="left"/>
        </w:tabs>
        <w:numPr>
          <w:ilvl w:val="1"/>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Section 4.19, to make a capital expenditure; or</w:t>
      </w:r>
    </w:p>
    <w:p>
      <w:pPr>
        <w:spacing w:after="0" w:line="198" w:lineRule="exact"/>
        <w:rPr>
          <w:rFonts w:ascii="Times New Roman" w:cs="Times New Roman" w:eastAsia="Times New Roman" w:hAnsi="Times New Roman"/>
          <w:sz w:val="16"/>
          <w:szCs w:val="16"/>
          <w:color w:val="auto"/>
        </w:rPr>
      </w:pPr>
    </w:p>
    <w:p>
      <w:pPr>
        <w:ind w:left="2000" w:hanging="284"/>
        <w:spacing w:after="0"/>
        <w:tabs>
          <w:tab w:leader="none" w:pos="2000" w:val="left"/>
        </w:tabs>
        <w:numPr>
          <w:ilvl w:val="1"/>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Section 4.19, to acquire other assets that are not classified as current assets under GAAP and that are used or useful in a Permitted</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w:t>
      </w:r>
    </w:p>
    <w:p>
      <w:pPr>
        <w:spacing w:after="0" w:line="181" w:lineRule="exact"/>
        <w:rPr>
          <w:rFonts w:ascii="Times New Roman" w:cs="Times New Roman" w:eastAsia="Times New Roman" w:hAnsi="Times New Roman"/>
          <w:sz w:val="16"/>
          <w:szCs w:val="16"/>
          <w:color w:val="auto"/>
        </w:rPr>
      </w:pPr>
    </w:p>
    <w:p>
      <w:pPr>
        <w:jc w:val="both"/>
        <w:ind w:right="20" w:firstLine="1143"/>
        <w:spacing w:after="0" w:line="259" w:lineRule="auto"/>
        <w:tabs>
          <w:tab w:leader="none" w:pos="1389"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Pending the final application of any Net Proceeds, the Company may temporarily reduce indebtedness consisting of revolving credit borrowings or otherwise use the Net Proceeds in any manner that is not prohibited by this Indenture. For the avoidance of doubt, any obligation under a revolving credit facility to apply Net Proceeds from Asset Sales to permanently reduce such revolving credit facility will not be deemed to be a permanent reduction under this Indenture unless the Company so elects in accordance with clause (1) of Section 4.18(b).</w:t>
      </w:r>
    </w:p>
    <w:p>
      <w:pPr>
        <w:spacing w:after="0" w:line="161" w:lineRule="exact"/>
        <w:rPr>
          <w:rFonts w:ascii="Times New Roman" w:cs="Times New Roman" w:eastAsia="Times New Roman" w:hAnsi="Times New Roman"/>
          <w:sz w:val="16"/>
          <w:szCs w:val="16"/>
          <w:color w:val="auto"/>
        </w:rPr>
      </w:pPr>
    </w:p>
    <w:p>
      <w:pPr>
        <w:jc w:val="both"/>
        <w:ind w:firstLine="1143"/>
        <w:spacing w:after="0" w:line="253" w:lineRule="auto"/>
        <w:tabs>
          <w:tab w:leader="none" w:pos="1377"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Net Proceeds from Asset Sales that are not applied or invested as provided in Section 4.18(b) will constitute “Excess Proceeds.” When the aggregate amount of Excess Proceeds exceeds $5.0 million, the Company will, within 30 days thereof, make an offer (“</w:t>
      </w:r>
      <w:r>
        <w:rPr>
          <w:rFonts w:ascii="Times New Roman" w:cs="Times New Roman" w:eastAsia="Times New Roman" w:hAnsi="Times New Roman"/>
          <w:sz w:val="16"/>
          <w:szCs w:val="16"/>
          <w:b w:val="1"/>
          <w:bCs w:val="1"/>
          <w:color w:val="auto"/>
        </w:rPr>
        <w:t>Net Proceeds Offer</w:t>
      </w:r>
      <w:r>
        <w:rPr>
          <w:rFonts w:ascii="Times New Roman" w:cs="Times New Roman" w:eastAsia="Times New Roman" w:hAnsi="Times New Roman"/>
          <w:sz w:val="16"/>
          <w:szCs w:val="16"/>
          <w:color w:val="auto"/>
        </w:rPr>
        <w:t>”) to (a) (i) all holders of the Notes and (ii) all holders of pari passu indebtedness that contains provisions similar to those set forth in this Indenture with respect to offers to purchase or redeem with the proceeds of sales of assets to purchase the maximum principal amount of Notes and such other pari passu indebtedness that may be purchased out of the Excess Proceeds. The offer price in any offer will be equal to 100% of the principal amount of Notes purchased (or, in the event such pari passu indebtedness was issued with significant original issue discount, 100% of the accreted value thereof) plus accrued and unpaid interest, if any, to the date of purchase, and will be payable in cash. If any Excess Proceeds remain after consummation of a Net Proceeds Offer, the Company may use those Excess Proceeds for any purpose not otherwise prohibited by this Indenture. If the aggregate principal amount of Notes and such other pari passu indebtedness tendered in such offer exceeds the amount of Excess Proceeds, the Trustee shall select the Notes and the Company or such other agent will select such other pari passu indebtedness to be purchased on a pro rata basis. Upon completion of each offer, the amount of Excess Proceeds will be reset at zero.</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56" w:name="page57"/>
    <w:bookmarkEnd w:id="56"/>
    <w:p>
      <w:pPr>
        <w:jc w:val="both"/>
        <w:ind w:firstLine="1143"/>
        <w:spacing w:after="0" w:line="259" w:lineRule="auto"/>
        <w:tabs>
          <w:tab w:leader="none" w:pos="1364"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will comply with the requirements of Rule 14e-1 under the Exchange Act and any other securities laws and regulations thereunder to the extent such laws and regulations are applicable in connection with the repurchase of Notes pursuant to a Net Proceeds Offer. To the extent that the provisions of any securities laws or regulations conflict with this Section 4.18(e), the Company shall comply with the applicable securities laws and regulations and shall not be deemed to have breached its obligations under this Section 4.18(e) by virtue thereof.</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4.19. </w:t>
      </w:r>
      <w:r>
        <w:rPr>
          <w:rFonts w:ascii="Times New Roman" w:cs="Times New Roman" w:eastAsia="Times New Roman" w:hAnsi="Times New Roman"/>
          <w:sz w:val="16"/>
          <w:szCs w:val="16"/>
          <w:i w:val="1"/>
          <w:iCs w:val="1"/>
          <w:color w:val="auto"/>
        </w:rPr>
        <w:t>Minimum Liquidity; Maximum Acquisition Spend</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jc w:val="both"/>
        <w:ind w:firstLine="1143"/>
        <w:spacing w:after="0" w:line="259" w:lineRule="auto"/>
        <w:tabs>
          <w:tab w:leader="none" w:pos="1387"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its Subsidiaries shall (x) at all times maintain a minimum consolidated balance of $30.0 million of unrestricted cash and cash equivalents and (y) deliver to Trustee, with a copy to the Holders, within three (3) Business Days following the end of each month after the Issue Date and prior to a Cash Covenant Suspension Event, an Officer’s Certificate with a schedule showing all such accounts in which such unrestricted cash and cash equivalents is on deposit or credited thereto and providing for the Company’s calculation of its cash balance as of such month end.</w:t>
      </w:r>
    </w:p>
    <w:p>
      <w:pPr>
        <w:spacing w:after="0" w:line="161" w:lineRule="exact"/>
        <w:rPr>
          <w:rFonts w:ascii="Times New Roman" w:cs="Times New Roman" w:eastAsia="Times New Roman" w:hAnsi="Times New Roman"/>
          <w:sz w:val="16"/>
          <w:szCs w:val="16"/>
          <w:color w:val="auto"/>
        </w:rPr>
      </w:pPr>
    </w:p>
    <w:p>
      <w:pPr>
        <w:ind w:right="20" w:firstLine="1143"/>
        <w:spacing w:after="0" w:line="280" w:lineRule="auto"/>
        <w:tabs>
          <w:tab w:leader="none" w:pos="1385"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not utilize more than $30.0 million of cash and cash equivalents of the Company and its Subsidiaries to finance acquisitions or Investments (excluding acquisitions and Investments financed and consummated during a Suspension Period).</w:t>
      </w:r>
    </w:p>
    <w:p>
      <w:pPr>
        <w:spacing w:after="0" w:line="144" w:lineRule="exact"/>
        <w:rPr>
          <w:rFonts w:ascii="Times New Roman" w:cs="Times New Roman" w:eastAsia="Times New Roman" w:hAnsi="Times New Roman"/>
          <w:sz w:val="16"/>
          <w:szCs w:val="16"/>
          <w:color w:val="auto"/>
        </w:rPr>
      </w:pPr>
    </w:p>
    <w:p>
      <w:pPr>
        <w:jc w:val="both"/>
        <w:ind w:firstLine="1143"/>
        <w:spacing w:after="0" w:line="254" w:lineRule="auto"/>
        <w:tabs>
          <w:tab w:leader="none" w:pos="1376"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on any date following the Issue Date (i) the Company delivers to the Trustee an Officer’s Certificate certifying two consecutive fiscal quarters of positive consolidated EBITDA, with supporting calculations set forth in an exhibit to such Officer’s Certificate, and (ii) no Default has occurred and is continuing under this Indenture (the occurrence of the events described in the foregoing clauses (i) and (ii) being collectively referred to as a “</w:t>
      </w:r>
      <w:r>
        <w:rPr>
          <w:rFonts w:ascii="Times New Roman" w:cs="Times New Roman" w:eastAsia="Times New Roman" w:hAnsi="Times New Roman"/>
          <w:sz w:val="16"/>
          <w:szCs w:val="16"/>
          <w:b w:val="1"/>
          <w:bCs w:val="1"/>
          <w:color w:val="auto"/>
        </w:rPr>
        <w:t>Cash Covenant Suspension Event</w:t>
      </w:r>
      <w:r>
        <w:rPr>
          <w:rFonts w:ascii="Times New Roman" w:cs="Times New Roman" w:eastAsia="Times New Roman" w:hAnsi="Times New Roman"/>
          <w:sz w:val="16"/>
          <w:szCs w:val="16"/>
          <w:color w:val="auto"/>
        </w:rPr>
        <w:t>”), then beginning on such date (the “</w:t>
      </w:r>
      <w:r>
        <w:rPr>
          <w:rFonts w:ascii="Times New Roman" w:cs="Times New Roman" w:eastAsia="Times New Roman" w:hAnsi="Times New Roman"/>
          <w:sz w:val="16"/>
          <w:szCs w:val="16"/>
          <w:b w:val="1"/>
          <w:bCs w:val="1"/>
          <w:color w:val="auto"/>
        </w:rPr>
        <w:t>Cash Covenant Suspension Date</w:t>
      </w:r>
      <w:r>
        <w:rPr>
          <w:rFonts w:ascii="Times New Roman" w:cs="Times New Roman" w:eastAsia="Times New Roman" w:hAnsi="Times New Roman"/>
          <w:sz w:val="16"/>
          <w:szCs w:val="16"/>
          <w:color w:val="auto"/>
        </w:rPr>
        <w:t>”) and continuing until the Cash Covenant Reversion Date (such period of time between and including the Cash Covenant Suspension Date and the Cash Covenant Reversion Date, but excluding the Cash Covenant Reversion Date, being referred to as the “</w:t>
      </w:r>
      <w:r>
        <w:rPr>
          <w:rFonts w:ascii="Times New Roman" w:cs="Times New Roman" w:eastAsia="Times New Roman" w:hAnsi="Times New Roman"/>
          <w:sz w:val="16"/>
          <w:szCs w:val="16"/>
          <w:b w:val="1"/>
          <w:bCs w:val="1"/>
          <w:color w:val="auto"/>
        </w:rPr>
        <w:t>Suspension Period</w:t>
      </w:r>
      <w:r>
        <w:rPr>
          <w:rFonts w:ascii="Times New Roman" w:cs="Times New Roman" w:eastAsia="Times New Roman" w:hAnsi="Times New Roman"/>
          <w:sz w:val="16"/>
          <w:szCs w:val="16"/>
          <w:color w:val="auto"/>
        </w:rPr>
        <w:t>”), the Company and its Subsidiaries will not be subject to the restrictions set forth in Section 4.19(a)(x) or (b) (for the avoidance of doubt, the Company shall continue to be subject to the delivery requirement set forth in Section 4.19(a)(y) during the Suspension Period).</w:t>
      </w:r>
    </w:p>
    <w:p>
      <w:pPr>
        <w:spacing w:after="0" w:line="166" w:lineRule="exact"/>
        <w:rPr>
          <w:rFonts w:ascii="Times New Roman" w:cs="Times New Roman" w:eastAsia="Times New Roman" w:hAnsi="Times New Roman"/>
          <w:sz w:val="16"/>
          <w:szCs w:val="16"/>
          <w:color w:val="auto"/>
        </w:rPr>
      </w:pPr>
    </w:p>
    <w:p>
      <w:pPr>
        <w:ind w:firstLine="1143"/>
        <w:spacing w:after="0" w:line="280" w:lineRule="auto"/>
        <w:tabs>
          <w:tab w:leader="none" w:pos="1385"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later than 15 Business Days following the end of each fiscal quarter following a Cash Covenant Suspension Event, the Company shall provide the Trustee with an Officer’s Certificate certifying its consolidated EBITDA for such quarter, with supporting calculations set forth in an exhibit to such Officer’s Certificate.</w:t>
      </w:r>
    </w:p>
    <w:p>
      <w:pPr>
        <w:spacing w:after="0" w:line="144" w:lineRule="exact"/>
        <w:rPr>
          <w:rFonts w:ascii="Times New Roman" w:cs="Times New Roman" w:eastAsia="Times New Roman" w:hAnsi="Times New Roman"/>
          <w:sz w:val="16"/>
          <w:szCs w:val="16"/>
          <w:color w:val="auto"/>
        </w:rPr>
      </w:pPr>
    </w:p>
    <w:p>
      <w:pPr>
        <w:jc w:val="both"/>
        <w:ind w:right="20" w:firstLine="1143"/>
        <w:spacing w:after="0" w:line="259" w:lineRule="auto"/>
        <w:tabs>
          <w:tab w:leader="none" w:pos="1364"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that during the Suspension Period the Company shall either (x) fail to provide an Officer’s Certificate to the Trustee certifying its consolidated EBITDA for the most recent fiscal quarter or (y) have provided to the Trustee one or more Officer’s Certificates indicating negative consolidated EBITDA for two consecutive fiscal quarters, then the Company and its Subsidiaries will thereafter (until any subsequent Cash Covenant Suspension Event) be subject to all of the restrictions set forth in this Section 4.19 (such date the “</w:t>
      </w:r>
      <w:r>
        <w:rPr>
          <w:rFonts w:ascii="Times New Roman" w:cs="Times New Roman" w:eastAsia="Times New Roman" w:hAnsi="Times New Roman"/>
          <w:sz w:val="16"/>
          <w:szCs w:val="16"/>
          <w:b w:val="1"/>
          <w:bCs w:val="1"/>
          <w:color w:val="auto"/>
        </w:rPr>
        <w:t>Cash Covenant Reversion Date</w:t>
      </w:r>
      <w:r>
        <w:rPr>
          <w:rFonts w:ascii="Times New Roman" w:cs="Times New Roman" w:eastAsia="Times New Roman" w:hAnsi="Times New Roman"/>
          <w:sz w:val="16"/>
          <w:szCs w:val="16"/>
          <w:color w:val="auto"/>
        </w:rPr>
        <w:t>”).</w:t>
      </w:r>
    </w:p>
    <w:p>
      <w:pPr>
        <w:spacing w:after="0" w:line="161" w:lineRule="exact"/>
        <w:rPr>
          <w:rFonts w:ascii="Times New Roman" w:cs="Times New Roman" w:eastAsia="Times New Roman" w:hAnsi="Times New Roman"/>
          <w:sz w:val="16"/>
          <w:szCs w:val="16"/>
          <w:color w:val="auto"/>
        </w:rPr>
      </w:pPr>
    </w:p>
    <w:p>
      <w:pPr>
        <w:jc w:val="both"/>
        <w:ind w:firstLine="1143"/>
        <w:spacing w:after="0" w:line="257" w:lineRule="auto"/>
        <w:tabs>
          <w:tab w:leader="none" w:pos="1358"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From and after the Cash Covenant Reversion Date and prior to the next succeeding Cash Covenant Suspension Event, if any, (i) no Default, Event of Default or breach of any kind with respect to this Section 4.19 will be deemed to exist under this Indenture or the Notes with respect to actions taken or events occurring during the Suspension Period pursuant to any contractual commitment or obligation arising during any Suspension Period, and (ii) the Company and each Subsidiary will be permitted, without causing a Default or Event of Default with respect to this Section 4.19, to honor, comply with or otherwise perform any contractual commitment or obligation arising during any Suspension Period and to consummate the transactions contemplated thereby.</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6"/>
          <w:szCs w:val="16"/>
          <w:color w:val="auto"/>
        </w:rPr>
        <w:t>ARTICLE 5</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L</w:t>
      </w:r>
      <w:r>
        <w:rPr>
          <w:rFonts w:ascii="Times New Roman" w:cs="Times New Roman" w:eastAsia="Times New Roman" w:hAnsi="Times New Roman"/>
          <w:sz w:val="10"/>
          <w:szCs w:val="10"/>
          <w:color w:val="auto"/>
        </w:rPr>
        <w:t>ists of</w:t>
      </w:r>
      <w:r>
        <w:rPr>
          <w:rFonts w:ascii="Times New Roman" w:cs="Times New Roman" w:eastAsia="Times New Roman" w:hAnsi="Times New Roman"/>
          <w:sz w:val="16"/>
          <w:szCs w:val="16"/>
          <w:color w:val="auto"/>
        </w:rPr>
        <w:t xml:space="preserve"> H</w:t>
      </w:r>
      <w:r>
        <w:rPr>
          <w:rFonts w:ascii="Times New Roman" w:cs="Times New Roman" w:eastAsia="Times New Roman" w:hAnsi="Times New Roman"/>
          <w:sz w:val="10"/>
          <w:szCs w:val="10"/>
          <w:color w:val="auto"/>
        </w:rPr>
        <w:t>olders and</w:t>
      </w:r>
      <w:r>
        <w:rPr>
          <w:rFonts w:ascii="Times New Roman" w:cs="Times New Roman" w:eastAsia="Times New Roman" w:hAnsi="Times New Roman"/>
          <w:sz w:val="16"/>
          <w:szCs w:val="16"/>
          <w:color w:val="auto"/>
        </w:rPr>
        <w:t xml:space="preserve"> R</w:t>
      </w:r>
      <w:r>
        <w:rPr>
          <w:rFonts w:ascii="Times New Roman" w:cs="Times New Roman" w:eastAsia="Times New Roman" w:hAnsi="Times New Roman"/>
          <w:sz w:val="10"/>
          <w:szCs w:val="10"/>
          <w:color w:val="auto"/>
        </w:rPr>
        <w:t>eports by the</w:t>
      </w:r>
      <w:r>
        <w:rPr>
          <w:rFonts w:ascii="Times New Roman" w:cs="Times New Roman" w:eastAsia="Times New Roman" w:hAnsi="Times New Roman"/>
          <w:sz w:val="16"/>
          <w:szCs w:val="16"/>
          <w:color w:val="auto"/>
        </w:rPr>
        <w:t xml:space="preserve"> C</w:t>
      </w:r>
      <w:r>
        <w:rPr>
          <w:rFonts w:ascii="Times New Roman" w:cs="Times New Roman" w:eastAsia="Times New Roman" w:hAnsi="Times New Roman"/>
          <w:sz w:val="10"/>
          <w:szCs w:val="10"/>
          <w:color w:val="auto"/>
        </w:rPr>
        <w:t>ompany and the</w:t>
      </w:r>
      <w:r>
        <w:rPr>
          <w:rFonts w:ascii="Times New Roman" w:cs="Times New Roman" w:eastAsia="Times New Roman" w:hAnsi="Times New Roman"/>
          <w:sz w:val="16"/>
          <w:szCs w:val="16"/>
          <w:color w:val="auto"/>
        </w:rPr>
        <w:t xml:space="preserve"> T</w:t>
      </w:r>
      <w:r>
        <w:rPr>
          <w:rFonts w:ascii="Times New Roman" w:cs="Times New Roman" w:eastAsia="Times New Roman" w:hAnsi="Times New Roman"/>
          <w:sz w:val="10"/>
          <w:szCs w:val="10"/>
          <w:color w:val="auto"/>
        </w:rPr>
        <w:t>rustee</w:t>
      </w:r>
    </w:p>
    <w:p>
      <w:pPr>
        <w:spacing w:after="0" w:line="180" w:lineRule="exact"/>
        <w:rPr>
          <w:sz w:val="20"/>
          <w:szCs w:val="20"/>
          <w:color w:val="auto"/>
        </w:rPr>
      </w:pPr>
    </w:p>
    <w:p>
      <w:pPr>
        <w:jc w:val="both"/>
        <w:ind w:right="20" w:firstLine="382"/>
        <w:spacing w:after="0" w:line="256" w:lineRule="auto"/>
        <w:rPr>
          <w:sz w:val="20"/>
          <w:szCs w:val="20"/>
          <w:color w:val="auto"/>
        </w:rPr>
      </w:pPr>
      <w:r>
        <w:rPr>
          <w:rFonts w:ascii="Times New Roman" w:cs="Times New Roman" w:eastAsia="Times New Roman" w:hAnsi="Times New Roman"/>
          <w:sz w:val="16"/>
          <w:szCs w:val="16"/>
          <w:color w:val="auto"/>
        </w:rPr>
        <w:t xml:space="preserve">Section 5.01. </w:t>
      </w:r>
      <w:r>
        <w:rPr>
          <w:rFonts w:ascii="Times New Roman" w:cs="Times New Roman" w:eastAsia="Times New Roman" w:hAnsi="Times New Roman"/>
          <w:sz w:val="16"/>
          <w:szCs w:val="16"/>
          <w:i w:val="1"/>
          <w:iCs w:val="1"/>
          <w:color w:val="auto"/>
        </w:rPr>
        <w:t>Lists of Holders.</w:t>
      </w:r>
      <w:r>
        <w:rPr>
          <w:rFonts w:ascii="Times New Roman" w:cs="Times New Roman" w:eastAsia="Times New Roman" w:hAnsi="Times New Roman"/>
          <w:sz w:val="16"/>
          <w:szCs w:val="16"/>
          <w:color w:val="auto"/>
        </w:rPr>
        <w:t xml:space="preserve"> The Company covenants and agrees that it will furnish or cause to be furnished to the Trustee not more than 15 days after each Regular Record Date beginning with the Regular Record Date on [●], 2022, and at such other times as the Trustee may request in writing, within 30 days after receipt by the Company of any such request (or such lesser time as the Trustee may reasonably request in order to enable it to timely provide any notice to be provided by it hereunder), a list in such form as the Trustee may reasonably require of the names and addresses of the Holders as of a date not more than 15 days (or such other date as the Trustee may reasonably request in order to so provide any such notices) prior to the time such information is furnished, except that no such list need be furnished so long as the Trustee is acting as Note Registrar.</w:t>
      </w:r>
    </w:p>
    <w:p>
      <w:pPr>
        <w:spacing w:after="0" w:line="161" w:lineRule="exact"/>
        <w:rPr>
          <w:sz w:val="20"/>
          <w:szCs w:val="20"/>
          <w:color w:val="auto"/>
        </w:rPr>
      </w:pPr>
    </w:p>
    <w:p>
      <w:pPr>
        <w:jc w:val="both"/>
        <w:ind w:right="20" w:firstLine="382"/>
        <w:spacing w:after="0" w:line="266" w:lineRule="auto"/>
        <w:rPr>
          <w:sz w:val="20"/>
          <w:szCs w:val="20"/>
          <w:color w:val="auto"/>
        </w:rPr>
      </w:pPr>
      <w:r>
        <w:rPr>
          <w:rFonts w:ascii="Times New Roman" w:cs="Times New Roman" w:eastAsia="Times New Roman" w:hAnsi="Times New Roman"/>
          <w:sz w:val="16"/>
          <w:szCs w:val="16"/>
          <w:color w:val="auto"/>
        </w:rPr>
        <w:t xml:space="preserve">Section 5.02. </w:t>
      </w:r>
      <w:r>
        <w:rPr>
          <w:rFonts w:ascii="Times New Roman" w:cs="Times New Roman" w:eastAsia="Times New Roman" w:hAnsi="Times New Roman"/>
          <w:sz w:val="16"/>
          <w:szCs w:val="16"/>
          <w:i w:val="1"/>
          <w:iCs w:val="1"/>
          <w:color w:val="auto"/>
        </w:rPr>
        <w:t>Preservation and Disclosure of Lists.</w:t>
      </w:r>
      <w:r>
        <w:rPr>
          <w:rFonts w:ascii="Times New Roman" w:cs="Times New Roman" w:eastAsia="Times New Roman" w:hAnsi="Times New Roman"/>
          <w:sz w:val="16"/>
          <w:szCs w:val="16"/>
          <w:color w:val="auto"/>
        </w:rPr>
        <w:t xml:space="preserve"> The Trustee shall preserve, in as current a form as is reasonably practicable, all information as to the names and addresses of the Holders contained in the most recent list furnished to it as provided in Section 5.01 or maintained by the Trustee in its capacity as Note Registrar, if so acting. The Trustee may destroy any list furnished to it as provided in Section 5.01 upon receipt of a new list so furnished.</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6</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w:t>
      </w:r>
      <w:r>
        <w:rPr>
          <w:rFonts w:ascii="Times New Roman" w:cs="Times New Roman" w:eastAsia="Times New Roman" w:hAnsi="Times New Roman"/>
          <w:sz w:val="10"/>
          <w:szCs w:val="10"/>
          <w:color w:val="auto"/>
        </w:rPr>
        <w:t>efaults and</w:t>
      </w:r>
      <w:r>
        <w:rPr>
          <w:rFonts w:ascii="Times New Roman" w:cs="Times New Roman" w:eastAsia="Times New Roman" w:hAnsi="Times New Roman"/>
          <w:sz w:val="16"/>
          <w:szCs w:val="16"/>
          <w:color w:val="auto"/>
        </w:rPr>
        <w:t xml:space="preserve"> R</w:t>
      </w:r>
      <w:r>
        <w:rPr>
          <w:rFonts w:ascii="Times New Roman" w:cs="Times New Roman" w:eastAsia="Times New Roman" w:hAnsi="Times New Roman"/>
          <w:sz w:val="10"/>
          <w:szCs w:val="10"/>
          <w:color w:val="auto"/>
        </w:rPr>
        <w:t>emedies</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6.01. </w:t>
      </w:r>
      <w:r>
        <w:rPr>
          <w:rFonts w:ascii="Times New Roman" w:cs="Times New Roman" w:eastAsia="Times New Roman" w:hAnsi="Times New Roman"/>
          <w:sz w:val="16"/>
          <w:szCs w:val="16"/>
          <w:i w:val="1"/>
          <w:iCs w:val="1"/>
          <w:color w:val="auto"/>
        </w:rPr>
        <w:t>Events of Default.</w:t>
      </w:r>
      <w:r>
        <w:rPr>
          <w:rFonts w:ascii="Times New Roman" w:cs="Times New Roman" w:eastAsia="Times New Roman" w:hAnsi="Times New Roman"/>
          <w:sz w:val="16"/>
          <w:szCs w:val="16"/>
          <w:color w:val="auto"/>
        </w:rPr>
        <w:t xml:space="preserve"> Each of the following events shall be an “</w:t>
      </w:r>
      <w:r>
        <w:rPr>
          <w:rFonts w:ascii="Times New Roman" w:cs="Times New Roman" w:eastAsia="Times New Roman" w:hAnsi="Times New Roman"/>
          <w:sz w:val="16"/>
          <w:szCs w:val="16"/>
          <w:b w:val="1"/>
          <w:bCs w:val="1"/>
          <w:color w:val="auto"/>
        </w:rPr>
        <w:t>Event of Default</w:t>
      </w:r>
      <w:r>
        <w:rPr>
          <w:rFonts w:ascii="Times New Roman" w:cs="Times New Roman" w:eastAsia="Times New Roman" w:hAnsi="Times New Roman"/>
          <w:sz w:val="16"/>
          <w:szCs w:val="16"/>
          <w:color w:val="auto"/>
        </w:rPr>
        <w:t>” with respect to the Notes:</w:t>
      </w:r>
    </w:p>
    <w:p>
      <w:pPr>
        <w:spacing w:after="0" w:line="200" w:lineRule="exact"/>
        <w:rPr>
          <w:sz w:val="20"/>
          <w:szCs w:val="20"/>
          <w:color w:val="auto"/>
        </w:rPr>
      </w:pPr>
    </w:p>
    <w:p>
      <w:pPr>
        <w:ind w:left="1360" w:hanging="217"/>
        <w:spacing w:after="0"/>
        <w:tabs>
          <w:tab w:leader="none" w:pos="136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default in any payment of interest on any Note when due and payable, and the default continues for a period of 30 consecutive days;</w:t>
      </w:r>
    </w:p>
    <w:p>
      <w:pPr>
        <w:spacing w:after="0" w:line="198" w:lineRule="exact"/>
        <w:rPr>
          <w:rFonts w:ascii="Times New Roman" w:cs="Times New Roman" w:eastAsia="Times New Roman" w:hAnsi="Times New Roman"/>
          <w:sz w:val="16"/>
          <w:szCs w:val="16"/>
          <w:color w:val="auto"/>
        </w:rPr>
      </w:pPr>
    </w:p>
    <w:p>
      <w:pPr>
        <w:ind w:right="20" w:firstLine="1143"/>
        <w:spacing w:after="0" w:line="280" w:lineRule="auto"/>
        <w:tabs>
          <w:tab w:leader="none" w:pos="1373"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default in the payment of principal or premium, if any, of any Note when due and payable on the Maturity Date, upon Optional Redemption, upon any required repurchase, upon declaration of acceleration or otherwise;</w:t>
      </w:r>
    </w:p>
    <w:p>
      <w:pPr>
        <w:spacing w:after="0" w:line="144" w:lineRule="exact"/>
        <w:rPr>
          <w:rFonts w:ascii="Times New Roman" w:cs="Times New Roman" w:eastAsia="Times New Roman" w:hAnsi="Times New Roman"/>
          <w:sz w:val="16"/>
          <w:szCs w:val="16"/>
          <w:color w:val="auto"/>
        </w:rPr>
      </w:pPr>
    </w:p>
    <w:p>
      <w:pPr>
        <w:ind w:right="20" w:firstLine="1143"/>
        <w:spacing w:after="0" w:line="280" w:lineRule="auto"/>
        <w:tabs>
          <w:tab w:leader="none" w:pos="1364"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by the Company to comply with its obligation to convert the Notes in accordance with this Indenture upon exercise of a Holder’s conversion right and such failure continues for three Business Days;</w:t>
      </w:r>
    </w:p>
    <w:p>
      <w:pPr>
        <w:spacing w:after="0" w:line="144" w:lineRule="exact"/>
        <w:rPr>
          <w:rFonts w:ascii="Times New Roman" w:cs="Times New Roman" w:eastAsia="Times New Roman" w:hAnsi="Times New Roman"/>
          <w:sz w:val="16"/>
          <w:szCs w:val="16"/>
          <w:color w:val="auto"/>
        </w:rPr>
      </w:pPr>
    </w:p>
    <w:p>
      <w:pPr>
        <w:ind w:right="20" w:firstLine="1143"/>
        <w:spacing w:after="0" w:line="280" w:lineRule="auto"/>
        <w:tabs>
          <w:tab w:leader="none" w:pos="1385"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by the Company to issue a Fundamental Change Company Notice in accordance with Section 15.02(c), notice of a tMake-Whole Fundamental Change in accordance with Section 14.03(b), in each case when due and such failure continues for five Business Days;</w:t>
      </w:r>
    </w:p>
    <w:p>
      <w:pPr>
        <w:spacing w:after="0" w:line="144"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by the Company to comply with its obligations under Article 11;</w:t>
      </w:r>
    </w:p>
    <w:p>
      <w:pPr>
        <w:spacing w:after="0" w:line="198" w:lineRule="exact"/>
        <w:rPr>
          <w:rFonts w:ascii="Times New Roman" w:cs="Times New Roman" w:eastAsia="Times New Roman" w:hAnsi="Times New Roman"/>
          <w:sz w:val="16"/>
          <w:szCs w:val="16"/>
          <w:color w:val="auto"/>
        </w:rPr>
      </w:pPr>
    </w:p>
    <w:p>
      <w:pPr>
        <w:jc w:val="both"/>
        <w:ind w:firstLine="1143"/>
        <w:spacing w:after="0" w:line="259" w:lineRule="auto"/>
        <w:tabs>
          <w:tab w:leader="none" w:pos="1346"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failure by the Company for 10 days after written notice from the Trustee or the Holders of at least 25% in aggregate principal amount of the Notes then outstanding has been received by the Company to comply with its obligations under Section 4.19(a) or (b); and (ii) failure by the Company for 60 days after written notice from the Trustee or the Holders of at least 25% in aggregate principal amount of the Notes then outstanding has been received by the Company to comply with any of its other agreements (other than its obligations referenced above under clauses (a) through (e) and (f)(i)) contained in the Notes or this Indenture;</w:t>
      </w:r>
    </w:p>
    <w:p>
      <w:pPr>
        <w:spacing w:after="0" w:line="161" w:lineRule="exact"/>
        <w:rPr>
          <w:rFonts w:ascii="Times New Roman" w:cs="Times New Roman" w:eastAsia="Times New Roman" w:hAnsi="Times New Roman"/>
          <w:sz w:val="16"/>
          <w:szCs w:val="16"/>
          <w:color w:val="auto"/>
        </w:rPr>
      </w:pPr>
    </w:p>
    <w:p>
      <w:pPr>
        <w:jc w:val="both"/>
        <w:ind w:firstLine="1143"/>
        <w:spacing w:after="0" w:line="253" w:lineRule="auto"/>
        <w:tabs>
          <w:tab w:leader="none" w:pos="1385"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default by the Company or any Significant Subsidiary of the Company with respect to any mortgage, agreement or other instrument under which there may be outstanding, or by which there may be secured or evidenced, any indebtedness for money borrowed in excess of $10,000,000 (or its foreign currency equivalent) in the aggregate of the Company and/or any such Significant Subsidiary, whether such indebtedness now exists or shall hereafter be created (i) resulting in such indebtedness becoming or being declared due and payable prior to its stated maturity date or (ii) constituting a failure to pay the principal of any such indebtedness when due and payable (after the expiration of all applicable grace periods) at its stated maturity, upon required repurchase, upon declaration of acceleration or otherwise, and in the cases of clauses (i) and (ii), such acceleration shall not have been rescinded or annulled or such failure to pay or default shall not have been cured or waived, or such indebtedness is not paid or discharged, as the case may be, within 30 days after written notice to the Company by the Trustee or to the Company and the Trustee by Holders of at least 25% in aggregate principal amount of Notes then outstanding in accordance with this Indenture;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58" w:name="page59"/>
    <w:bookmarkEnd w:id="58"/>
    <w:p>
      <w:pPr>
        <w:jc w:val="both"/>
        <w:ind w:firstLine="1143"/>
        <w:spacing w:after="0" w:line="257" w:lineRule="auto"/>
        <w:tabs>
          <w:tab w:leader="none" w:pos="1373"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or any Significant Subsidiary shall commence a voluntary case or other proceeding seeking liquidation, reorganization or other similar relief with respect to the Company or any such Significant Subsidiary or its debts under any bankruptcy, insolvency or other similar law now or hereafter in effect or seeking the appointment of a trustee, receiver, liquidator, custodian or other similar official of the Company or any such Significant Subsidiary or any substantial part of its property, or shall consent to any such relief or to the appointment of or taking possession by any such official in an involuntary case or other proceeding commenced against it, or shall make a general assignment for the benefit of creditors, or shall fail generally to pay its debts as they become due;</w:t>
      </w:r>
    </w:p>
    <w:p>
      <w:pPr>
        <w:spacing w:after="0" w:line="162" w:lineRule="exact"/>
        <w:rPr>
          <w:rFonts w:ascii="Times New Roman" w:cs="Times New Roman" w:eastAsia="Times New Roman" w:hAnsi="Times New Roman"/>
          <w:sz w:val="16"/>
          <w:szCs w:val="16"/>
          <w:color w:val="auto"/>
        </w:rPr>
      </w:pPr>
    </w:p>
    <w:p>
      <w:pPr>
        <w:jc w:val="both"/>
        <w:ind w:firstLine="1143"/>
        <w:spacing w:after="0" w:line="259" w:lineRule="auto"/>
        <w:tabs>
          <w:tab w:leader="none" w:pos="1349"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involuntary case or other proceeding shall be commenced against the Company or any Significant Subsidiary seeking liquidation, reorganization or other similar relief with respect to the Company or such Significant Subsidiary or its debts under any bankruptcy, insolvency or other similar law now or hereafter in effect or seeking the appointment of a trustee, receiver, liquidator, custodian or other similar official of the Company or such Significant Subsidiary or any substantial part of its property, and such involuntary case or other proceeding shall remain undismissed and unstayed for a period of 60 consecutive days; or</w:t>
      </w:r>
    </w:p>
    <w:p>
      <w:pPr>
        <w:spacing w:after="0" w:line="161"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37"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final judgment or judgments for the payment of $10,000,000 (or its foreign currency equivalent) or more (in each case excluding any amounts covered by insurance) in the aggregate rendered against the Company or any of its Significant Subsidiaries, which judgment is not discharged, bonded, paid, waived or stayed within 60 days after (i) the date on which the right to appeal thereof has expired if no such appeal has commenced, or (ii) the date on which all rights to appeal have been extinguished.</w:t>
      </w:r>
    </w:p>
    <w:p>
      <w:pPr>
        <w:spacing w:after="0" w:line="153" w:lineRule="exact"/>
        <w:rPr>
          <w:sz w:val="20"/>
          <w:szCs w:val="20"/>
          <w:color w:val="auto"/>
        </w:rPr>
      </w:pPr>
    </w:p>
    <w:p>
      <w:pPr>
        <w:jc w:val="both"/>
        <w:ind w:firstLine="382"/>
        <w:spacing w:after="0" w:line="253" w:lineRule="auto"/>
        <w:rPr>
          <w:sz w:val="20"/>
          <w:szCs w:val="20"/>
          <w:color w:val="auto"/>
        </w:rPr>
      </w:pPr>
      <w:r>
        <w:rPr>
          <w:rFonts w:ascii="Times New Roman" w:cs="Times New Roman" w:eastAsia="Times New Roman" w:hAnsi="Times New Roman"/>
          <w:sz w:val="16"/>
          <w:szCs w:val="16"/>
          <w:color w:val="auto"/>
        </w:rPr>
        <w:t xml:space="preserve">Section 6.02. </w:t>
      </w:r>
      <w:r>
        <w:rPr>
          <w:rFonts w:ascii="Times New Roman" w:cs="Times New Roman" w:eastAsia="Times New Roman" w:hAnsi="Times New Roman"/>
          <w:sz w:val="16"/>
          <w:szCs w:val="16"/>
          <w:i w:val="1"/>
          <w:iCs w:val="1"/>
          <w:color w:val="auto"/>
        </w:rPr>
        <w:t>Acceleration; Rescission and Annulment.</w:t>
      </w:r>
      <w:r>
        <w:rPr>
          <w:rFonts w:ascii="Times New Roman" w:cs="Times New Roman" w:eastAsia="Times New Roman" w:hAnsi="Times New Roman"/>
          <w:sz w:val="16"/>
          <w:szCs w:val="16"/>
          <w:color w:val="auto"/>
        </w:rPr>
        <w:t xml:space="preserve"> If one or more Events of Default (other than an Event of Default specified in Section 6.01(h) or Section 6.01(i) with respect to the Company (and not with respect to a Significant Subsidiary))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 then, and in each and every such case, unless the principal of all of the Notes shall have already become due and payable, either the Trustee or the Holders of at least 25% in aggregate principal amount of the Notes then outstanding determined in accordance with Section 8.04, by notice in writing to the Company (and to the Trustee if given by Holders), may declare 100% of the principal of, and accrued and unpaid interest on, all the Notes to be due and payable immediately, and upon any such declaration the same shall become and shall automatically be immediately due and payable, anything contained in this Indenture or in the Notes to the contrary notwithstanding. If an Event of Default specified in Section 6.01(h) or Section 6.01(i) with respect to the Company (and not with respect to a Significant Subsidiary) occurs and is continuing, 100% of the principal of, and accrued and unpaid interest, if any, on, all Notes shall become and shall automatically be immediately due and payable.</w:t>
      </w:r>
    </w:p>
    <w:p>
      <w:pPr>
        <w:spacing w:after="0" w:line="168" w:lineRule="exact"/>
        <w:rPr>
          <w:sz w:val="20"/>
          <w:szCs w:val="20"/>
          <w:color w:val="auto"/>
        </w:rPr>
      </w:pPr>
    </w:p>
    <w:p>
      <w:pPr>
        <w:jc w:val="both"/>
        <w:ind w:firstLine="382"/>
        <w:spacing w:after="0" w:line="252" w:lineRule="auto"/>
        <w:rPr>
          <w:sz w:val="20"/>
          <w:szCs w:val="20"/>
          <w:color w:val="auto"/>
        </w:rPr>
      </w:pPr>
      <w:r>
        <w:rPr>
          <w:rFonts w:ascii="Times New Roman" w:cs="Times New Roman" w:eastAsia="Times New Roman" w:hAnsi="Times New Roman"/>
          <w:sz w:val="16"/>
          <w:szCs w:val="16"/>
          <w:color w:val="auto"/>
        </w:rPr>
        <w:t>The immediately preceding paragraph, however, is subject to the conditions that if, at any time after the principal of the Notes shall have been so declared due and payable, and before any judgment or decree for the payment of the monies due shall have been obtained or entered as hereinafter provided, and if (1) rescission would not conflict with any judgment or decree of a court of competent jurisdiction and (2) any and all existing Events of Default under this Indenture, other than the nonpayment of the principal of and accrued and unpaid interest, if any, on Notes that shall have become due solely by such acceleration, shall have been cured or waived pursuant to Section 6.09, then and in every such case (except as provided in the immediately succeeding sentence) the Holders of a majority in aggregate principal amount of the Notes then outstanding (including, without limitation, additional Notes and PIK Notes), by written notice to the Company and to the Trustee, may waive all Defaults or Events of Default with respect to the Notes and rescind and annul such declaration and its consequences and such Default shall cease to exist, and any Event of Default arising therefrom shall be deemed to have been cured for every purpose of this Indenture; but no such waiver or rescission and annulment shall extend to or shall affect any subsequent Default or Event of Default, or shall impair any right consequent thereon. Notwithstanding anything to the contrary herein, no such waiver or rescission and annulment shall extend to or shall affect any Default or Event of Default resulting from (i) the nonpayment of the principal (including the Redemption Price and the Fundamental Change Repurchase Price, if applicable) of, or accrued and unpaid interest on, any Notes, (ii) a failure to repurchase any Notes when required or (iii) a failure to pay or deliver, as the case may be, the consideration due upon conversion of the Notes.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59" w:name="page60"/>
    <w:bookmarkEnd w:id="59"/>
    <w:p>
      <w:pPr>
        <w:jc w:val="both"/>
        <w:ind w:firstLine="382"/>
        <w:spacing w:after="0" w:line="268" w:lineRule="auto"/>
        <w:rPr>
          <w:sz w:val="20"/>
          <w:szCs w:val="20"/>
          <w:color w:val="auto"/>
        </w:rPr>
      </w:pPr>
      <w:r>
        <w:rPr>
          <w:rFonts w:ascii="Times New Roman" w:cs="Times New Roman" w:eastAsia="Times New Roman" w:hAnsi="Times New Roman"/>
          <w:sz w:val="15"/>
          <w:szCs w:val="15"/>
          <w:color w:val="auto"/>
        </w:rPr>
        <w:t xml:space="preserve">Notwithstanding anything to the contrary in this Indenture or the Notes, if the Notes are accelerated or otherwise become due prior to their stated maturity, in each case as a result of an Event of Default (including, but not limited to, an Event of Default specified in Section 6.01(h) or Section 6.01(i) (including the acceleration of any portion of the Indebtedness evidenced by the Notes by operation of law)), the amount that shall then be due and payable shall be equal to: (x) 100% of the principal amount of the Notes (including PIK Notes) then outstanding </w:t>
      </w:r>
      <w:r>
        <w:rPr>
          <w:rFonts w:ascii="Times New Roman" w:cs="Times New Roman" w:eastAsia="Times New Roman" w:hAnsi="Times New Roman"/>
          <w:sz w:val="15"/>
          <w:szCs w:val="15"/>
          <w:i w:val="1"/>
          <w:iCs w:val="1"/>
          <w:color w:val="auto"/>
        </w:rPr>
        <w:t>plus</w:t>
      </w:r>
      <w:r>
        <w:rPr>
          <w:rFonts w:ascii="Times New Roman" w:cs="Times New Roman" w:eastAsia="Times New Roman" w:hAnsi="Times New Roman"/>
          <w:sz w:val="15"/>
          <w:szCs w:val="15"/>
          <w:color w:val="auto"/>
        </w:rPr>
        <w:t xml:space="preserve"> the Applicable Premium in effect on the date of such acceleration </w:t>
      </w:r>
      <w:r>
        <w:rPr>
          <w:rFonts w:ascii="Times New Roman" w:cs="Times New Roman" w:eastAsia="Times New Roman" w:hAnsi="Times New Roman"/>
          <w:sz w:val="15"/>
          <w:szCs w:val="15"/>
          <w:i w:val="1"/>
          <w:iCs w:val="1"/>
          <w:color w:val="auto"/>
        </w:rPr>
        <w:t>plus</w:t>
      </w:r>
      <w:r>
        <w:rPr>
          <w:rFonts w:ascii="Times New Roman" w:cs="Times New Roman" w:eastAsia="Times New Roman" w:hAnsi="Times New Roman"/>
          <w:sz w:val="15"/>
          <w:szCs w:val="15"/>
          <w:color w:val="auto"/>
        </w:rPr>
        <w:t xml:space="preserve"> (y) accrued and unpaid interest to, but excluding, the date of such acceleration, in each case as if such acceleration were an optional redemption of the Notes so accelerated. Without limiting the generality of the foregoing, it is understood and agreed that if the Notes are accelerated or otherwise become due prior to their stated maturity, in each case, as a result of an Event of Default (including, but not limited to, an Event of Default specified in Section 6.01(h) or Section 6.01(i) (including the acceleration of any portion of the Indebtedness evidenced by the Notes by operation of law)), the Applicable Premium with respect to an optional redemption of the Notes shall also be due and payable as though the Notes had been optionally redeemed on the date of such acceleration and shall constitute part of the Obligations with respect to the Notes in view of the impracticability and difficulty of ascertaining actual damages and by mutual agreement of the parties as to a reasonable calculation of each Holder’s lost profits as a result thereof. If the Applicable Premium becomes due and payable, it shall be deemed to be principal of the Notes and interest shall accrue on the full principal amount of the Notes (including the Applicable Premium) from and after the applicable triggering event, including in connection with an Event of Default specified in Section 6.01(h) or Section 6.01(i). Any premium payable pursuant to this paragraph shall be presumed to be liquidated damages sustained by each Holder as the result of the acceleration of the Notes and the Company agrees that it is reasonable under the circumstances currently existing. The premium shall also be payable in the event the Notes or this Indenture are satisfied, released or discharged through foreclosure, whether by judicial proceeding, deed in lieu of foreclosure or by any other means. THE COMPANY EXPRESSLY WAIVES (TO THE FULLEST EXTENT IT MAY LAWFULLY DO SO) THE PROVISIONS OF ANY PRESENT OR FUTURE STATUTE OR LAW THAT PROHIBITS OR MAY PROHIBIT THE COLLECTION OF THE FOREGOING PREMIUM IN CONNECTION WITH ANY SUCH ACCELERATION. The Company expressly agrees (to the fullest extent it may lawfully do so) that: (A) the premium is reasonable and is the product of an arm’s length transaction between sophisticated business entities ably represented by counsel; (B) the premium shall be payable notwithstanding the then prevailing market rates at the time acceleration occurs; (C) there has been a course of conduct between the Holders and the Company giving specific consideration in this transaction for such agreement to pay the premium; and (D) the Company shall be estopped hereafter from claiming differently than as agreed to in this paragraph. The Company and expressly acknowledges that its agreement to pay the premium to the Holders as herein described is a material inducement to the Holders to purchase the Notes.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PREMIUM IS DEEMED TO CONSTITUTE LIQUIDATED DAMAGES, AND THE PARTIES HERETO EACH ACKNOWLEDGE AND AGREE THAT SUCH DAMAGES ARE DIFFICULT OR IMPOSSIBLE TO DETERMINE AND THAT THE SETTLEMENT AMOUNT IS INTENDED TO BE A REASONABLE APPROXIMATION OF THE AMOUNT OF SUCH DAMAGES AND NOT A PENALTY.</w:t>
      </w:r>
    </w:p>
    <w:p>
      <w:pPr>
        <w:spacing w:after="0" w:line="162" w:lineRule="exact"/>
        <w:rPr>
          <w:sz w:val="20"/>
          <w:szCs w:val="20"/>
          <w:color w:val="auto"/>
        </w:rPr>
      </w:pPr>
    </w:p>
    <w:p>
      <w:pPr>
        <w:jc w:val="both"/>
        <w:ind w:right="20" w:firstLine="382"/>
        <w:spacing w:after="0" w:line="272" w:lineRule="auto"/>
        <w:rPr>
          <w:sz w:val="20"/>
          <w:szCs w:val="20"/>
          <w:color w:val="auto"/>
        </w:rPr>
      </w:pPr>
      <w:r>
        <w:rPr>
          <w:rFonts w:ascii="Times New Roman" w:cs="Times New Roman" w:eastAsia="Times New Roman" w:hAnsi="Times New Roman"/>
          <w:sz w:val="15"/>
          <w:szCs w:val="15"/>
          <w:color w:val="auto"/>
        </w:rPr>
        <w:t xml:space="preserve">Section 6.03. </w:t>
      </w:r>
      <w:r>
        <w:rPr>
          <w:rFonts w:ascii="Times New Roman" w:cs="Times New Roman" w:eastAsia="Times New Roman" w:hAnsi="Times New Roman"/>
          <w:sz w:val="15"/>
          <w:szCs w:val="15"/>
          <w:i w:val="1"/>
          <w:iCs w:val="1"/>
          <w:color w:val="auto"/>
        </w:rPr>
        <w:t>Additional Interest.</w:t>
      </w:r>
      <w:r>
        <w:rPr>
          <w:rFonts w:ascii="Times New Roman" w:cs="Times New Roman" w:eastAsia="Times New Roman" w:hAnsi="Times New Roman"/>
          <w:sz w:val="15"/>
          <w:szCs w:val="15"/>
          <w:color w:val="auto"/>
        </w:rPr>
        <w:t xml:space="preserve"> Notwithstanding anything in this Indenture or in the Notes to the contrary, to the extent the Company elects, the sole remedy for an Event of Default relating to the Company’s failure to comply with its obligations as set forth in Section 4.06(b) shall, for the first 365 days after the occurrence of such an Event of Default, consist exclusively of the right to receive Additional Interest on the Notes at a rate equal to (x) 0.25% per annum of the principal amount of the Notes outstanding for each day during the first 180 days during which such Event of Default is continuing beginning on, and including, the date on which such Event of Default occurs, and (y)</w:t>
      </w:r>
    </w:p>
    <w:p>
      <w:pPr>
        <w:spacing w:after="0" w:line="2"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5"/>
          <w:szCs w:val="15"/>
          <w:color w:val="auto"/>
        </w:rPr>
        <w:t>0.50% per annum of the principal amount of the Notes outstanding from the 181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5"/>
          <w:szCs w:val="15"/>
          <w:color w:val="auto"/>
        </w:rPr>
        <w:t xml:space="preserve"> day to, and including, the 365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5"/>
          <w:szCs w:val="15"/>
          <w:color w:val="auto"/>
        </w:rPr>
        <w:t xml:space="preserve"> day following the occurrence of such Event of Default, as long as such Event of Default is continuing. Subject to the last paragraph of this Section 6.03, Additional Interest payable pursuant to this Section 6.03 shall be in addition to, not in lieu of, any Additional Interest payable pursuant to Section 4.06(d). If the Company so elects, such Additional Interest shall be payable in cash in the same manner and on the same dates as the stated interest payable on the Notes. On the 366</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5"/>
          <w:szCs w:val="15"/>
          <w:color w:val="auto"/>
        </w:rPr>
        <w:t xml:space="preserve"> day after such Event of Default (if the Event of Default relating to the Company’s failure to comply with</w:t>
      </w:r>
    </w:p>
    <w:p>
      <w:pPr>
        <w:spacing w:after="0" w:line="2" w:lineRule="exact"/>
        <w:rPr>
          <w:sz w:val="20"/>
          <w:szCs w:val="20"/>
          <w:color w:val="auto"/>
        </w:rPr>
      </w:pPr>
    </w:p>
    <w:p>
      <w:pPr>
        <w:jc w:val="both"/>
        <w:ind w:right="20"/>
        <w:spacing w:after="0" w:line="229" w:lineRule="auto"/>
        <w:rPr>
          <w:sz w:val="20"/>
          <w:szCs w:val="20"/>
          <w:color w:val="auto"/>
        </w:rPr>
      </w:pPr>
      <w:r>
        <w:rPr>
          <w:rFonts w:ascii="Times New Roman" w:cs="Times New Roman" w:eastAsia="Times New Roman" w:hAnsi="Times New Roman"/>
          <w:sz w:val="16"/>
          <w:szCs w:val="16"/>
          <w:color w:val="auto"/>
        </w:rPr>
        <w:t>its obligations as set forth in Section 4.06(b) is not cured or waived prior to such 366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day), the Notes shall be immediately subject to acceleration in accordance with Section 6.02. The provisions of this paragraph will not affect the rights of Holders in the event of the occurrence of any Event of Default other than the Company’s failure to comply with its obligations as set forth in Section 4.06(b). In the event the Company does not elect to pay Additional Interest following an Event of Default in accordance with this Section 6.03 or the Company elected to make such payment but does not pay the Additional Interest when due, the Notes shall be immediately subject to acceleration as provided in Section 6.02.</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0" w:name="page61"/>
    <w:bookmarkEnd w:id="60"/>
    <w:p>
      <w:pPr>
        <w:jc w:val="both"/>
        <w:ind w:firstLine="382"/>
        <w:spacing w:after="0" w:line="259" w:lineRule="auto"/>
        <w:rPr>
          <w:sz w:val="20"/>
          <w:szCs w:val="20"/>
          <w:color w:val="auto"/>
        </w:rPr>
      </w:pPr>
      <w:r>
        <w:rPr>
          <w:rFonts w:ascii="Times New Roman" w:cs="Times New Roman" w:eastAsia="Times New Roman" w:hAnsi="Times New Roman"/>
          <w:sz w:val="16"/>
          <w:szCs w:val="16"/>
          <w:color w:val="auto"/>
        </w:rPr>
        <w:t>In order to elect to pay Additional Interest as the sole remedy during the first 365 days after the occurrence of any Event of Default relating to the Company’s failure to comply with its obligations as set forth in Section 4.06(b) in accordance with the immediately preceding paragraph, the Company must notify all Holders of the Notes, the Trustee and the Paying Agent in writing of such election prior to the beginning of such 365-day period. Upon the failure to timely give such notice, the Notes shall be immediately subject to acceleration as provided in Section 6.02.</w:t>
      </w:r>
    </w:p>
    <w:p>
      <w:pPr>
        <w:spacing w:after="0" w:line="162"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6"/>
          <w:szCs w:val="16"/>
          <w:color w:val="auto"/>
        </w:rPr>
        <w:t>In no event shall Additional Interest payable at the Company’s election for failure to comply with its obligations as set forth in Section 4.06(b) as set forth in this Section 6.03, together with any Additional Interest that may accrue as a result of the Company’s failure to timely file any document or report that the Company is required to file with the Commission pursuant to Section 13 or 15(d) of the Exchange Act, as applicable (after giving effect to all applicable grace periods under the Exchange Act and other than reports on Form 8-K), pursuant to Section 4.06(d), accrue at a rate in excess of 0.50% per annum pursuant to this Indenture, regardless of the number of events or circumstances giving rise to the requirement to pay such Additional Interest. The Trustee shall have no duty to calculate or verify the calculation of Additional Interest.</w:t>
      </w:r>
    </w:p>
    <w:p>
      <w:pPr>
        <w:spacing w:after="0" w:line="160" w:lineRule="exact"/>
        <w:rPr>
          <w:sz w:val="20"/>
          <w:szCs w:val="20"/>
          <w:color w:val="auto"/>
        </w:rPr>
      </w:pPr>
    </w:p>
    <w:p>
      <w:pPr>
        <w:jc w:val="both"/>
        <w:ind w:firstLine="382"/>
        <w:spacing w:after="0" w:line="255" w:lineRule="auto"/>
        <w:rPr>
          <w:sz w:val="20"/>
          <w:szCs w:val="20"/>
          <w:color w:val="auto"/>
        </w:rPr>
      </w:pPr>
      <w:r>
        <w:rPr>
          <w:rFonts w:ascii="Times New Roman" w:cs="Times New Roman" w:eastAsia="Times New Roman" w:hAnsi="Times New Roman"/>
          <w:sz w:val="16"/>
          <w:szCs w:val="16"/>
          <w:color w:val="auto"/>
        </w:rPr>
        <w:t xml:space="preserve">Section 6.04. </w:t>
      </w:r>
      <w:r>
        <w:rPr>
          <w:rFonts w:ascii="Times New Roman" w:cs="Times New Roman" w:eastAsia="Times New Roman" w:hAnsi="Times New Roman"/>
          <w:sz w:val="16"/>
          <w:szCs w:val="16"/>
          <w:i w:val="1"/>
          <w:iCs w:val="1"/>
          <w:color w:val="auto"/>
        </w:rPr>
        <w:t>Payments of Notes on Default; Suit Therefor.</w:t>
      </w:r>
      <w:r>
        <w:rPr>
          <w:rFonts w:ascii="Times New Roman" w:cs="Times New Roman" w:eastAsia="Times New Roman" w:hAnsi="Times New Roman"/>
          <w:sz w:val="16"/>
          <w:szCs w:val="16"/>
          <w:color w:val="auto"/>
        </w:rPr>
        <w:t xml:space="preserve"> If an Event of Default described in clause (a) or (b) of Section 6.01 shall have occurred and be continuing, the Company shall, upon demand of the Trustee, pay to the Trustee, for the benefit of the Holders of the Notes, the whole amount then due and payable on the Notes for principal and interest, if any, with interest on any overdue principal and interest, if any, at the rate borne by the Notes at such time and, in addition thereto, such further amount as shall be sufficient to cover any amounts due to the Trustee under Section 7.06. If the Company shall fail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the Notes and collect the moneys adjudged or decreed to be payable in the manner provided by law out of the property of the Company or any other obligor upon the Notes, wherever situated.</w:t>
      </w:r>
    </w:p>
    <w:p>
      <w:pPr>
        <w:spacing w:after="0" w:line="163" w:lineRule="exact"/>
        <w:rPr>
          <w:sz w:val="20"/>
          <w:szCs w:val="20"/>
          <w:color w:val="auto"/>
        </w:rPr>
      </w:pPr>
    </w:p>
    <w:p>
      <w:pPr>
        <w:jc w:val="both"/>
        <w:ind w:firstLine="382"/>
        <w:spacing w:after="0" w:line="251" w:lineRule="auto"/>
        <w:rPr>
          <w:sz w:val="20"/>
          <w:szCs w:val="20"/>
          <w:color w:val="auto"/>
        </w:rPr>
      </w:pPr>
      <w:r>
        <w:rPr>
          <w:rFonts w:ascii="Times New Roman" w:cs="Times New Roman" w:eastAsia="Times New Roman" w:hAnsi="Times New Roman"/>
          <w:sz w:val="16"/>
          <w:szCs w:val="16"/>
          <w:color w:val="auto"/>
        </w:rPr>
        <w:t>In the event there shall be pending proceedings for the bankruptcy or for the reorganization of the Company or any other obligor on the Notes under Title 11 of the United States Code, or any other applicable law, or in case a receiver, assignee or trustee in bankruptcy or reorganization, liquidator, sequestrator or similar official shall have been appointed for or taken possession of the Company or such other obligor, the property of the Company or such other obligor, or in the event of any other judicial proceedings relative to the Company or such other obligor upon the Notes, or to the creditors or property of the Company or such other obligor, the Trustee, irrespective of whether the principal of the Notes shall then be due and payable as therein expressed or by declaration or otherwise and irrespective of whether the Trustee shall have made any demand pursuant to the provisions of this Section 6.04, shall be entitled and empowered, by intervention in such proceedings or otherwise, to file and prove a claim or claims for the whole amount of principal and accrued and unpaid interest, if any, in respect of the Notes, and, in case of any judicial proceedings, to file such proofs of claim and other papers or documents and to take such other actions as it may deem necessary or advisable in order to have the claims of the Trustee (including any claim for the reasonable compensation, expenses, disbursements and advances of the Trustee, its agents and counsel) and of the Holders allowed in such judicial proceedings relative to the Company or any other obligor on the Notes, its or their creditors, or its or their property, and to collect and receive any monies or other property payable or deliverable on any such claims, and to distribute the same after the deduction of any amounts due to the Trustee under Section 7.06; and any receiver, assignee or trustee in bankruptcy or reorganization, liquidator, custodian or similar official is hereby authorized by each of the Holders to make such payments to the Trustee, as administrative expenses, and, in the event that the Trustee shall consent to the making of such payments directly to the Holders, to pay to the Trustee any amount due it for reasonable compensation, expenses, advances and disbursements, including agents and counsel fees, and including any other amounts due to the Trustee under Section 7.06, incurred by it up to the date of such distribution. To the extent that such payment of reasonable compensation, expenses, advances and disbursements out of the estate in any such proceedings shall be denied for any reason, payment of the same shall be secured by a lien on, and shall be paid out of, any and all distributions, dividends, monies, securities and other property that the Holders of the Notes may be entitled to receive in such proceedings, whether in liquidation or under any plan of reorganization or arrangement or otherwise.</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1" w:name="page62"/>
    <w:bookmarkEnd w:id="61"/>
    <w:p>
      <w:pPr>
        <w:jc w:val="both"/>
        <w:ind w:firstLine="382"/>
        <w:spacing w:after="0" w:line="265" w:lineRule="auto"/>
        <w:rPr>
          <w:sz w:val="20"/>
          <w:szCs w:val="20"/>
          <w:color w:val="auto"/>
        </w:rPr>
      </w:pPr>
      <w:r>
        <w:rPr>
          <w:rFonts w:ascii="Times New Roman" w:cs="Times New Roman" w:eastAsia="Times New Roman" w:hAnsi="Times New Roman"/>
          <w:sz w:val="16"/>
          <w:szCs w:val="16"/>
          <w:color w:val="auto"/>
        </w:rPr>
        <w:t>Nothing herein contained shall be deemed to authorize the Trustee to authorize or consent to or accept or adopt on behalf of any Holder any plan of reorganization, arrangement, adjustment or composition affecting such Holder or the rights of any Holder thereof, or to authorize the Trustee to vote in respect of the claim of any Holder in any such proceeding.</w:t>
      </w:r>
    </w:p>
    <w:p>
      <w:pPr>
        <w:spacing w:after="0" w:line="155"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6"/>
          <w:szCs w:val="16"/>
          <w:color w:val="auto"/>
        </w:rPr>
        <w:t>All rights of action and of asserting claims under this Indenture, or under any of the Notes, may be enforced by the Trustee without the possession of any of the Notes, or the production thereof at any trial or other proceeding relative thereto, and any such suit or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Notes.</w:t>
      </w:r>
    </w:p>
    <w:p>
      <w:pPr>
        <w:spacing w:after="0" w:line="162" w:lineRule="exact"/>
        <w:rPr>
          <w:sz w:val="20"/>
          <w:szCs w:val="20"/>
          <w:color w:val="auto"/>
        </w:rPr>
      </w:pPr>
    </w:p>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In any proceedings brought by the Trustee (and in any proceedings involving the interpretation of any provision of this Indenture to which the Trustee shall be a party) the Trustee shall be held to represent all the Holders of the Notes, and it shall not be necessary to make any Holders of the Notes parties to any such proceedings.</w:t>
      </w:r>
    </w:p>
    <w:p>
      <w:pPr>
        <w:spacing w:after="0" w:line="144"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6"/>
          <w:szCs w:val="16"/>
          <w:color w:val="auto"/>
        </w:rPr>
        <w:t>In case the Trustee shall have proceeded to enforce any right under this Indenture and such proceedings shall have been discontinued or abandoned because of any waiver pursuant to Section 6.09 or any rescission and annulment pursuant to Section 6.02 or for any other reason or shall have been determined adversely to the Trustee, then and in every such case the Company, the Holders and the Trustee shall, subject to any determination in such proceeding, be restored respectively to their several positions and rights hereunder, and all rights, remedies and powers of the Company, the Holders and the Trustee shall continue as though no such proceeding had been instituted.</w:t>
      </w:r>
    </w:p>
    <w:p>
      <w:pPr>
        <w:spacing w:after="0" w:line="160" w:lineRule="exact"/>
        <w:rPr>
          <w:sz w:val="20"/>
          <w:szCs w:val="20"/>
          <w:color w:val="auto"/>
        </w:rPr>
      </w:pPr>
    </w:p>
    <w:p>
      <w:pPr>
        <w:jc w:val="both"/>
        <w:ind w:right="20" w:firstLine="382"/>
        <w:spacing w:after="0" w:line="266" w:lineRule="auto"/>
        <w:rPr>
          <w:sz w:val="20"/>
          <w:szCs w:val="20"/>
          <w:color w:val="auto"/>
        </w:rPr>
      </w:pPr>
      <w:r>
        <w:rPr>
          <w:rFonts w:ascii="Times New Roman" w:cs="Times New Roman" w:eastAsia="Times New Roman" w:hAnsi="Times New Roman"/>
          <w:sz w:val="16"/>
          <w:szCs w:val="16"/>
          <w:color w:val="auto"/>
        </w:rPr>
        <w:t xml:space="preserve">Section 6.05. </w:t>
      </w:r>
      <w:r>
        <w:rPr>
          <w:rFonts w:ascii="Times New Roman" w:cs="Times New Roman" w:eastAsia="Times New Roman" w:hAnsi="Times New Roman"/>
          <w:sz w:val="16"/>
          <w:szCs w:val="16"/>
          <w:i w:val="1"/>
          <w:iCs w:val="1"/>
          <w:color w:val="auto"/>
        </w:rPr>
        <w:t>Application of Monies Collected by Trustee.</w:t>
      </w:r>
      <w:r>
        <w:rPr>
          <w:rFonts w:ascii="Times New Roman" w:cs="Times New Roman" w:eastAsia="Times New Roman" w:hAnsi="Times New Roman"/>
          <w:sz w:val="16"/>
          <w:szCs w:val="16"/>
          <w:color w:val="auto"/>
        </w:rPr>
        <w:t xml:space="preserve"> Any monies or property collected by the Trustee pursuant to this Article 6 with respect to the Notes shall be applied in the following order, at the date or dates fixed by the Trustee for the distribution of such monies, upon presentation of the several Notes, and stamping thereon the payment, if only partially paid, and upon surrender thereof, if fully paid:</w:t>
      </w:r>
    </w:p>
    <w:p>
      <w:pPr>
        <w:spacing w:after="0" w:line="1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b w:val="1"/>
          <w:bCs w:val="1"/>
          <w:color w:val="auto"/>
        </w:rPr>
        <w:t>First</w:t>
      </w:r>
      <w:r>
        <w:rPr>
          <w:rFonts w:ascii="Times New Roman" w:cs="Times New Roman" w:eastAsia="Times New Roman" w:hAnsi="Times New Roman"/>
          <w:sz w:val="16"/>
          <w:szCs w:val="16"/>
          <w:color w:val="auto"/>
        </w:rPr>
        <w:t>, to the payment of all amounts due the Trustee (in each of its capacities under this Indenture) hereunder;</w:t>
      </w:r>
    </w:p>
    <w:p>
      <w:pPr>
        <w:spacing w:after="0" w:line="198" w:lineRule="exact"/>
        <w:rPr>
          <w:sz w:val="20"/>
          <w:szCs w:val="20"/>
          <w:color w:val="auto"/>
        </w:rPr>
      </w:pPr>
    </w:p>
    <w:p>
      <w:pPr>
        <w:jc w:val="both"/>
        <w:ind w:firstLine="382"/>
        <w:spacing w:after="0" w:line="266" w:lineRule="auto"/>
        <w:rPr>
          <w:sz w:val="20"/>
          <w:szCs w:val="20"/>
          <w:color w:val="auto"/>
        </w:rPr>
      </w:pPr>
      <w:r>
        <w:rPr>
          <w:rFonts w:ascii="Times New Roman" w:cs="Times New Roman" w:eastAsia="Times New Roman" w:hAnsi="Times New Roman"/>
          <w:sz w:val="16"/>
          <w:szCs w:val="16"/>
          <w:b w:val="1"/>
          <w:bCs w:val="1"/>
          <w:color w:val="auto"/>
        </w:rPr>
        <w:t>Second</w:t>
      </w:r>
      <w:r>
        <w:rPr>
          <w:rFonts w:ascii="Times New Roman" w:cs="Times New Roman" w:eastAsia="Times New Roman" w:hAnsi="Times New Roman"/>
          <w:sz w:val="16"/>
          <w:szCs w:val="16"/>
          <w:color w:val="auto"/>
        </w:rPr>
        <w:t>, in case the principal of the outstanding Notes shall not have become due and be unpaid, to the payment of interest on, and any cash due upon conversion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Notes in default in the order of the date due of the payments of such interest and cash due upon conversion, as the case may be, with interest (to the extent that such interest has been collected by the Trustee) upon such overdue payments at the rate borne by the Notes at such time, such payments to be made ratably to the Persons entitled thereto;</w:t>
      </w:r>
    </w:p>
    <w:p>
      <w:pPr>
        <w:spacing w:after="0" w:line="153" w:lineRule="exact"/>
        <w:rPr>
          <w:sz w:val="20"/>
          <w:szCs w:val="20"/>
          <w:color w:val="auto"/>
        </w:rPr>
      </w:pPr>
    </w:p>
    <w:p>
      <w:pPr>
        <w:jc w:val="both"/>
        <w:ind w:firstLine="382"/>
        <w:spacing w:after="0" w:line="254" w:lineRule="auto"/>
        <w:rPr>
          <w:sz w:val="20"/>
          <w:szCs w:val="20"/>
          <w:color w:val="auto"/>
        </w:rPr>
      </w:pPr>
      <w:r>
        <w:rPr>
          <w:rFonts w:ascii="Times New Roman" w:cs="Times New Roman" w:eastAsia="Times New Roman" w:hAnsi="Times New Roman"/>
          <w:sz w:val="16"/>
          <w:szCs w:val="16"/>
          <w:b w:val="1"/>
          <w:bCs w:val="1"/>
          <w:color w:val="auto"/>
        </w:rPr>
        <w:t>Third</w:t>
      </w:r>
      <w:r>
        <w:rPr>
          <w:rFonts w:ascii="Times New Roman" w:cs="Times New Roman" w:eastAsia="Times New Roman" w:hAnsi="Times New Roman"/>
          <w:sz w:val="16"/>
          <w:szCs w:val="16"/>
          <w:color w:val="auto"/>
        </w:rPr>
        <w:t>, in case the principal of the outstanding Notes shall have become due, by declaration or otherwise, and be unpaid to the payment of the whole amount (including, if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applicable, the payment of the Redemption Price and the Fundamental Change Repurchase Price and any cash due upon conversion) then owing and unpaid upon the Notes for principal and interest, if any, with interest on the overdue principal and, to the extent that such interest has been collected by the Trustee, upon overdue installments of interest at the rate borne by the Notes at such time, and in case such monies shall be insufficient to pay in full the whole amounts so due and unpaid upon the Notes, then to the payment of such principal (including, if applicable, the Redemption Price and the Fundamental Change Repurchase Price and any cash due upon conversion) and interest without preference or priority of principal over interest, or of interest over principal or of any installment of interest over any other installment of interest, or of any Note over any other Note, ratably to the aggregate of such principal (including, if applicable, the Redemption Price and the Fundamental Change Repurchase Price and any cash due upon conversion) and accrued and unpaid interest; and</w:t>
      </w:r>
    </w:p>
    <w:p>
      <w:pPr>
        <w:spacing w:after="0" w:line="1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b w:val="1"/>
          <w:bCs w:val="1"/>
          <w:color w:val="auto"/>
        </w:rPr>
        <w:t>Fourth</w:t>
      </w:r>
      <w:r>
        <w:rPr>
          <w:rFonts w:ascii="Times New Roman" w:cs="Times New Roman" w:eastAsia="Times New Roman" w:hAnsi="Times New Roman"/>
          <w:sz w:val="16"/>
          <w:szCs w:val="16"/>
          <w:color w:val="auto"/>
        </w:rPr>
        <w:t>, to the payment of the remainder, if any, to the Company.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2" w:name="page63"/>
    <w:bookmarkEnd w:id="62"/>
    <w:p>
      <w:pPr>
        <w:jc w:val="both"/>
        <w:ind w:firstLine="382"/>
        <w:spacing w:after="0" w:line="260" w:lineRule="auto"/>
        <w:rPr>
          <w:sz w:val="20"/>
          <w:szCs w:val="20"/>
          <w:color w:val="auto"/>
        </w:rPr>
      </w:pPr>
      <w:r>
        <w:rPr>
          <w:rFonts w:ascii="Times New Roman" w:cs="Times New Roman" w:eastAsia="Times New Roman" w:hAnsi="Times New Roman"/>
          <w:sz w:val="16"/>
          <w:szCs w:val="16"/>
          <w:color w:val="auto"/>
        </w:rPr>
        <w:t xml:space="preserve">Section 6.06. </w:t>
      </w:r>
      <w:r>
        <w:rPr>
          <w:rFonts w:ascii="Times New Roman" w:cs="Times New Roman" w:eastAsia="Times New Roman" w:hAnsi="Times New Roman"/>
          <w:sz w:val="16"/>
          <w:szCs w:val="16"/>
          <w:i w:val="1"/>
          <w:iCs w:val="1"/>
          <w:color w:val="auto"/>
        </w:rPr>
        <w:t>Proceedings by Holders.</w:t>
      </w:r>
      <w:r>
        <w:rPr>
          <w:rFonts w:ascii="Times New Roman" w:cs="Times New Roman" w:eastAsia="Times New Roman" w:hAnsi="Times New Roman"/>
          <w:sz w:val="16"/>
          <w:szCs w:val="16"/>
          <w:color w:val="auto"/>
        </w:rPr>
        <w:t xml:space="preserve"> Except to enforce the right to receive payment of principal (including, if applicable, the Redemption Price and the Fundamental Change Repurchase Price) or interest when due, or the right to receive payment or delivery of the consideration due upon conversion, no Holder of any Note shall have any right by virtue of or by availing of any provision of this Indenture or the Notes to institute any suit, action or proceeding in equity or at law upon or under or with respect to this Indenture, or for the appointment of a receiver, trustee, liquidator, custodian or other similar official, or for any other remedy hereunder, unless:</w:t>
      </w:r>
    </w:p>
    <w:p>
      <w:pPr>
        <w:spacing w:after="0" w:line="161" w:lineRule="exact"/>
        <w:rPr>
          <w:sz w:val="20"/>
          <w:szCs w:val="20"/>
          <w:color w:val="auto"/>
        </w:rPr>
      </w:pPr>
    </w:p>
    <w:p>
      <w:pPr>
        <w:ind w:left="980" w:hanging="220"/>
        <w:spacing w:after="0"/>
        <w:tabs>
          <w:tab w:leader="none" w:pos="98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Holder previously shall have given to the Trustee written notice of an Event of Default and of the continuance thereof, as herein provided;</w:t>
      </w:r>
    </w:p>
    <w:p>
      <w:pPr>
        <w:spacing w:after="0" w:line="198" w:lineRule="exact"/>
        <w:rPr>
          <w:rFonts w:ascii="Times New Roman" w:cs="Times New Roman" w:eastAsia="Times New Roman" w:hAnsi="Times New Roman"/>
          <w:sz w:val="16"/>
          <w:szCs w:val="16"/>
          <w:color w:val="auto"/>
        </w:rPr>
      </w:pPr>
    </w:p>
    <w:p>
      <w:pPr>
        <w:ind w:right="20" w:firstLine="760"/>
        <w:spacing w:after="0" w:line="280" w:lineRule="auto"/>
        <w:tabs>
          <w:tab w:leader="none" w:pos="99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Holders of at least 25% in aggregate principal amount of the Notes then outstanding shall have made written request upon the Trustee to institute such action, suit or proceeding in its own name as Trustee hereunder;</w:t>
      </w:r>
    </w:p>
    <w:p>
      <w:pPr>
        <w:spacing w:after="0" w:line="144" w:lineRule="exact"/>
        <w:rPr>
          <w:rFonts w:ascii="Times New Roman" w:cs="Times New Roman" w:eastAsia="Times New Roman" w:hAnsi="Times New Roman"/>
          <w:sz w:val="16"/>
          <w:szCs w:val="16"/>
          <w:color w:val="auto"/>
        </w:rPr>
      </w:pPr>
    </w:p>
    <w:p>
      <w:pPr>
        <w:ind w:left="980" w:hanging="220"/>
        <w:spacing w:after="0"/>
        <w:tabs>
          <w:tab w:leader="none" w:pos="98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Holders shall have offered to the Trustee such security or indemnity reasonably satisfactory to it against any losses, liabilities, costs, or expenses;</w:t>
      </w:r>
    </w:p>
    <w:p>
      <w:pPr>
        <w:spacing w:after="0" w:line="198" w:lineRule="exact"/>
        <w:rPr>
          <w:rFonts w:ascii="Times New Roman" w:cs="Times New Roman" w:eastAsia="Times New Roman" w:hAnsi="Times New Roman"/>
          <w:sz w:val="16"/>
          <w:szCs w:val="16"/>
          <w:color w:val="auto"/>
        </w:rPr>
      </w:pPr>
    </w:p>
    <w:p>
      <w:pPr>
        <w:ind w:right="20" w:firstLine="760"/>
        <w:spacing w:after="0" w:line="280" w:lineRule="auto"/>
        <w:tabs>
          <w:tab w:leader="none" w:pos="99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for 60 days after its receipt of such written notice, request and offer of such security or indemnity, shall have neglected or refused to institute any such action, suit or proceeding; and</w:t>
      </w:r>
    </w:p>
    <w:p>
      <w:pPr>
        <w:spacing w:after="0" w:line="144" w:lineRule="exact"/>
        <w:rPr>
          <w:rFonts w:ascii="Times New Roman" w:cs="Times New Roman" w:eastAsia="Times New Roman" w:hAnsi="Times New Roman"/>
          <w:sz w:val="16"/>
          <w:szCs w:val="16"/>
          <w:color w:val="auto"/>
        </w:rPr>
      </w:pPr>
    </w:p>
    <w:p>
      <w:pPr>
        <w:ind w:firstLine="760"/>
        <w:spacing w:after="0" w:line="280" w:lineRule="auto"/>
        <w:tabs>
          <w:tab w:leader="none" w:pos="981"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direction that, in the opinion of the Trustee, is inconsistent with such written request shall have been given to the Trustee by the Holders of a majority of the aggregate principal amount of the Notes then outstanding within such 60-day period pursuant to Section 6.09,</w:t>
      </w:r>
    </w:p>
    <w:p>
      <w:pPr>
        <w:spacing w:after="0" w:line="14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it being understood and intended, and being expressly covenanted by the taker and Holder of every Note with every other taker and Holder and the Trustee that no one or more Holders shall have any right in any manner whatever by virtue of or by availing of any provision of this Indenture to affect, disturb or prejudice the rights of any other Holder, or to obtain or seek to obtain priority over or preference to any other such Holder (it being understood that the Trustee does not have an affirmative duty to ascertain whether or not such actions or forbearances are unduly prejudicial to such Holder), or to enforce any right under this Indenture, except in the manner herein provided and for the equal, ratable and common benefit of all Holders (except as otherwise provided herein). For the protection and enforcement of this Section 6.06, each and every Holder and the Trustee shall be entitled to such relief as can be given either at law or in equity.</w:t>
      </w:r>
    </w:p>
    <w:p>
      <w:pPr>
        <w:spacing w:after="0" w:line="165" w:lineRule="exact"/>
        <w:rPr>
          <w:sz w:val="20"/>
          <w:szCs w:val="20"/>
          <w:color w:val="auto"/>
        </w:rPr>
      </w:pPr>
    </w:p>
    <w:p>
      <w:pPr>
        <w:jc w:val="both"/>
        <w:ind w:right="20" w:firstLine="382"/>
        <w:spacing w:after="0" w:line="259" w:lineRule="auto"/>
        <w:rPr>
          <w:sz w:val="20"/>
          <w:szCs w:val="20"/>
          <w:color w:val="auto"/>
        </w:rPr>
      </w:pPr>
      <w:r>
        <w:rPr>
          <w:rFonts w:ascii="Times New Roman" w:cs="Times New Roman" w:eastAsia="Times New Roman" w:hAnsi="Times New Roman"/>
          <w:sz w:val="16"/>
          <w:szCs w:val="16"/>
          <w:color w:val="auto"/>
        </w:rPr>
        <w:t>Notwithstanding any other provision of this Indenture and any provision of any Note, each Holder shall have the right to institute suit for the enforcement of its right to receive payment or delivery, as the case may be, of (x) the principal (including the Redemption Price and the Fundamental Change Repurchase Price, if applicable) of, (y) accrued and unpaid interest, if any, on, and (z) the consideration due upon conversion of, such Note, on or after the respective due dates expressed or provided for in such Note or in this Indenture, or to institute suit for the enforcement of any such payment or delivery, as the case may be.</w:t>
      </w:r>
    </w:p>
    <w:p>
      <w:pPr>
        <w:spacing w:after="0" w:line="160" w:lineRule="exact"/>
        <w:rPr>
          <w:sz w:val="20"/>
          <w:szCs w:val="20"/>
          <w:color w:val="auto"/>
        </w:rPr>
      </w:pPr>
    </w:p>
    <w:p>
      <w:pPr>
        <w:jc w:val="both"/>
        <w:ind w:firstLine="382"/>
        <w:spacing w:after="0" w:line="260" w:lineRule="auto"/>
        <w:rPr>
          <w:sz w:val="20"/>
          <w:szCs w:val="20"/>
          <w:color w:val="auto"/>
        </w:rPr>
      </w:pPr>
      <w:r>
        <w:rPr>
          <w:rFonts w:ascii="Times New Roman" w:cs="Times New Roman" w:eastAsia="Times New Roman" w:hAnsi="Times New Roman"/>
          <w:sz w:val="16"/>
          <w:szCs w:val="16"/>
          <w:color w:val="auto"/>
        </w:rPr>
        <w:t xml:space="preserve">Section 6.07. </w:t>
      </w:r>
      <w:r>
        <w:rPr>
          <w:rFonts w:ascii="Times New Roman" w:cs="Times New Roman" w:eastAsia="Times New Roman" w:hAnsi="Times New Roman"/>
          <w:sz w:val="16"/>
          <w:szCs w:val="16"/>
          <w:i w:val="1"/>
          <w:iCs w:val="1"/>
          <w:color w:val="auto"/>
        </w:rPr>
        <w:t>Proceedings by Trustee.</w:t>
      </w:r>
      <w:r>
        <w:rPr>
          <w:rFonts w:ascii="Times New Roman" w:cs="Times New Roman" w:eastAsia="Times New Roman" w:hAnsi="Times New Roman"/>
          <w:sz w:val="16"/>
          <w:szCs w:val="16"/>
          <w:color w:val="auto"/>
        </w:rPr>
        <w:t xml:space="preserve"> In case of an Event of Default, the Trustee may in its discretion proceed to protect and enforce the rights vested in it by this Indenture by such appropriate judicial proceedings as are necessary to protect and enforce any of such rights, either by suit in equity or by action at law or by proceeding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159" w:lineRule="exact"/>
        <w:rPr>
          <w:sz w:val="20"/>
          <w:szCs w:val="20"/>
          <w:color w:val="auto"/>
        </w:rPr>
      </w:pPr>
    </w:p>
    <w:p>
      <w:pPr>
        <w:jc w:val="both"/>
        <w:ind w:firstLine="382"/>
        <w:spacing w:after="0" w:line="255" w:lineRule="auto"/>
        <w:rPr>
          <w:sz w:val="20"/>
          <w:szCs w:val="20"/>
          <w:color w:val="auto"/>
        </w:rPr>
      </w:pPr>
      <w:r>
        <w:rPr>
          <w:rFonts w:ascii="Times New Roman" w:cs="Times New Roman" w:eastAsia="Times New Roman" w:hAnsi="Times New Roman"/>
          <w:sz w:val="16"/>
          <w:szCs w:val="16"/>
          <w:color w:val="auto"/>
        </w:rPr>
        <w:t xml:space="preserve">Section 6.08. </w:t>
      </w:r>
      <w:r>
        <w:rPr>
          <w:rFonts w:ascii="Times New Roman" w:cs="Times New Roman" w:eastAsia="Times New Roman" w:hAnsi="Times New Roman"/>
          <w:sz w:val="16"/>
          <w:szCs w:val="16"/>
          <w:i w:val="1"/>
          <w:iCs w:val="1"/>
          <w:color w:val="auto"/>
        </w:rPr>
        <w:t>Remedies Cumulative and Continuing.</w:t>
      </w:r>
      <w:r>
        <w:rPr>
          <w:rFonts w:ascii="Times New Roman" w:cs="Times New Roman" w:eastAsia="Times New Roman" w:hAnsi="Times New Roman"/>
          <w:sz w:val="16"/>
          <w:szCs w:val="16"/>
          <w:color w:val="auto"/>
        </w:rPr>
        <w:t xml:space="preserve"> Except as provided in the last paragraph of Section 2.06, all powers and remedies given by this Article 6 to the Trustee or to the Holders shall, to the extent permitted by law, be deemed cumulative and not exclusive of any thereof or of any other powers and remedies available to the Trustee or the Holders of the Notes, by judicial proceedings or otherwise, to enforce the performance or observance of the covenants and agreements contained in this Indenture, and no delay or omission of the Trustee or of any Holder of any of the Notes to exercise any right or power accruing upon any Default or Event of Default shall impair any such right or power, or shall be construed to be a waiver of any such Default or Event of Default or any acquiescence therein; and, subject to the provisions of Section 6.06, every power and remedy given by this Article 6 or by law to the Trustee or to the Holders may be exercised from time to time, and as often as shall be deemed expedient, by the Trustee or by the Holders.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63" w:name="page64"/>
    <w:bookmarkEnd w:id="63"/>
    <w:p>
      <w:pPr>
        <w:jc w:val="both"/>
        <w:ind w:firstLine="382"/>
        <w:spacing w:after="0" w:line="255" w:lineRule="auto"/>
        <w:rPr>
          <w:sz w:val="20"/>
          <w:szCs w:val="20"/>
          <w:color w:val="auto"/>
        </w:rPr>
      </w:pPr>
      <w:r>
        <w:rPr>
          <w:rFonts w:ascii="Times New Roman" w:cs="Times New Roman" w:eastAsia="Times New Roman" w:hAnsi="Times New Roman"/>
          <w:sz w:val="16"/>
          <w:szCs w:val="16"/>
          <w:color w:val="auto"/>
        </w:rPr>
        <w:t xml:space="preserve">Section 6.09. </w:t>
      </w:r>
      <w:r>
        <w:rPr>
          <w:rFonts w:ascii="Times New Roman" w:cs="Times New Roman" w:eastAsia="Times New Roman" w:hAnsi="Times New Roman"/>
          <w:sz w:val="16"/>
          <w:szCs w:val="16"/>
          <w:i w:val="1"/>
          <w:iCs w:val="1"/>
          <w:color w:val="auto"/>
        </w:rPr>
        <w:t>Direction of Proceedings and Waiver of Defaults by Majority of Holders.</w:t>
      </w:r>
      <w:r>
        <w:rPr>
          <w:rFonts w:ascii="Times New Roman" w:cs="Times New Roman" w:eastAsia="Times New Roman" w:hAnsi="Times New Roman"/>
          <w:sz w:val="16"/>
          <w:szCs w:val="16"/>
          <w:color w:val="auto"/>
        </w:rPr>
        <w:t xml:space="preserve"> Subject to the Trustee’s right to receive security or indemnity from the relevant Holders as described herein, the Holders of a majority of the aggregate principal amount of the Notes at the time outstanding determined in accordance with Section 8.04 shall have the right to direct the time, method and place of conducting any proceeding for any remedy available to the Trustee or exercising any trust or power conferred on the Trustee with respect to the Notes;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(a) such direction shall not be in conflict with any rule of law or with this Indenture, and (b) the Trustee may take any other action deemed proper by the Trustee that is not inconsistent with such direction. The Trustee may refuse to follow any direction that it determines is unduly prejudicial to the rights of any other Holder (it being understood that the Trustee does not have an affirmative duty to ascertain whether or not such directions are unduly prejudicial to such Holder) or that would involve the Trustee in personal liability or that conflicts with applicable law or this Indenture.</w:t>
      </w:r>
    </w:p>
    <w:p>
      <w:pPr>
        <w:spacing w:after="0" w:line="163" w:lineRule="exact"/>
        <w:rPr>
          <w:sz w:val="20"/>
          <w:szCs w:val="20"/>
          <w:color w:val="auto"/>
        </w:rPr>
      </w:pPr>
    </w:p>
    <w:p>
      <w:pPr>
        <w:jc w:val="both"/>
        <w:ind w:firstLine="382"/>
        <w:spacing w:after="0" w:line="252" w:lineRule="auto"/>
        <w:rPr>
          <w:sz w:val="20"/>
          <w:szCs w:val="20"/>
          <w:color w:val="auto"/>
        </w:rPr>
      </w:pPr>
      <w:r>
        <w:rPr>
          <w:rFonts w:ascii="Times New Roman" w:cs="Times New Roman" w:eastAsia="Times New Roman" w:hAnsi="Times New Roman"/>
          <w:sz w:val="16"/>
          <w:szCs w:val="16"/>
          <w:color w:val="auto"/>
        </w:rPr>
        <w:t>The Holders of a majority in aggregate principal amount of the Notes at the time outstanding (including, without limitation, additional Notes and PIK Notes) determined in accordance with Section 8.04 may on behalf of the Holders of all of the Notes (x) waive any past Default or Event of Default hereunder and its consequences except any continuing defaults relating to (i) a default in the payment of accrued and unpaid interest, if any, on, or the principal (including any Redemption Price and any Fundamental Change Repurchase Price) of, the Notes when due that has not been cured pursuant to the provisions of Section 6.01, (ii) a failure by the Company to pay or deliver, as the case may be, the consideration due upon conversion of the Notes or (iii) a default in respect of a covenant or provision hereof which under Article 10 cannot be modified or amended without the consent of each Holder of an outstanding Note affected; and (y) rescind any resulting acceleration of the Notes and its consequences if (i) such rescission would not conflict with any judgment or decree of a court of competent jurisdiction and (ii) all existing Events of Default (other than nonpayment of the principal of, and interest on, the Notes that have become due solely by such acceleration) have been cured or waived. Upon any such waiver the Company, the Trustee and the Holders of the Notes shall be restored to their former positions and rights hereunder; but no such waiver shall extend to any subsequent or other Default or Event of Default or impair any right consequent thereon. Whenever any Default or Event of Default hereunder shall have been waived as permitted by this Section 6.09, said Default or Event of Default shall for all purposes of the Notes and this Indenture be deemed to have been cured and to be not continuing; but no such waiver shall extend to any subsequent or other Default or Event of Default or impair any right consequent thereon.</w:t>
      </w:r>
    </w:p>
    <w:p>
      <w:pPr>
        <w:spacing w:after="0" w:line="165"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6"/>
          <w:szCs w:val="16"/>
          <w:color w:val="auto"/>
        </w:rPr>
        <w:t xml:space="preserve">Section 6.10. </w:t>
      </w:r>
      <w:r>
        <w:rPr>
          <w:rFonts w:ascii="Times New Roman" w:cs="Times New Roman" w:eastAsia="Times New Roman" w:hAnsi="Times New Roman"/>
          <w:sz w:val="16"/>
          <w:szCs w:val="16"/>
          <w:i w:val="1"/>
          <w:iCs w:val="1"/>
          <w:color w:val="auto"/>
        </w:rPr>
        <w:t>Notice of Defaults.</w:t>
      </w:r>
      <w:r>
        <w:rPr>
          <w:rFonts w:ascii="Times New Roman" w:cs="Times New Roman" w:eastAsia="Times New Roman" w:hAnsi="Times New Roman"/>
          <w:sz w:val="16"/>
          <w:szCs w:val="16"/>
          <w:color w:val="auto"/>
        </w:rPr>
        <w:t xml:space="preserve"> The Trustee shall, within 90 days after a Responsible Officer obtains actual knowledge of the occurrence and continuance of a Default, deliver to all Holders notice of all Defaults known to a Responsible Officer, unless such Defaults shall have been cured or waived before the giving of such notice;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except in the case of a Default in the payment of the principal of (including the Redemption Price and the Fundamental Change Repurchase Price, if applicable), or accrued and unpaid interest on, any of the Notes or a Default in the payment or delivery of the consideration due upon conversion, the Trustee shall be protected in withholding such notice if and so long as a Responsible Officer determines in good faith that the withholding of such notice is in the interests of the Holders.</w:t>
      </w:r>
    </w:p>
    <w:p>
      <w:pPr>
        <w:spacing w:after="0" w:line="162" w:lineRule="exact"/>
        <w:rPr>
          <w:sz w:val="20"/>
          <w:szCs w:val="20"/>
          <w:color w:val="auto"/>
        </w:rPr>
      </w:pPr>
    </w:p>
    <w:p>
      <w:pPr>
        <w:jc w:val="both"/>
        <w:ind w:firstLine="382"/>
        <w:spacing w:after="0" w:line="253" w:lineRule="auto"/>
        <w:rPr>
          <w:sz w:val="20"/>
          <w:szCs w:val="20"/>
          <w:color w:val="auto"/>
        </w:rPr>
      </w:pPr>
      <w:r>
        <w:rPr>
          <w:rFonts w:ascii="Times New Roman" w:cs="Times New Roman" w:eastAsia="Times New Roman" w:hAnsi="Times New Roman"/>
          <w:sz w:val="16"/>
          <w:szCs w:val="16"/>
          <w:color w:val="auto"/>
        </w:rPr>
        <w:t xml:space="preserve">Section 6.11. </w:t>
      </w:r>
      <w:r>
        <w:rPr>
          <w:rFonts w:ascii="Times New Roman" w:cs="Times New Roman" w:eastAsia="Times New Roman" w:hAnsi="Times New Roman"/>
          <w:sz w:val="16"/>
          <w:szCs w:val="16"/>
          <w:i w:val="1"/>
          <w:iCs w:val="1"/>
          <w:color w:val="auto"/>
        </w:rPr>
        <w:t>Undertaking to Pay Costs.</w:t>
      </w:r>
      <w:r>
        <w:rPr>
          <w:rFonts w:ascii="Times New Roman" w:cs="Times New Roman" w:eastAsia="Times New Roman" w:hAnsi="Times New Roman"/>
          <w:sz w:val="16"/>
          <w:szCs w:val="16"/>
          <w:color w:val="auto"/>
        </w:rPr>
        <w:t xml:space="preserve"> All parties to this Indenture agree, and each Holder of any Note by its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provisions of this Section 6.11 (to the extent permitted by law) shall not apply to any suit instituted by the Trustee, to any suit instituted by any Holder, or group of Holders, holding in the aggregate more than 10% in principal amount of the Notes at the time outstanding determined in accordance with Section 8.04, or to any suit instituted by any Holder for the enforcement of the payment of the principal of or accrued and unpaid interest, if any, on any Note (including, but not limited to, the Redemption Price and the Fundamental Change Repurchase Price, if applicable) on or after the due date expressed or provided for in such Note or to any suit for the enforcement of the right to convert any Note, or receive the consideration due upon conversion, in accordance with the provisions of Article 14.</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6"/>
          <w:szCs w:val="16"/>
          <w:color w:val="auto"/>
        </w:rPr>
        <w:t>ARTICLE 7</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w:t>
      </w:r>
      <w:r>
        <w:rPr>
          <w:rFonts w:ascii="Times New Roman" w:cs="Times New Roman" w:eastAsia="Times New Roman" w:hAnsi="Times New Roman"/>
          <w:sz w:val="10"/>
          <w:szCs w:val="10"/>
          <w:color w:val="auto"/>
        </w:rPr>
        <w:t>oncerning the</w:t>
      </w:r>
      <w:r>
        <w:rPr>
          <w:rFonts w:ascii="Times New Roman" w:cs="Times New Roman" w:eastAsia="Times New Roman" w:hAnsi="Times New Roman"/>
          <w:sz w:val="16"/>
          <w:szCs w:val="16"/>
          <w:color w:val="auto"/>
        </w:rPr>
        <w:t xml:space="preserve"> T</w:t>
      </w:r>
      <w:r>
        <w:rPr>
          <w:rFonts w:ascii="Times New Roman" w:cs="Times New Roman" w:eastAsia="Times New Roman" w:hAnsi="Times New Roman"/>
          <w:sz w:val="10"/>
          <w:szCs w:val="10"/>
          <w:color w:val="auto"/>
        </w:rPr>
        <w:t>rustee</w:t>
      </w:r>
    </w:p>
    <w:p>
      <w:pPr>
        <w:spacing w:after="0" w:line="180" w:lineRule="exact"/>
        <w:rPr>
          <w:sz w:val="20"/>
          <w:szCs w:val="20"/>
          <w:color w:val="auto"/>
        </w:rPr>
      </w:pPr>
    </w:p>
    <w:p>
      <w:pPr>
        <w:jc w:val="both"/>
        <w:ind w:firstLine="382"/>
        <w:spacing w:after="0" w:line="255" w:lineRule="auto"/>
        <w:rPr>
          <w:sz w:val="20"/>
          <w:szCs w:val="20"/>
          <w:color w:val="auto"/>
        </w:rPr>
      </w:pPr>
      <w:r>
        <w:rPr>
          <w:rFonts w:ascii="Times New Roman" w:cs="Times New Roman" w:eastAsia="Times New Roman" w:hAnsi="Times New Roman"/>
          <w:sz w:val="16"/>
          <w:szCs w:val="16"/>
          <w:color w:val="auto"/>
        </w:rPr>
        <w:t xml:space="preserve">Section 7.01. </w:t>
      </w:r>
      <w:r>
        <w:rPr>
          <w:rFonts w:ascii="Times New Roman" w:cs="Times New Roman" w:eastAsia="Times New Roman" w:hAnsi="Times New Roman"/>
          <w:sz w:val="16"/>
          <w:szCs w:val="16"/>
          <w:i w:val="1"/>
          <w:iCs w:val="1"/>
          <w:color w:val="auto"/>
        </w:rPr>
        <w:t>Duties and Responsibilities of Trustee.</w:t>
      </w:r>
      <w:r>
        <w:rPr>
          <w:rFonts w:ascii="Times New Roman" w:cs="Times New Roman" w:eastAsia="Times New Roman" w:hAnsi="Times New Roman"/>
          <w:sz w:val="16"/>
          <w:szCs w:val="16"/>
          <w:color w:val="auto"/>
        </w:rPr>
        <w:t xml:space="preserve"> The Trustee, prior to the occurrence of an Event of Default and after the curing or waiver of all Events of Default that may have occurred, undertakes to perform such duties and only such duties as are specifically set forth in this Indenture. In the event an Event of Default has occurred and is continuing, the Trustee shall exercise such of the rights and powers vested in it by this Indenture, and use the same degree of care and skill in its exercise, as a prudent person would exercise or use under the circumstances in the conduct of such person’s own affairs;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an Event of Default occurs and is continuing, the Trustee will be under no obligation to exercise any of the rights or powers under this Indenture at the request or direction of any of the Holders unless such Holders have offered, and if requested, provided, to the Trustee indemnity or security satisfactory to the Trustee against any loss, liability, cost or expense that might be incurred by it in compliance with such request or direction.</w:t>
      </w:r>
    </w:p>
    <w:p>
      <w:pPr>
        <w:spacing w:after="0" w:line="1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No provision of this Indenture shall be construed to relieve the Trustee from liability for its own gross negligence or its own willful misconduct, except that:</w:t>
      </w:r>
    </w:p>
    <w:p>
      <w:pPr>
        <w:spacing w:after="0" w:line="198" w:lineRule="exact"/>
        <w:rPr>
          <w:sz w:val="20"/>
          <w:szCs w:val="20"/>
          <w:color w:val="auto"/>
        </w:rPr>
      </w:pPr>
    </w:p>
    <w:p>
      <w:pPr>
        <w:ind w:right="20" w:firstLine="1143"/>
        <w:spacing w:after="0" w:line="280" w:lineRule="auto"/>
        <w:tabs>
          <w:tab w:leader="none" w:pos="1376"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occurrence of an Event of Default of which a Responsible Officer of the Trustee has written or actual knowledge and after the curing or waiving of all Events of Default that may have occurred:</w:t>
      </w:r>
    </w:p>
    <w:p>
      <w:pPr>
        <w:spacing w:after="0" w:line="144" w:lineRule="exact"/>
        <w:rPr>
          <w:rFonts w:ascii="Times New Roman" w:cs="Times New Roman" w:eastAsia="Times New Roman" w:hAnsi="Times New Roman"/>
          <w:sz w:val="16"/>
          <w:szCs w:val="16"/>
          <w:color w:val="auto"/>
        </w:rPr>
      </w:pPr>
    </w:p>
    <w:p>
      <w:pPr>
        <w:jc w:val="both"/>
        <w:ind w:firstLine="1716"/>
        <w:spacing w:after="0" w:line="265" w:lineRule="auto"/>
        <w:tabs>
          <w:tab w:leader="none" w:pos="1954" w:val="left"/>
        </w:tabs>
        <w:numPr>
          <w:ilvl w:val="1"/>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duties and obligations of the Trustee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w:t>
      </w:r>
    </w:p>
    <w:p>
      <w:pPr>
        <w:spacing w:after="0" w:line="155" w:lineRule="exact"/>
        <w:rPr>
          <w:rFonts w:ascii="Times New Roman" w:cs="Times New Roman" w:eastAsia="Times New Roman" w:hAnsi="Times New Roman"/>
          <w:sz w:val="16"/>
          <w:szCs w:val="16"/>
          <w:color w:val="auto"/>
        </w:rPr>
      </w:pPr>
    </w:p>
    <w:p>
      <w:pPr>
        <w:jc w:val="both"/>
        <w:ind w:firstLine="1716"/>
        <w:spacing w:after="0" w:line="254" w:lineRule="auto"/>
        <w:tabs>
          <w:tab w:leader="none" w:pos="1967" w:val="left"/>
        </w:tabs>
        <w:numPr>
          <w:ilvl w:val="1"/>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absence of gross negligence and willful misconduct on the part of the Trustee, the Trustee may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provisions hereof are specifically required to be furnished to the Trustee, the Trustee shall be under a duty to examine the same to determine whether or not they conform to the requirements of this Indenture (but need not confirm or investigate the accuracy of any mathematical calculations or other facts stated therein); provided, however, that the Trustee need not act or refrain from acting based on any certificate or opinion that it determines to be not in conformity with the requirements of this Indenture. If presented with a non-conforming certificate or opinion, the Trustee may request the delivering party to re-issue the certificate or opinion in the manner required by this Indenture before taking any action;</w:t>
      </w:r>
    </w:p>
    <w:p>
      <w:pPr>
        <w:spacing w:after="0" w:line="166" w:lineRule="exact"/>
        <w:rPr>
          <w:rFonts w:ascii="Times New Roman" w:cs="Times New Roman" w:eastAsia="Times New Roman" w:hAnsi="Times New Roman"/>
          <w:sz w:val="16"/>
          <w:szCs w:val="16"/>
          <w:color w:val="auto"/>
        </w:rPr>
      </w:pPr>
    </w:p>
    <w:p>
      <w:pPr>
        <w:ind w:right="20" w:firstLine="1143"/>
        <w:spacing w:after="0" w:line="280" w:lineRule="auto"/>
        <w:tabs>
          <w:tab w:leader="none" w:pos="1373"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not be liable for any error of judgment made in good faith by a Responsible Officer or Officers of the Trustee, unless it shall be proved in a court of competent jurisdiction in a final and non-appealable decision that the Trustee was grossly negligent in ascertaining the pertinent facts;</w:t>
      </w:r>
    </w:p>
    <w:p>
      <w:pPr>
        <w:spacing w:after="0" w:line="144"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76"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not be liable with respect to any action taken or omitted to be taken by it in good faith in accordance with the written direction of the Holders of not less than a majority of the aggregate principal amount of the Notes at the time outstanding determined as provided in Section 8.04 relating to the time, method and place of conducting any proceeding for any remedy available to the Trustee, or exercising any trust or power conferred upon the Trustee, under this Indenture;</w:t>
      </w:r>
    </w:p>
    <w:p>
      <w:pPr>
        <w:spacing w:after="0" w:line="155" w:lineRule="exact"/>
        <w:rPr>
          <w:sz w:val="20"/>
          <w:szCs w:val="20"/>
          <w:color w:val="auto"/>
        </w:rPr>
      </w:pPr>
    </w:p>
    <w:p>
      <w:pPr>
        <w:ind w:right="20" w:firstLine="1147"/>
        <w:spacing w:after="0" w:line="280" w:lineRule="auto"/>
        <w:rPr>
          <w:sz w:val="20"/>
          <w:szCs w:val="20"/>
          <w:color w:val="auto"/>
        </w:rPr>
      </w:pPr>
      <w:r>
        <w:rPr>
          <w:rFonts w:ascii="Times New Roman" w:cs="Times New Roman" w:eastAsia="Times New Roman" w:hAnsi="Times New Roman"/>
          <w:sz w:val="16"/>
          <w:szCs w:val="16"/>
          <w:color w:val="auto"/>
        </w:rPr>
        <w:t>(d)whether or not therein provided, every provision of this Indenture relating to the conduct or affecting the liability of, or affording protection to, the Trustee shall be subject to the provisions of this Section 7.01;</w:t>
      </w:r>
    </w:p>
    <w:p>
      <w:pPr>
        <w:spacing w:after="0" w:line="144" w:lineRule="exact"/>
        <w:rPr>
          <w:sz w:val="20"/>
          <w:szCs w:val="20"/>
          <w:color w:val="auto"/>
        </w:rPr>
      </w:pPr>
    </w:p>
    <w:p>
      <w:pPr>
        <w:ind w:right="20" w:firstLine="1143"/>
        <w:spacing w:after="0" w:line="280" w:lineRule="auto"/>
        <w:tabs>
          <w:tab w:leader="none" w:pos="1364"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not be liable in respect of any payment (as to the correctness of amount, entitlement to receive or any other matters relating to payment) or notice effected by the Company or any Paying Agent or any records maintained by any co-Note Registrar with respect to the Notes;</w:t>
      </w:r>
    </w:p>
    <w:p>
      <w:pPr>
        <w:spacing w:after="0" w:line="144"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91"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any party fails to deliver a notice relating to an event the fact of which, pursuant to this Indenture, requires notice to be sent to the Trustee, the Trustee may conclusively rely on its failure to receive such notice as reason to act as if no such event occurred, unless a Responsible Officer of the Trustee had actual knowledge of such event;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5" w:name="page66"/>
    <w:bookmarkEnd w:id="65"/>
    <w:p>
      <w:pPr>
        <w:jc w:val="both"/>
        <w:ind w:firstLine="1143"/>
        <w:spacing w:after="0" w:line="257" w:lineRule="auto"/>
        <w:tabs>
          <w:tab w:leader="none" w:pos="1373"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absence of written investment direction from the Company, all cash received by the Trustee shall be placed in a non-interest bearing trust account, and in no event shall the Trustee be liable for the selection of investments or for investment losses incurred thereon or for losses incurred as a result of the liquidation of any such investment prior to its maturity date or the failure of the party directing such investments prior to its maturity date or the failure of the party directing such investment to provide timely written investment direction, and the Trustee shall have no obligation to invest or reinvest any amounts held hereunder in the absence of such written investment direction from the Company;</w:t>
      </w:r>
    </w:p>
    <w:p>
      <w:pPr>
        <w:spacing w:after="0" w:line="162"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no circumstances shall the Trustee be liable in its individual capacity for the obligations evidenced by the Notes; and</w:t>
      </w:r>
    </w:p>
    <w:p>
      <w:pPr>
        <w:spacing w:after="0" w:line="198"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79"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that the Trustee is also acting as Custodian, Note Registrar, Paying Agent, Conversion Agent, transfer agent, or any other agent hereunder, the rights and protections afforded to the Trustee pursuant to this Article 7 shall also be afforded to such Custodian, Note Registrar, Paying Agent, Conversion Agent, transfer agent, or any other agent hereunder.</w:t>
      </w:r>
    </w:p>
    <w:p>
      <w:pPr>
        <w:spacing w:after="0" w:line="155" w:lineRule="exact"/>
        <w:rPr>
          <w:sz w:val="20"/>
          <w:szCs w:val="20"/>
          <w:color w:val="auto"/>
        </w:rPr>
      </w:pPr>
    </w:p>
    <w:p>
      <w:pPr>
        <w:ind w:firstLine="382"/>
        <w:spacing w:after="0" w:line="280" w:lineRule="auto"/>
        <w:rPr>
          <w:sz w:val="20"/>
          <w:szCs w:val="20"/>
          <w:color w:val="auto"/>
        </w:rPr>
      </w:pPr>
      <w:r>
        <w:rPr>
          <w:rFonts w:ascii="Times New Roman" w:cs="Times New Roman" w:eastAsia="Times New Roman" w:hAnsi="Times New Roman"/>
          <w:sz w:val="16"/>
          <w:szCs w:val="16"/>
          <w:color w:val="auto"/>
        </w:rPr>
        <w:t>None of the provisions contained in this Indenture shall require the Trustee to expend or risk its own funds or otherwise incur personal financial liability in the performance of any of its duties hereunder or in the exercise of any of its rights or powers.</w:t>
      </w:r>
    </w:p>
    <w:p>
      <w:pPr>
        <w:spacing w:after="0" w:line="14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7.02. </w:t>
      </w:r>
      <w:r>
        <w:rPr>
          <w:rFonts w:ascii="Times New Roman" w:cs="Times New Roman" w:eastAsia="Times New Roman" w:hAnsi="Times New Roman"/>
          <w:sz w:val="16"/>
          <w:szCs w:val="16"/>
          <w:i w:val="1"/>
          <w:iCs w:val="1"/>
          <w:color w:val="auto"/>
        </w:rPr>
        <w:t>Reliance on Documents, Opinions, Etc.</w:t>
      </w:r>
      <w:r>
        <w:rPr>
          <w:rFonts w:ascii="Times New Roman" w:cs="Times New Roman" w:eastAsia="Times New Roman" w:hAnsi="Times New Roman"/>
          <w:sz w:val="16"/>
          <w:szCs w:val="16"/>
          <w:color w:val="auto"/>
        </w:rPr>
        <w:t xml:space="preserve"> Except as otherwise provided in Section 7.01:</w:t>
      </w:r>
    </w:p>
    <w:p>
      <w:pPr>
        <w:spacing w:after="0" w:line="200" w:lineRule="exact"/>
        <w:rPr>
          <w:sz w:val="20"/>
          <w:szCs w:val="20"/>
          <w:color w:val="auto"/>
        </w:rPr>
      </w:pPr>
    </w:p>
    <w:p>
      <w:pPr>
        <w:jc w:val="both"/>
        <w:ind w:firstLine="1143"/>
        <w:spacing w:after="0" w:line="265" w:lineRule="auto"/>
        <w:tabs>
          <w:tab w:leader="none" w:pos="1364"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may conclusively rely and shall be fully protected in acting or refraining from acting upon any resolution, certificate, statement, instrument, opinion, report, notice, request, consent, order, bond, debenture, note, coupon or other paper or document believed by it in good faith to be genuine and to have been signed or presented by the proper party or parties;</w:t>
      </w:r>
    </w:p>
    <w:p>
      <w:pPr>
        <w:spacing w:after="0" w:line="155"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73"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request, direction, order or demand of the Company mentioned herein shall be sufficiently evidenced by an Officer’s Certificate (unless other evidence in respect thereof be herein specifically prescribed); and any Board Resolution may be evidenced to the Trustee by a copy thereof certified by the Secretary or an Assistant Secretary of the Company;</w:t>
      </w:r>
    </w:p>
    <w:p>
      <w:pPr>
        <w:spacing w:after="0" w:line="155"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76"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gross negligence or willful misconduct on its part, conclusively rely upon an Officer’s Certificate;</w:t>
      </w:r>
    </w:p>
    <w:p>
      <w:pPr>
        <w:spacing w:after="0" w:line="155" w:lineRule="exact"/>
        <w:rPr>
          <w:rFonts w:ascii="Times New Roman" w:cs="Times New Roman" w:eastAsia="Times New Roman" w:hAnsi="Times New Roman"/>
          <w:sz w:val="16"/>
          <w:szCs w:val="16"/>
          <w:color w:val="auto"/>
        </w:rPr>
      </w:pPr>
    </w:p>
    <w:p>
      <w:pPr>
        <w:jc w:val="both"/>
        <w:ind w:right="20" w:firstLine="1143"/>
        <w:spacing w:after="0" w:line="315" w:lineRule="auto"/>
        <w:tabs>
          <w:tab w:leader="none" w:pos="1373"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may consult with counsel of its selection, and require an Opinion of Counsel and any advice of such counsel or Opinion of Counsel shall be full and complete authorization and protection in respect of any action taken or omitted by it hereunder in good faith and in accordance with such advice or Opinion of Counsel;</w:t>
      </w:r>
    </w:p>
    <w:p>
      <w:pPr>
        <w:spacing w:after="0" w:line="120" w:lineRule="exact"/>
        <w:rPr>
          <w:rFonts w:ascii="Times New Roman" w:cs="Times New Roman" w:eastAsia="Times New Roman" w:hAnsi="Times New Roman"/>
          <w:sz w:val="15"/>
          <w:szCs w:val="15"/>
          <w:color w:val="auto"/>
        </w:rPr>
      </w:pPr>
    </w:p>
    <w:p>
      <w:pPr>
        <w:jc w:val="both"/>
        <w:ind w:right="20" w:firstLine="1143"/>
        <w:spacing w:after="0" w:line="282" w:lineRule="auto"/>
        <w:tabs>
          <w:tab w:leader="none" w:pos="1376"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shall not be bound to make any investigation into the facts or matters stated in any resolution, certificate, statement, instrument, opinion, report, notice, request, direction, consent, order, bond, debenture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expense of the Company and shall incur no liability of any kind by reason of such inquiry or investigation;</w:t>
      </w:r>
    </w:p>
    <w:p>
      <w:pPr>
        <w:spacing w:after="0" w:line="145" w:lineRule="exact"/>
        <w:rPr>
          <w:rFonts w:ascii="Times New Roman" w:cs="Times New Roman" w:eastAsia="Times New Roman" w:hAnsi="Times New Roman"/>
          <w:sz w:val="15"/>
          <w:szCs w:val="15"/>
          <w:color w:val="auto"/>
        </w:rPr>
      </w:pPr>
    </w:p>
    <w:p>
      <w:pPr>
        <w:jc w:val="both"/>
        <w:ind w:firstLine="1143"/>
        <w:spacing w:after="0" w:line="265" w:lineRule="auto"/>
        <w:tabs>
          <w:tab w:leader="none" w:pos="1421"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may execute any of the trusts or powers hereunder or perform any duties hereunder either directly or by or through agents, custodians, nominees or attorneys and the Trustee shall not be responsible for any misconduct or negligence on the part of any agent, custodian, nominee or attorney appointed by it with due care hereunder;</w:t>
      </w:r>
    </w:p>
    <w:p>
      <w:pPr>
        <w:spacing w:after="0" w:line="155"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permissive rights of the Trustee enumerated herein shall not be construed as duties;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6" w:name="page67"/>
    <w:bookmarkEnd w:id="66"/>
    <w:p>
      <w:pPr>
        <w:jc w:val="both"/>
        <w:ind w:firstLine="1143"/>
        <w:spacing w:after="0" w:line="265" w:lineRule="auto"/>
        <w:tabs>
          <w:tab w:leader="none" w:pos="1373"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may request that the Company deliver an Officer’s Certificate setting forth the names of the individuals and/or titles of officers authorized at such times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55" w:lineRule="exact"/>
        <w:rPr>
          <w:rFonts w:ascii="Times New Roman" w:cs="Times New Roman" w:eastAsia="Times New Roman" w:hAnsi="Times New Roman"/>
          <w:sz w:val="16"/>
          <w:szCs w:val="16"/>
          <w:color w:val="auto"/>
        </w:rPr>
      </w:pPr>
    </w:p>
    <w:p>
      <w:pPr>
        <w:ind w:left="1380" w:hanging="237"/>
        <w:spacing w:after="0"/>
        <w:tabs>
          <w:tab w:leader="none" w:pos="138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shall not be responsible or liable for any action it takes or omits to take in good faith which it reasonably believes to be authorized or within its</w:t>
      </w:r>
    </w:p>
    <w:p>
      <w:pPr>
        <w:spacing w:after="0" w:line="35"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rights or powers;</w:t>
      </w:r>
    </w:p>
    <w:p>
      <w:pPr>
        <w:spacing w:after="0" w:line="181" w:lineRule="exact"/>
        <w:rPr>
          <w:rFonts w:ascii="Times New Roman" w:cs="Times New Roman" w:eastAsia="Times New Roman" w:hAnsi="Times New Roman"/>
          <w:sz w:val="15"/>
          <w:szCs w:val="15"/>
          <w:color w:val="auto"/>
        </w:rPr>
      </w:pPr>
    </w:p>
    <w:p>
      <w:pPr>
        <w:ind w:left="1380" w:hanging="237"/>
        <w:spacing w:after="0"/>
        <w:tabs>
          <w:tab w:leader="none" w:pos="138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not be required to give any bond or surety in respect of its powers and duties hereunder; and</w:t>
      </w:r>
    </w:p>
    <w:p>
      <w:pPr>
        <w:spacing w:after="0" w:line="198" w:lineRule="exact"/>
        <w:rPr>
          <w:rFonts w:ascii="Times New Roman" w:cs="Times New Roman" w:eastAsia="Times New Roman" w:hAnsi="Times New Roman"/>
          <w:sz w:val="16"/>
          <w:szCs w:val="16"/>
          <w:color w:val="auto"/>
        </w:rPr>
      </w:pPr>
    </w:p>
    <w:p>
      <w:pPr>
        <w:jc w:val="both"/>
        <w:ind w:firstLine="1143"/>
        <w:spacing w:after="0" w:line="257" w:lineRule="auto"/>
        <w:tabs>
          <w:tab w:leader="none" w:pos="1373"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Trustee nor any of its directors, officers, employees, agents, or affiliates shall be responsible for nor have any duty to monitor the performance or any action of the Company, or any of their respective directors, members, officers, agents, affiliates, or employees, nor shall it have any liability in connection with the malfeasance or nonfeasance by such party. The Trustee shall not be responsible for any inaccuracy or omission in the information obtained from the Company or for any inaccuracy or omission in the records which may result from such information or any failure by the Trustee to perform its duties or set forth herein as a result of any inaccuracy or incompleteness.</w:t>
      </w:r>
    </w:p>
    <w:p>
      <w:pPr>
        <w:spacing w:after="0" w:line="162" w:lineRule="exact"/>
        <w:rPr>
          <w:sz w:val="20"/>
          <w:szCs w:val="20"/>
          <w:color w:val="auto"/>
        </w:rPr>
      </w:pPr>
    </w:p>
    <w:p>
      <w:pPr>
        <w:jc w:val="both"/>
        <w:ind w:right="20" w:firstLine="382"/>
        <w:spacing w:after="0" w:line="257" w:lineRule="auto"/>
        <w:rPr>
          <w:sz w:val="20"/>
          <w:szCs w:val="20"/>
          <w:color w:val="auto"/>
        </w:rPr>
      </w:pPr>
      <w:r>
        <w:rPr>
          <w:rFonts w:ascii="Times New Roman" w:cs="Times New Roman" w:eastAsia="Times New Roman" w:hAnsi="Times New Roman"/>
          <w:sz w:val="16"/>
          <w:szCs w:val="16"/>
          <w:color w:val="auto"/>
        </w:rPr>
        <w:t>In no event shall the Trustee be liable for any special, indirect, punitive, or consequential loss or damage of any kind whatsoever (including but not limited to lost profits), even if the Trustee has been advised of the likelihood of such loss or damage and regardless of the form of action. The Trustee shall not be charged with knowledge of any Default or Event of Default with respect to the Notes, unless either (1) a Responsible Officer shall have actual knowledge of such Default or Event of Default or (2) written notice of such Default or Event of Default shall have been given to the Trustee and actually received by a Responsible Officer at the Corporate Trust Office of the Trustee by the Company or by any Holder or any agent of any Holder, referencing this Indenture and/or of the Notes and stating that it is a “notice of default.”</w:t>
      </w:r>
    </w:p>
    <w:p>
      <w:pPr>
        <w:spacing w:after="0" w:line="160"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6"/>
          <w:szCs w:val="16"/>
          <w:color w:val="auto"/>
        </w:rPr>
        <w:t xml:space="preserve">Section 7.03. </w:t>
      </w:r>
      <w:r>
        <w:rPr>
          <w:rFonts w:ascii="Times New Roman" w:cs="Times New Roman" w:eastAsia="Times New Roman" w:hAnsi="Times New Roman"/>
          <w:sz w:val="16"/>
          <w:szCs w:val="16"/>
          <w:i w:val="1"/>
          <w:iCs w:val="1"/>
          <w:color w:val="auto"/>
        </w:rPr>
        <w:t>No Responsibility for Recitals, Etc.</w:t>
      </w:r>
      <w:r>
        <w:rPr>
          <w:rFonts w:ascii="Times New Roman" w:cs="Times New Roman" w:eastAsia="Times New Roman" w:hAnsi="Times New Roman"/>
          <w:sz w:val="16"/>
          <w:szCs w:val="16"/>
          <w:color w:val="auto"/>
        </w:rPr>
        <w:t xml:space="preserve"> The recitals contained herein and in the Notes (except in the Trustee’s certificate of authentication) shall be taken as the statements of the Company, and the Trustee assumes no responsibility for the correctness of the same. The Trustee makes no representations as to the validity, enforceability or sufficiency of this Indenture or of the Notes. The Trustee shall not be accountable for the use or application by the Company of any Notes or the proceeds of any Notes authenticated and delivered by the Trustee in conformity with the provisions of this Indenture or any money paid to the Company or upon the Company’s direction under any provision of this Indenture. The Trustee shall have no responsibility or liability with respect to any information, statement or recital in any disclosure material prepared or distributed with respect to the issuance of the Notes.</w:t>
      </w:r>
    </w:p>
    <w:p>
      <w:pPr>
        <w:spacing w:after="0" w:line="161" w:lineRule="exact"/>
        <w:rPr>
          <w:sz w:val="20"/>
          <w:szCs w:val="20"/>
          <w:color w:val="auto"/>
        </w:rPr>
      </w:pPr>
    </w:p>
    <w:p>
      <w:pPr>
        <w:jc w:val="both"/>
        <w:ind w:firstLine="382"/>
        <w:spacing w:after="0" w:line="266" w:lineRule="auto"/>
        <w:rPr>
          <w:sz w:val="20"/>
          <w:szCs w:val="20"/>
          <w:color w:val="auto"/>
        </w:rPr>
      </w:pPr>
      <w:r>
        <w:rPr>
          <w:rFonts w:ascii="Times New Roman" w:cs="Times New Roman" w:eastAsia="Times New Roman" w:hAnsi="Times New Roman"/>
          <w:sz w:val="16"/>
          <w:szCs w:val="16"/>
          <w:color w:val="auto"/>
        </w:rPr>
        <w:t xml:space="preserve">Section 7.04. </w:t>
      </w:r>
      <w:r>
        <w:rPr>
          <w:rFonts w:ascii="Times New Roman" w:cs="Times New Roman" w:eastAsia="Times New Roman" w:hAnsi="Times New Roman"/>
          <w:sz w:val="16"/>
          <w:szCs w:val="16"/>
          <w:i w:val="1"/>
          <w:iCs w:val="1"/>
          <w:color w:val="auto"/>
        </w:rPr>
        <w:t>Trustee, Paying Agents, Conversion Agents or Note Registrar May Own Notes.</w:t>
      </w:r>
      <w:r>
        <w:rPr>
          <w:rFonts w:ascii="Times New Roman" w:cs="Times New Roman" w:eastAsia="Times New Roman" w:hAnsi="Times New Roman"/>
          <w:sz w:val="16"/>
          <w:szCs w:val="16"/>
          <w:color w:val="auto"/>
        </w:rPr>
        <w:t xml:space="preserve"> The Trustee, any Paying Agent, any Conversion Agent or Note Registrar, in its individual or any other capacity, may become the owner or pledgee of Notes with the same rights it would have if it were not the Trustee, Paying Agent, Conversion Agent or Note Registrar.</w:t>
      </w:r>
    </w:p>
    <w:p>
      <w:pPr>
        <w:spacing w:after="0" w:line="153" w:lineRule="exact"/>
        <w:rPr>
          <w:sz w:val="20"/>
          <w:szCs w:val="20"/>
          <w:color w:val="auto"/>
        </w:rPr>
      </w:pPr>
    </w:p>
    <w:p>
      <w:pPr>
        <w:jc w:val="both"/>
        <w:ind w:right="20" w:firstLine="382"/>
        <w:spacing w:after="0" w:line="256" w:lineRule="auto"/>
        <w:rPr>
          <w:sz w:val="20"/>
          <w:szCs w:val="20"/>
          <w:color w:val="auto"/>
        </w:rPr>
      </w:pPr>
      <w:r>
        <w:rPr>
          <w:rFonts w:ascii="Times New Roman" w:cs="Times New Roman" w:eastAsia="Times New Roman" w:hAnsi="Times New Roman"/>
          <w:sz w:val="16"/>
          <w:szCs w:val="16"/>
          <w:color w:val="auto"/>
        </w:rPr>
        <w:t xml:space="preserve">Section 7.05. </w:t>
      </w:r>
      <w:r>
        <w:rPr>
          <w:rFonts w:ascii="Times New Roman" w:cs="Times New Roman" w:eastAsia="Times New Roman" w:hAnsi="Times New Roman"/>
          <w:sz w:val="16"/>
          <w:szCs w:val="16"/>
          <w:i w:val="1"/>
          <w:iCs w:val="1"/>
          <w:color w:val="auto"/>
        </w:rPr>
        <w:t>Monies and Shares of Common Stock to Be Held in Trust.</w:t>
      </w:r>
      <w:r>
        <w:rPr>
          <w:rFonts w:ascii="Times New Roman" w:cs="Times New Roman" w:eastAsia="Times New Roman" w:hAnsi="Times New Roman"/>
          <w:sz w:val="16"/>
          <w:szCs w:val="16"/>
          <w:color w:val="auto"/>
        </w:rPr>
        <w:t xml:space="preserve"> All monies and shares of Common Stock received by the Trustee shall, until used or applied as herein provided, be held in trust for the purposes for which they were received. Money and shares of Common Stock held by the Trustee in trust hereunder need not be segregated from other funds or property except to the extent required by law. The Trustee shall be under no liability for interest on any money or shares of Common Stock received by it hereunder except as may be agreed from time to time by the Company and the Trustee. The Trustee shall not be obligated to take possession of any Common Stock, whether on conversion or in connection with any discharge of this Indenture pursuant to Article 3 hereof, but shall satisfy its obligation as Conversion Agent by working through the stock transfer agent of the Company from time to time as directed by the Company.</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7" w:name="page68"/>
    <w:bookmarkEnd w:id="67"/>
    <w:p>
      <w:pPr>
        <w:jc w:val="both"/>
        <w:ind w:firstLine="382"/>
        <w:spacing w:after="0" w:line="251" w:lineRule="auto"/>
        <w:rPr>
          <w:sz w:val="20"/>
          <w:szCs w:val="20"/>
          <w:color w:val="auto"/>
        </w:rPr>
      </w:pPr>
      <w:r>
        <w:rPr>
          <w:rFonts w:ascii="Times New Roman" w:cs="Times New Roman" w:eastAsia="Times New Roman" w:hAnsi="Times New Roman"/>
          <w:sz w:val="16"/>
          <w:szCs w:val="16"/>
          <w:color w:val="auto"/>
        </w:rPr>
        <w:t xml:space="preserve">Section 7.06. </w:t>
      </w:r>
      <w:r>
        <w:rPr>
          <w:rFonts w:ascii="Times New Roman" w:cs="Times New Roman" w:eastAsia="Times New Roman" w:hAnsi="Times New Roman"/>
          <w:sz w:val="16"/>
          <w:szCs w:val="16"/>
          <w:i w:val="1"/>
          <w:iCs w:val="1"/>
          <w:color w:val="auto"/>
        </w:rPr>
        <w:t>Compensation and Expenses of Trustee.</w:t>
      </w:r>
      <w:r>
        <w:rPr>
          <w:rFonts w:ascii="Times New Roman" w:cs="Times New Roman" w:eastAsia="Times New Roman" w:hAnsi="Times New Roman"/>
          <w:sz w:val="16"/>
          <w:szCs w:val="16"/>
          <w:color w:val="auto"/>
        </w:rPr>
        <w:t xml:space="preserve"> The Company covenants and agrees to pay to the Trustee, in any capacity under this Indenture, from time to time and the Trustee shall receive such compensation agreed in writing between the Company and the Trustee for all services rendered by it hereunder in any capacity (which shall not be limited by any provision of law in regard to the compensation of a trustee of an express trust) as mutually agreed to in writing between the Trustee and the Company, and the Company will pay or reimburse the Trustee upon its request for all reasonable expenses, disbursements and advances reasonably incurred or made by the Trustee in accordance with any of the provisions of this Indenture in any capacity thereunder (including the reasonable compensation and the expenses and disbursements of its agents and counsel and of all Persons not regularly in its employ and including reasonable attorneys’ fees in connection with its enforcement of its rights to indemnity herein) except any such expense, disbursement or advance as shall have been caused by its gross negligence or willful misconduct, as determined by a final, non-appealable decision of a court of competent jurisdiction. The Company also covenants to indemnify the Trustee or any predecessor Trustee in any capacity under this Indenture and any other document or transaction entered into in connection herewith and its officers, directors, attorneys, employees and agents and any authenticating agent for, and to hold them harmless against, any loss, claim (whether asserted by the Company, a Holder or any other Person), damage, liability or expense (including reasonable attorneys’ fees) incurred without gross negligence or willful misconduct on the part of the Trustee, its officers, directors, agents or employees, or such agent or authenticating agent, as the case may be determined by a final, non-appealable decision of a court of competent jurisdiction, and arising out of or in connection with the acceptance or administration of this Indenture or in any other capacity hereunder, including the costs and expenses of defending themselves against any claim of liability in the premises and enforcement of this Section 7.06. The obligations of the Company under this Section 7.06 to compensate or indemnify the Trustee and to pay or reimburse the Trustee for expenses, disbursements and advances shall be secured by a senior lien to which the Notes are hereby made subordinate on all money or property held or collected by the Trustee, except, subject to the effect of Section 6.05, funds held in trust herewith for the benefit of the Holders of particular Notes, and, for the avoidance of doubt, such lien shall not be extended in a manner that would conflict with the Company’s obligations to its other creditors. The Trustee’s right to receive payment of any amounts due under this Section 7.06 shall not be subordinate to any other liability or indebtedness of the Company. The obligation of the Company under this Section 7.06 shall survive the satisfaction and discharge of this Indenture, the payment of the Notes, and the earlier resignation or removal of the Trustee. The Company need not pay for any settlement made without its consent, which consent shall not be unreasonably withheld. The indemnification provided in this Section 7.06 shall extend to the officers, directors, agents and employees of the Trustee.</w:t>
      </w:r>
    </w:p>
    <w:p>
      <w:pPr>
        <w:spacing w:after="0" w:line="169" w:lineRule="exact"/>
        <w:rPr>
          <w:sz w:val="20"/>
          <w:szCs w:val="20"/>
          <w:color w:val="auto"/>
        </w:rPr>
      </w:pPr>
    </w:p>
    <w:p>
      <w:pPr>
        <w:jc w:val="both"/>
        <w:ind w:firstLine="382"/>
        <w:spacing w:after="0" w:line="265" w:lineRule="auto"/>
        <w:rPr>
          <w:sz w:val="20"/>
          <w:szCs w:val="20"/>
          <w:color w:val="auto"/>
        </w:rPr>
      </w:pPr>
      <w:r>
        <w:rPr>
          <w:rFonts w:ascii="Times New Roman" w:cs="Times New Roman" w:eastAsia="Times New Roman" w:hAnsi="Times New Roman"/>
          <w:sz w:val="16"/>
          <w:szCs w:val="16"/>
          <w:color w:val="auto"/>
        </w:rPr>
        <w:t>Without prejudice to any other rights available to the Trustee under applicable law, when the Trustee and its agents and any authenticating agent incur expenses or render services after an Event of Default specified in Section 6.01(h) or Section 6.01(i) occurs, the expenses and the compensation for the services are intended to constitute expenses of administration under any bankruptcy, insolvency or similar laws.</w:t>
      </w:r>
    </w:p>
    <w:p>
      <w:pPr>
        <w:spacing w:after="0" w:line="153"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6"/>
          <w:szCs w:val="16"/>
          <w:color w:val="auto"/>
        </w:rPr>
        <w:t xml:space="preserve">Section 7.07. </w:t>
      </w:r>
      <w:r>
        <w:rPr>
          <w:rFonts w:ascii="Times New Roman" w:cs="Times New Roman" w:eastAsia="Times New Roman" w:hAnsi="Times New Roman"/>
          <w:sz w:val="16"/>
          <w:szCs w:val="16"/>
          <w:i w:val="1"/>
          <w:iCs w:val="1"/>
          <w:color w:val="auto"/>
        </w:rPr>
        <w:t>Officer’s Certificate and Opinion of Counsel as Evidence.</w:t>
      </w:r>
      <w:r>
        <w:rPr>
          <w:rFonts w:ascii="Times New Roman" w:cs="Times New Roman" w:eastAsia="Times New Roman" w:hAnsi="Times New Roman"/>
          <w:sz w:val="16"/>
          <w:szCs w:val="16"/>
          <w:color w:val="auto"/>
        </w:rPr>
        <w:t xml:space="preserve"> Except as otherwise provided in Section 7.01, whenever in the administration of the provisions of this Indenture the Trustee shall deem it necessary or desirable that a matter be proved or established prior to taking or omitting any action hereunder, such matter (unless other evidence in respect thereof be herein specifically prescribed) may, in the absence of gross negligence or willful misconduct on the part of the Trustee, be deemed to be conclusively proved and established by an Officer’s Certificate and Opinion of Counsel delivered to the Trustee, and such Officer’s Certificate and Opinion of Counsel, in the absence of gross negligence or willful misconduct on the part of the Trustee, shall be full warrant to the Trustee for any action taken or omitted by it under the provisions of this Indenture upon the faith thereof.</w:t>
      </w:r>
    </w:p>
    <w:p>
      <w:pPr>
        <w:spacing w:after="0" w:line="161"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6"/>
          <w:szCs w:val="16"/>
          <w:color w:val="auto"/>
        </w:rPr>
        <w:t xml:space="preserve">Section 7.08. </w:t>
      </w:r>
      <w:r>
        <w:rPr>
          <w:rFonts w:ascii="Times New Roman" w:cs="Times New Roman" w:eastAsia="Times New Roman" w:hAnsi="Times New Roman"/>
          <w:sz w:val="16"/>
          <w:szCs w:val="16"/>
          <w:i w:val="1"/>
          <w:iCs w:val="1"/>
          <w:color w:val="auto"/>
        </w:rPr>
        <w:t>Eligibility of Trustee.</w:t>
      </w:r>
      <w:r>
        <w:rPr>
          <w:rFonts w:ascii="Times New Roman" w:cs="Times New Roman" w:eastAsia="Times New Roman" w:hAnsi="Times New Roman"/>
          <w:sz w:val="16"/>
          <w:szCs w:val="16"/>
          <w:color w:val="auto"/>
        </w:rPr>
        <w:t xml:space="preserve"> There shall at all times be a Trustee hereunder which shall be a Person that is eligible pursuant to the Trust Indenture Act (as if the Trust Indenture Act were applicable hereto) to act as such and has a combined capital and surplus of at least the minimum amount required by the Trust Indenture Act. If such Person publishes reports of condition at least annually, pursuant to law or to the requirements of any supervising or examining authority, then for the purposes of this Section 7.08, the combined capital and surplus of such Person shall be deemed to be its combined capital and surplus as set forth in its most recent report of condition so published. If at any time the Trustee shall cease to be eligible in accordance with the provisions of this Section 7.08, it shall resign immediately in the manner and with the effect hereinafter specified in this Article.</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68" w:name="page69"/>
    <w:bookmarkEnd w:id="68"/>
    <w:p>
      <w:pPr>
        <w:jc w:val="both"/>
        <w:ind w:firstLine="382"/>
        <w:spacing w:after="0" w:line="254" w:lineRule="auto"/>
        <w:rPr>
          <w:sz w:val="20"/>
          <w:szCs w:val="20"/>
          <w:color w:val="auto"/>
        </w:rPr>
      </w:pPr>
      <w:r>
        <w:rPr>
          <w:rFonts w:ascii="Times New Roman" w:cs="Times New Roman" w:eastAsia="Times New Roman" w:hAnsi="Times New Roman"/>
          <w:sz w:val="16"/>
          <w:szCs w:val="16"/>
          <w:color w:val="auto"/>
        </w:rPr>
        <w:t xml:space="preserve">Section 7.09. </w:t>
      </w:r>
      <w:r>
        <w:rPr>
          <w:rFonts w:ascii="Times New Roman" w:cs="Times New Roman" w:eastAsia="Times New Roman" w:hAnsi="Times New Roman"/>
          <w:sz w:val="16"/>
          <w:szCs w:val="16"/>
          <w:i w:val="1"/>
          <w:iCs w:val="1"/>
          <w:color w:val="auto"/>
        </w:rPr>
        <w:t>Resignation or Removal of Trustee.</w:t>
      </w:r>
      <w:r>
        <w:rPr>
          <w:rFonts w:ascii="Times New Roman" w:cs="Times New Roman" w:eastAsia="Times New Roman" w:hAnsi="Times New Roman"/>
          <w:sz w:val="16"/>
          <w:szCs w:val="16"/>
          <w:color w:val="auto"/>
        </w:rPr>
        <w:t xml:space="preserve"> (a) The Trustee may at any time resign by giving written notice of such resignation to the Company and by delivering notice thereof to the Holders. Upon receiving such notice of resignation, the Company shall promptly appoint a successor trustee by written instrument, in duplicate, executed by an Officer of the Company, one copy of which instrument shall be delivered to the resigning Trustee and one copy to the successor trustee. If no successor trustee shall have been so appointed and have accepted appointment within 45 days after the giving of such notice of resignation to the Holders, the resigning Trustee may, at the expense of the Company, upon ten Business Days’ notice to the Company and the Holders, petition any court of competent jurisdiction, for the appointment of a successor trustee, or any Holder who has been a bona fide holder of a Note or Notes for at least six months (or since the date of this Indenture) may, subject to the provisions of Section 6.11, on behalf of himself or herself and all others similarly situated, petition any such court for the appointment of a successor trustee. Such court may thereupon, after such notice, if any, as it may deem proper and prescribe, appoint a successor trustee.</w:t>
      </w:r>
    </w:p>
    <w:p>
      <w:pPr>
        <w:spacing w:after="0" w:line="165" w:lineRule="exact"/>
        <w:rPr>
          <w:sz w:val="20"/>
          <w:szCs w:val="20"/>
          <w:color w:val="auto"/>
        </w:rPr>
      </w:pPr>
    </w:p>
    <w:p>
      <w:pPr>
        <w:ind w:left="1360" w:hanging="217"/>
        <w:spacing w:after="0"/>
        <w:tabs>
          <w:tab w:leader="none" w:pos="136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case at any time any of the following shall occur:</w:t>
      </w:r>
    </w:p>
    <w:p>
      <w:pPr>
        <w:spacing w:after="0" w:line="198" w:lineRule="exact"/>
        <w:rPr>
          <w:rFonts w:ascii="Times New Roman" w:cs="Times New Roman" w:eastAsia="Times New Roman" w:hAnsi="Times New Roman"/>
          <w:sz w:val="16"/>
          <w:szCs w:val="16"/>
          <w:color w:val="auto"/>
        </w:rPr>
      </w:pPr>
    </w:p>
    <w:p>
      <w:pPr>
        <w:ind w:right="20" w:firstLine="1716"/>
        <w:spacing w:after="0" w:line="280" w:lineRule="auto"/>
        <w:tabs>
          <w:tab w:leader="none" w:pos="1911" w:val="left"/>
        </w:tabs>
        <w:numPr>
          <w:ilvl w:val="1"/>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cease to be eligible in accordance with the provisions of Section 7.08 and shall fail to resign after written request therefor by the Company or by any such Holder, or</w:t>
      </w:r>
    </w:p>
    <w:p>
      <w:pPr>
        <w:spacing w:after="0" w:line="144" w:lineRule="exact"/>
        <w:rPr>
          <w:rFonts w:ascii="Times New Roman" w:cs="Times New Roman" w:eastAsia="Times New Roman" w:hAnsi="Times New Roman"/>
          <w:sz w:val="16"/>
          <w:szCs w:val="16"/>
          <w:color w:val="auto"/>
        </w:rPr>
      </w:pPr>
    </w:p>
    <w:p>
      <w:pPr>
        <w:jc w:val="both"/>
        <w:ind w:right="20" w:firstLine="1716"/>
        <w:spacing w:after="0" w:line="254" w:lineRule="auto"/>
        <w:tabs>
          <w:tab w:leader="none" w:pos="1960" w:val="left"/>
        </w:tabs>
        <w:numPr>
          <w:ilvl w:val="1"/>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 then, in either case, the Company may by an Officer’s Certificate remove the Trustee and appoint a successor trustee by written instrument, in duplicate, executed by an Officer’s Certificate, one copy of which instrument shall be delivered to the Trustee so removed and one copy to the successor trustee, or, subject to the provisions of Section 6.11, any Holder who has been a bona fide holder of a Note or Notes for at least six months (or since the date of this Indenture) may, on behalf of himself or herself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66" w:lineRule="exact"/>
        <w:rPr>
          <w:rFonts w:ascii="Times New Roman" w:cs="Times New Roman" w:eastAsia="Times New Roman" w:hAnsi="Times New Roman"/>
          <w:sz w:val="16"/>
          <w:szCs w:val="16"/>
          <w:color w:val="auto"/>
        </w:rPr>
      </w:pPr>
    </w:p>
    <w:p>
      <w:pPr>
        <w:jc w:val="both"/>
        <w:ind w:firstLine="1143"/>
        <w:spacing w:after="0" w:line="259" w:lineRule="auto"/>
        <w:tabs>
          <w:tab w:leader="none" w:pos="1376"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Holders of a majority in aggregate principal amount of the Notes at the time outstanding (including, without limitation, additional Notes and PIK Notes), as determined in accordance with Section 8.04, may at any time remove the Trustee and nominate a successor trustee that shall be deemed appointed as successor trustee unless within ten days after notice to the Company of such nomination the Company objects thereto, in which case the Trustee so removed or any Holder, upon the terms and conditions and otherwise as in Section 7.09(a) provided, may petition any court of competent jurisdiction for an appointment of a successor trustee.</w:t>
      </w:r>
    </w:p>
    <w:p>
      <w:pPr>
        <w:spacing w:after="0" w:line="161" w:lineRule="exact"/>
        <w:rPr>
          <w:rFonts w:ascii="Times New Roman" w:cs="Times New Roman" w:eastAsia="Times New Roman" w:hAnsi="Times New Roman"/>
          <w:sz w:val="16"/>
          <w:szCs w:val="16"/>
          <w:color w:val="auto"/>
        </w:rPr>
      </w:pPr>
    </w:p>
    <w:p>
      <w:pPr>
        <w:ind w:firstLine="1143"/>
        <w:spacing w:after="0" w:line="280" w:lineRule="auto"/>
        <w:tabs>
          <w:tab w:leader="none" w:pos="1385"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resignation or removal of the Trustee and appointment of a successor trustee pursuant to any of the provisions of this Section 7.09 shall become effective upon acceptance of appointment by the successor trustee as provided in Section 7.10.</w:t>
      </w:r>
    </w:p>
    <w:p>
      <w:pPr>
        <w:spacing w:after="0" w:line="142" w:lineRule="exact"/>
        <w:rPr>
          <w:sz w:val="20"/>
          <w:szCs w:val="20"/>
          <w:color w:val="auto"/>
        </w:rPr>
      </w:pPr>
    </w:p>
    <w:p>
      <w:pPr>
        <w:jc w:val="both"/>
        <w:ind w:firstLine="382"/>
        <w:spacing w:after="0" w:line="253" w:lineRule="auto"/>
        <w:rPr>
          <w:sz w:val="20"/>
          <w:szCs w:val="20"/>
          <w:color w:val="auto"/>
        </w:rPr>
      </w:pPr>
      <w:r>
        <w:rPr>
          <w:rFonts w:ascii="Times New Roman" w:cs="Times New Roman" w:eastAsia="Times New Roman" w:hAnsi="Times New Roman"/>
          <w:sz w:val="16"/>
          <w:szCs w:val="16"/>
          <w:color w:val="auto"/>
        </w:rPr>
        <w:t xml:space="preserve">Section 7.10. </w:t>
      </w:r>
      <w:r>
        <w:rPr>
          <w:rFonts w:ascii="Times New Roman" w:cs="Times New Roman" w:eastAsia="Times New Roman" w:hAnsi="Times New Roman"/>
          <w:sz w:val="16"/>
          <w:szCs w:val="16"/>
          <w:i w:val="1"/>
          <w:iCs w:val="1"/>
          <w:color w:val="auto"/>
        </w:rPr>
        <w:t>Acceptance by Successor Trustee.</w:t>
      </w:r>
      <w:r>
        <w:rPr>
          <w:rFonts w:ascii="Times New Roman" w:cs="Times New Roman" w:eastAsia="Times New Roman" w:hAnsi="Times New Roman"/>
          <w:sz w:val="16"/>
          <w:szCs w:val="16"/>
          <w:color w:val="auto"/>
        </w:rPr>
        <w:t xml:space="preserve"> Any successor trustee appointed as provided in Section 7.09 shall execute, acknowledge and deliver to the Company and to its predecessor trustee an instrument accepting such appointment hereunder, and thereupon the resignation or removal of the predecessor trustee shall become effective and such successor trustee, without any further act, deed or conveyance, shall become vested with all the rights, powers, duties and obligations of its predecessor hereunder, with like effect as if originally named as Trustee herein; but, nevertheless, on the written request of the Company or of the successor trustee, the trustee ceasing to act shall, upon payment of any amounts then due it pursuant to the provisions of Section 7.06, execute and deliver an instrument transferring to such successor trustee all the rights and powers of the trustee so ceasing to act. Upon request of any such successor trustee, the Company shall execute any and all instruments in writing for more fully and certainly vesting in and confirming to such successor trustee all such rights and powers. Any trustee ceasing to act shall, nevertheless, retain a senior lien to which the Notes are hereby made subordinate on all money or property held or collected by such trustee as such, except for funds held in trust for the benefit of Holders of particular Notes, to secure any amounts then due it pursuant to the provisions of Section 7.06.</w:t>
      </w:r>
    </w:p>
    <w:p>
      <w:pPr>
        <w:spacing w:after="0" w:line="168" w:lineRule="exact"/>
        <w:rPr>
          <w:sz w:val="20"/>
          <w:szCs w:val="20"/>
          <w:color w:val="auto"/>
        </w:rPr>
      </w:pPr>
    </w:p>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No successor trustee shall accept appointment as provided in this Section 7.10 unless at the time of such acceptance such successor trustee shall be eligible under the provisions of Section 7.08.</w:t>
      </w:r>
    </w:p>
    <w:p>
      <w:pPr>
        <w:spacing w:after="0" w:line="144" w:lineRule="exact"/>
        <w:rPr>
          <w:sz w:val="20"/>
          <w:szCs w:val="20"/>
          <w:color w:val="auto"/>
        </w:rPr>
      </w:pPr>
    </w:p>
    <w:p>
      <w:pPr>
        <w:jc w:val="both"/>
        <w:ind w:firstLine="382"/>
        <w:spacing w:after="0" w:line="265" w:lineRule="auto"/>
        <w:rPr>
          <w:sz w:val="20"/>
          <w:szCs w:val="20"/>
          <w:color w:val="auto"/>
        </w:rPr>
      </w:pPr>
      <w:r>
        <w:rPr>
          <w:rFonts w:ascii="Times New Roman" w:cs="Times New Roman" w:eastAsia="Times New Roman" w:hAnsi="Times New Roman"/>
          <w:sz w:val="16"/>
          <w:szCs w:val="16"/>
          <w:color w:val="auto"/>
        </w:rPr>
        <w:t>Upon acceptance of appointment by a successor trustee as provided in this Section 7.10, each of the Company and the successor trustee, at the written direction and at the expense of the Company shall deliver or cause to be delivered notice of the succession of such trustee hereunder to the Holders. If the Company fails to deliver such notice within ten days after acceptance of appointment by the successor trustee, the successor trustee shall cause such notice to be delivered at the expense of the Company.</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No resigning Trustee shall be responsible or liable for the actions or inactions of any successor Trustee.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69" w:name="page70"/>
    <w:bookmarkEnd w:id="69"/>
    <w:p>
      <w:pPr>
        <w:jc w:val="both"/>
        <w:ind w:firstLine="382"/>
        <w:spacing w:after="0" w:line="257" w:lineRule="auto"/>
        <w:rPr>
          <w:sz w:val="20"/>
          <w:szCs w:val="20"/>
          <w:color w:val="auto"/>
        </w:rPr>
      </w:pPr>
      <w:r>
        <w:rPr>
          <w:rFonts w:ascii="Times New Roman" w:cs="Times New Roman" w:eastAsia="Times New Roman" w:hAnsi="Times New Roman"/>
          <w:sz w:val="16"/>
          <w:szCs w:val="16"/>
          <w:color w:val="auto"/>
        </w:rPr>
        <w:t xml:space="preserve">Section 7.11. </w:t>
      </w:r>
      <w:r>
        <w:rPr>
          <w:rFonts w:ascii="Times New Roman" w:cs="Times New Roman" w:eastAsia="Times New Roman" w:hAnsi="Times New Roman"/>
          <w:sz w:val="16"/>
          <w:szCs w:val="16"/>
          <w:i w:val="1"/>
          <w:iCs w:val="1"/>
          <w:color w:val="auto"/>
        </w:rPr>
        <w:t>Succession by Merger, Etc.</w:t>
      </w:r>
      <w:r>
        <w:rPr>
          <w:rFonts w:ascii="Times New Roman" w:cs="Times New Roman" w:eastAsia="Times New Roman" w:hAnsi="Times New Roman"/>
          <w:sz w:val="16"/>
          <w:szCs w:val="16"/>
          <w:color w:val="auto"/>
        </w:rPr>
        <w:t xml:space="preserve"> Any corporation or other entity into which the Trustee may be merged or converted or with which it may be consolidated, or any corporation or other entity resulting from any merger, conversion or consolidation to which the Trustee shall be a party, or any corporation or other entity succeeding to all or substantially all of the corporate trust business of the Trustee (including the administration of this Indenture), shall be the successor to the Trustee hereunder without the execution or filing of any paper or any further act on the part of any of the parties hereto;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in the case of any corporation or other entity succeeding to all or substantially all of the corporate trust business of the Trustee such corporation or other entity shall be eligible under the provisions of Section 7.08.</w:t>
      </w:r>
    </w:p>
    <w:p>
      <w:pPr>
        <w:spacing w:after="0" w:line="164" w:lineRule="exact"/>
        <w:rPr>
          <w:sz w:val="20"/>
          <w:szCs w:val="20"/>
          <w:color w:val="auto"/>
        </w:rPr>
      </w:pPr>
    </w:p>
    <w:p>
      <w:pPr>
        <w:jc w:val="both"/>
        <w:ind w:firstLine="382"/>
        <w:spacing w:after="0" w:line="254" w:lineRule="auto"/>
        <w:rPr>
          <w:sz w:val="20"/>
          <w:szCs w:val="20"/>
          <w:color w:val="auto"/>
        </w:rPr>
      </w:pPr>
      <w:r>
        <w:rPr>
          <w:rFonts w:ascii="Times New Roman" w:cs="Times New Roman" w:eastAsia="Times New Roman" w:hAnsi="Times New Roman"/>
          <w:sz w:val="16"/>
          <w:szCs w:val="16"/>
          <w:color w:val="auto"/>
        </w:rPr>
        <w:t xml:space="preserve">In case at the time such successor to the Trustee shall succeed to the trusts created by this Indenture, any of the Notes shall have been authenticated but not delivered, any such successor to the Trustee may adopt the certificate of authentication of any predecessor trustee or authenticating agent appointed by such predecessor trustee, and deliver such Notes so authenticated; and in case at that time any of the Notes shall not have been authenticated, any successor to the Trustee or an authenticating agent appointed by such successor trustee may authenticate such Notes either in the name of any predecessor trustee hereunder or in the name of the successor trustee; and in all such cases such certificates shall have the full force which it is anywhere in the Notes or in this Indenture provided that the certificate of the Trustee shall have;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the right to adopt the certificate of authentication of any predecessor trustee or to authenticate Notes in the name of any predecessor trustee shall apply only to its successor or successors by merger, conversion or consolidation.</w:t>
      </w:r>
    </w:p>
    <w:p>
      <w:pPr>
        <w:spacing w:after="0" w:line="165" w:lineRule="exact"/>
        <w:rPr>
          <w:sz w:val="20"/>
          <w:szCs w:val="20"/>
          <w:color w:val="auto"/>
        </w:rPr>
      </w:pPr>
    </w:p>
    <w:p>
      <w:pPr>
        <w:jc w:val="both"/>
        <w:ind w:right="20" w:firstLine="382"/>
        <w:spacing w:after="0" w:line="274" w:lineRule="auto"/>
        <w:rPr>
          <w:sz w:val="20"/>
          <w:szCs w:val="20"/>
          <w:color w:val="auto"/>
        </w:rPr>
      </w:pPr>
      <w:r>
        <w:rPr>
          <w:rFonts w:ascii="Times New Roman" w:cs="Times New Roman" w:eastAsia="Times New Roman" w:hAnsi="Times New Roman"/>
          <w:sz w:val="15"/>
          <w:szCs w:val="15"/>
          <w:color w:val="auto"/>
        </w:rPr>
        <w:t xml:space="preserve">Section 7.12. </w:t>
      </w:r>
      <w:r>
        <w:rPr>
          <w:rFonts w:ascii="Times New Roman" w:cs="Times New Roman" w:eastAsia="Times New Roman" w:hAnsi="Times New Roman"/>
          <w:sz w:val="15"/>
          <w:szCs w:val="15"/>
          <w:i w:val="1"/>
          <w:iCs w:val="1"/>
          <w:color w:val="auto"/>
        </w:rPr>
        <w:t>Trustee’s Application for Instructions from the Company.</w:t>
      </w:r>
      <w:r>
        <w:rPr>
          <w:rFonts w:ascii="Times New Roman" w:cs="Times New Roman" w:eastAsia="Times New Roman" w:hAnsi="Times New Roman"/>
          <w:sz w:val="15"/>
          <w:szCs w:val="15"/>
          <w:color w:val="auto"/>
        </w:rPr>
        <w:t xml:space="preserve"> Any application by the Trustee for written instructions from the Company (other than with regard to any action proposed to be taken or omitted to be taken by the Trustee that affects the rights of the Holders of the Notes under this Indenture) may, at the option of the Trustee, set forth in writing any action proposed to be taken or omitted by the Trustee under this Indenture and the date on and/or after which such action shall be taken or such omission shall be effective. The Trustee shall not be liable to the Company for any action taken by, or omission of, the Trustee in accordance with a proposal included in such application on or after the date specified in such application (which date shall not be less than three Business Days after the date notice to the Company has been deemed given pursuant to Section 18.03, unless any such officer shall have consented in writing to any earlier date), unless, prior to taking any such action (or the effective date in the case of any omission), the Trustee shall have received written instructions in accordance with this Indenture in response to such application specifying the action to be taken or omitted.</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8</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w:t>
      </w:r>
      <w:r>
        <w:rPr>
          <w:rFonts w:ascii="Times New Roman" w:cs="Times New Roman" w:eastAsia="Times New Roman" w:hAnsi="Times New Roman"/>
          <w:sz w:val="10"/>
          <w:szCs w:val="10"/>
          <w:color w:val="auto"/>
        </w:rPr>
        <w:t>oncerning</w:t>
      </w:r>
      <w:r>
        <w:rPr>
          <w:rFonts w:ascii="Times New Roman" w:cs="Times New Roman" w:eastAsia="Times New Roman" w:hAnsi="Times New Roman"/>
          <w:sz w:val="16"/>
          <w:szCs w:val="16"/>
          <w:color w:val="auto"/>
        </w:rPr>
        <w:t xml:space="preserve"> T</w:t>
      </w:r>
      <w:r>
        <w:rPr>
          <w:rFonts w:ascii="Times New Roman" w:cs="Times New Roman" w:eastAsia="Times New Roman" w:hAnsi="Times New Roman"/>
          <w:sz w:val="10"/>
          <w:szCs w:val="10"/>
          <w:color w:val="auto"/>
        </w:rPr>
        <w:t>he</w:t>
      </w:r>
      <w:r>
        <w:rPr>
          <w:rFonts w:ascii="Times New Roman" w:cs="Times New Roman" w:eastAsia="Times New Roman" w:hAnsi="Times New Roman"/>
          <w:sz w:val="16"/>
          <w:szCs w:val="16"/>
          <w:color w:val="auto"/>
        </w:rPr>
        <w:t xml:space="preserve"> H</w:t>
      </w:r>
      <w:r>
        <w:rPr>
          <w:rFonts w:ascii="Times New Roman" w:cs="Times New Roman" w:eastAsia="Times New Roman" w:hAnsi="Times New Roman"/>
          <w:sz w:val="10"/>
          <w:szCs w:val="10"/>
          <w:color w:val="auto"/>
        </w:rPr>
        <w:t>olders</w:t>
      </w:r>
    </w:p>
    <w:p>
      <w:pPr>
        <w:spacing w:after="0" w:line="180" w:lineRule="exact"/>
        <w:rPr>
          <w:sz w:val="20"/>
          <w:szCs w:val="20"/>
          <w:color w:val="auto"/>
        </w:rPr>
      </w:pPr>
    </w:p>
    <w:p>
      <w:pPr>
        <w:jc w:val="both"/>
        <w:ind w:firstLine="382"/>
        <w:spacing w:after="0" w:line="254" w:lineRule="auto"/>
        <w:rPr>
          <w:sz w:val="20"/>
          <w:szCs w:val="20"/>
          <w:color w:val="auto"/>
        </w:rPr>
      </w:pPr>
      <w:r>
        <w:rPr>
          <w:rFonts w:ascii="Times New Roman" w:cs="Times New Roman" w:eastAsia="Times New Roman" w:hAnsi="Times New Roman"/>
          <w:sz w:val="16"/>
          <w:szCs w:val="16"/>
          <w:color w:val="auto"/>
        </w:rPr>
        <w:t xml:space="preserve">Section 8.01. </w:t>
      </w:r>
      <w:r>
        <w:rPr>
          <w:rFonts w:ascii="Times New Roman" w:cs="Times New Roman" w:eastAsia="Times New Roman" w:hAnsi="Times New Roman"/>
          <w:sz w:val="16"/>
          <w:szCs w:val="16"/>
          <w:i w:val="1"/>
          <w:iCs w:val="1"/>
          <w:color w:val="auto"/>
        </w:rPr>
        <w:t>Action by Holders.</w:t>
      </w:r>
      <w:r>
        <w:rPr>
          <w:rFonts w:ascii="Times New Roman" w:cs="Times New Roman" w:eastAsia="Times New Roman" w:hAnsi="Times New Roman"/>
          <w:sz w:val="16"/>
          <w:szCs w:val="16"/>
          <w:color w:val="auto"/>
        </w:rPr>
        <w:t xml:space="preserve"> Whenever in this Indenture it is provided that the Holders of a specified percentage of the aggregate principal amount of the Notes may take any action (including the making of any demand or request, the giving of any notice, consent or waiver or the taking of any other action), the fact that at the time of taking any such action, the Holders of such specified percentage have joined therein may be evidenced (a) by any instrument or any number of instruments of similar tenor executed by Holders in person or by agent or proxy appointed in writing, or (b) by the record of the Holders voting in favor thereof at any meeting of Holders duly called and held in accordance with the provisions of Article 9, or (c) by a combination of such instrument or instruments and any such record of such a meeting of Holders. Whenever the Company or the Trustee solicits the taking of any action by the Holders of the Notes, the Company or the Trustee may, but shall not be required to, fix in advance of such solicitation, a date as the record date for determining Holders entitled to take such action. The record date if one is selected shall be not more than fifteen days prior to the date of commencement of solicitation of such action.</w:t>
      </w:r>
    </w:p>
    <w:p>
      <w:pPr>
        <w:spacing w:after="0" w:line="163" w:lineRule="exact"/>
        <w:rPr>
          <w:sz w:val="20"/>
          <w:szCs w:val="20"/>
          <w:color w:val="auto"/>
        </w:rPr>
      </w:pPr>
    </w:p>
    <w:p>
      <w:pPr>
        <w:jc w:val="both"/>
        <w:ind w:right="20" w:firstLine="382"/>
        <w:spacing w:after="0" w:line="260" w:lineRule="auto"/>
        <w:rPr>
          <w:sz w:val="20"/>
          <w:szCs w:val="20"/>
          <w:color w:val="auto"/>
        </w:rPr>
      </w:pPr>
      <w:r>
        <w:rPr>
          <w:rFonts w:ascii="Times New Roman" w:cs="Times New Roman" w:eastAsia="Times New Roman" w:hAnsi="Times New Roman"/>
          <w:sz w:val="16"/>
          <w:szCs w:val="16"/>
          <w:color w:val="auto"/>
        </w:rPr>
        <w:t xml:space="preserve">Section 8.02. </w:t>
      </w:r>
      <w:r>
        <w:rPr>
          <w:rFonts w:ascii="Times New Roman" w:cs="Times New Roman" w:eastAsia="Times New Roman" w:hAnsi="Times New Roman"/>
          <w:sz w:val="16"/>
          <w:szCs w:val="16"/>
          <w:i w:val="1"/>
          <w:iCs w:val="1"/>
          <w:color w:val="auto"/>
        </w:rPr>
        <w:t>Proof of Execution by Holders.</w:t>
      </w:r>
      <w:r>
        <w:rPr>
          <w:rFonts w:ascii="Times New Roman" w:cs="Times New Roman" w:eastAsia="Times New Roman" w:hAnsi="Times New Roman"/>
          <w:sz w:val="16"/>
          <w:szCs w:val="16"/>
          <w:color w:val="auto"/>
        </w:rPr>
        <w:t xml:space="preserve"> Subject to the provisions of Section 7.01, Section 7.02 and Section 9.05, proof of the execution of any instrument or writing by a Holder or its agent or proxy shall be sufficient if made in accordance with such reasonable rules and regulations as may be prescribed by the Trustee or in such manner as shall be satisfactory to the Trustee. The holding of Notes shall be proved by the Note Register or by a certificate of the Note Registrar. The record of any Holders’ meeting shall be proved in the manner provided in Section 9.06.</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70" w:name="page71"/>
    <w:bookmarkEnd w:id="70"/>
    <w:p>
      <w:pPr>
        <w:jc w:val="both"/>
        <w:ind w:firstLine="382"/>
        <w:spacing w:after="0" w:line="252" w:lineRule="auto"/>
        <w:rPr>
          <w:sz w:val="20"/>
          <w:szCs w:val="20"/>
          <w:color w:val="auto"/>
        </w:rPr>
      </w:pPr>
      <w:r>
        <w:rPr>
          <w:rFonts w:ascii="Times New Roman" w:cs="Times New Roman" w:eastAsia="Times New Roman" w:hAnsi="Times New Roman"/>
          <w:sz w:val="16"/>
          <w:szCs w:val="16"/>
          <w:color w:val="auto"/>
        </w:rPr>
        <w:t xml:space="preserve">Section 8.03. </w:t>
      </w:r>
      <w:r>
        <w:rPr>
          <w:rFonts w:ascii="Times New Roman" w:cs="Times New Roman" w:eastAsia="Times New Roman" w:hAnsi="Times New Roman"/>
          <w:sz w:val="16"/>
          <w:szCs w:val="16"/>
          <w:i w:val="1"/>
          <w:iCs w:val="1"/>
          <w:color w:val="auto"/>
        </w:rPr>
        <w:t>Who Are Deemed Absolute Owners.</w:t>
      </w:r>
      <w:r>
        <w:rPr>
          <w:rFonts w:ascii="Times New Roman" w:cs="Times New Roman" w:eastAsia="Times New Roman" w:hAnsi="Times New Roman"/>
          <w:sz w:val="16"/>
          <w:szCs w:val="16"/>
          <w:color w:val="auto"/>
        </w:rPr>
        <w:t xml:space="preserve"> The Company, the Trustee, any authenticating agent, any Paying Agent, any Conversion Agent and any Note Registrar may deem the Person in whose name a Note shall be registered upon the Note Register to be, and may treat it as, the absolute owner of such Note (whether or not such Note shall be overdue and notwithstanding any notation of ownership or other writing thereon made by any Person other than the Company or any Note Registrar) for the purpose of receiving payment of or on account of the principal (including any Redemption Price and any Fundamental Change Repurchase Price) of and (subject to Section 2.03) accrued and unpaid interest on such Note, for conversion of such Note and for all other purposes under this Indenture; and neither the Company nor the Trustee nor any Paying Agent nor any Conversion Agent nor any Note Registrar shall be affected by any notice to the contrary. The sole registered holder of a Global Note shall be the Depositary or its nominee. All such payments or deliveries so made to any Holder for the time being, or upon its order, shall be valid, and, to the extent of the sums or shares of Common Stock so paid or delivered, effectual to satisfy and discharge the liability for monies payable or shares deliverable upon any such Note. Notwithstanding anything to the contrary in this Indenture or the Notes following an Event of Default, any holder of a beneficial interest in a Global Note may directly enforce against the Company, without the consent, solicitation, proxy, authorization or any other action of the Depositary or any other Person, such holder’s right to exchange such beneficial interest for a Note in certificated form in accordance with the provisions of this Indenture.</w:t>
      </w:r>
    </w:p>
    <w:p>
      <w:pPr>
        <w:spacing w:after="0" w:line="169" w:lineRule="exact"/>
        <w:rPr>
          <w:sz w:val="20"/>
          <w:szCs w:val="20"/>
          <w:color w:val="auto"/>
        </w:rPr>
      </w:pPr>
    </w:p>
    <w:p>
      <w:pPr>
        <w:jc w:val="both"/>
        <w:ind w:firstLine="382"/>
        <w:spacing w:after="0" w:line="253" w:lineRule="auto"/>
        <w:rPr>
          <w:sz w:val="20"/>
          <w:szCs w:val="20"/>
          <w:color w:val="auto"/>
        </w:rPr>
      </w:pPr>
      <w:r>
        <w:rPr>
          <w:rFonts w:ascii="Times New Roman" w:cs="Times New Roman" w:eastAsia="Times New Roman" w:hAnsi="Times New Roman"/>
          <w:sz w:val="16"/>
          <w:szCs w:val="16"/>
          <w:color w:val="auto"/>
        </w:rPr>
        <w:t xml:space="preserve">Section 8.04. </w:t>
      </w:r>
      <w:r>
        <w:rPr>
          <w:rFonts w:ascii="Times New Roman" w:cs="Times New Roman" w:eastAsia="Times New Roman" w:hAnsi="Times New Roman"/>
          <w:sz w:val="16"/>
          <w:szCs w:val="16"/>
          <w:i w:val="1"/>
          <w:iCs w:val="1"/>
          <w:color w:val="auto"/>
        </w:rPr>
        <w:t>Company-Owned Notes Disregarded.</w:t>
      </w:r>
      <w:r>
        <w:rPr>
          <w:rFonts w:ascii="Times New Roman" w:cs="Times New Roman" w:eastAsia="Times New Roman" w:hAnsi="Times New Roman"/>
          <w:sz w:val="16"/>
          <w:szCs w:val="16"/>
          <w:color w:val="auto"/>
        </w:rPr>
        <w:t xml:space="preserve"> In determining whether the Holders of the requisite aggregate principal amount of Notes have concurred in any direction, consent, waiver or other action under this Indenture, Notes that are owned by the Company or by any Subsidiary thereof shall be disregarded and deemed not to be outstanding for the purpose of any such determination;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for the purposes of determining whether the Trustee shall be protected in relying on any such direction, consent, waiver or other action only Notes that a Responsible Officer knows are so owned shall be so disregarded. Notes so owned that have been pledged in good faith may be regarded as outstanding for the purposes of this Section 8.04 if the pledgee shall establish to the satisfaction of the Trustee the pledgee’s right to so act with respect to such Notes and that the pledgee is not the Company or a Subsidiary thereof. In the case of a dispute as to such right, any decision by the Trustee taken upon the advice of counsel shall be full protection to the Trustee. Upon request of the Trustee, the Company shall furnish to the Trustee promptly an Officer’s Certificate listing and identifying all Notes, if any, known by the Company to be owned or held by or for the account of any of the above described Persons; and, subject to Section 7.01, the Trustee shall be entitled to accept such Officer’s Certificate as conclusive evidence of the facts therein set forth and of the fact that all Notes not listed therein are outstanding for the purpose of any such determination.</w:t>
      </w:r>
    </w:p>
    <w:p>
      <w:pPr>
        <w:spacing w:after="0" w:line="164" w:lineRule="exact"/>
        <w:rPr>
          <w:sz w:val="20"/>
          <w:szCs w:val="20"/>
          <w:color w:val="auto"/>
        </w:rPr>
      </w:pPr>
    </w:p>
    <w:p>
      <w:pPr>
        <w:jc w:val="both"/>
        <w:ind w:firstLine="382"/>
        <w:spacing w:after="0" w:line="255" w:lineRule="auto"/>
        <w:rPr>
          <w:sz w:val="20"/>
          <w:szCs w:val="20"/>
          <w:color w:val="auto"/>
        </w:rPr>
      </w:pPr>
      <w:r>
        <w:rPr>
          <w:rFonts w:ascii="Times New Roman" w:cs="Times New Roman" w:eastAsia="Times New Roman" w:hAnsi="Times New Roman"/>
          <w:sz w:val="16"/>
          <w:szCs w:val="16"/>
          <w:color w:val="auto"/>
        </w:rPr>
        <w:t xml:space="preserve">Section 8.05. </w:t>
      </w:r>
      <w:r>
        <w:rPr>
          <w:rFonts w:ascii="Times New Roman" w:cs="Times New Roman" w:eastAsia="Times New Roman" w:hAnsi="Times New Roman"/>
          <w:sz w:val="16"/>
          <w:szCs w:val="16"/>
          <w:i w:val="1"/>
          <w:iCs w:val="1"/>
          <w:color w:val="auto"/>
        </w:rPr>
        <w:t>Revocation of Consents; Future Holders Bound.</w:t>
      </w:r>
      <w:r>
        <w:rPr>
          <w:rFonts w:ascii="Times New Roman" w:cs="Times New Roman" w:eastAsia="Times New Roman" w:hAnsi="Times New Roman"/>
          <w:sz w:val="16"/>
          <w:szCs w:val="16"/>
          <w:color w:val="auto"/>
        </w:rPr>
        <w:t xml:space="preserve"> At any time prior to (but not after) the evidencing to the Trustee, as provided in Section 8.01, of the taking of any action by the Holders of the percentage of the aggregate principal amount of the Notes specified in this Indenture in connection with such action, any Holder of a Note that is shown by the evidence to be included in the Notes the Holders of which have consented to such action may, by filing written notice with the Trustee at its Corporate Trust Office and upon proof of holding as provided in Section 8.02, revoke such action so far as concerns such Note. Except as aforesaid, any such action taken by the Holder of any Note shall be conclusive and binding upon such Holder and upon all future Holders and owners of such Note and of any Notes issued in exchange or substitution therefor or upon registration of transfer thereof, irrespective of whether any notation in regard thereto is made upon such Note or any Note issued in exchange or substitution therefor or upon registration of transfer thereof.</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9</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H</w:t>
      </w:r>
      <w:r>
        <w:rPr>
          <w:rFonts w:ascii="Times New Roman" w:cs="Times New Roman" w:eastAsia="Times New Roman" w:hAnsi="Times New Roman"/>
          <w:sz w:val="10"/>
          <w:szCs w:val="10"/>
          <w:color w:val="auto"/>
        </w:rPr>
        <w:t>olders</w:t>
      </w:r>
      <w:r>
        <w:rPr>
          <w:rFonts w:ascii="Times New Roman" w:cs="Times New Roman" w:eastAsia="Times New Roman" w:hAnsi="Times New Roman"/>
          <w:sz w:val="16"/>
          <w:szCs w:val="16"/>
          <w:color w:val="auto"/>
        </w:rPr>
        <w:t>’ M</w:t>
      </w:r>
      <w:r>
        <w:rPr>
          <w:rFonts w:ascii="Times New Roman" w:cs="Times New Roman" w:eastAsia="Times New Roman" w:hAnsi="Times New Roman"/>
          <w:sz w:val="10"/>
          <w:szCs w:val="10"/>
          <w:color w:val="auto"/>
        </w:rPr>
        <w:t>eetings</w:t>
      </w:r>
    </w:p>
    <w:p>
      <w:pPr>
        <w:spacing w:after="0" w:line="180" w:lineRule="exact"/>
        <w:rPr>
          <w:sz w:val="20"/>
          <w:szCs w:val="20"/>
          <w:color w:val="auto"/>
        </w:rPr>
      </w:pPr>
    </w:p>
    <w:p>
      <w:pPr>
        <w:jc w:val="both"/>
        <w:ind w:right="20" w:firstLine="382"/>
        <w:spacing w:after="0" w:line="283" w:lineRule="auto"/>
        <w:rPr>
          <w:sz w:val="20"/>
          <w:szCs w:val="20"/>
          <w:color w:val="auto"/>
        </w:rPr>
      </w:pPr>
      <w:r>
        <w:rPr>
          <w:rFonts w:ascii="Times New Roman" w:cs="Times New Roman" w:eastAsia="Times New Roman" w:hAnsi="Times New Roman"/>
          <w:sz w:val="16"/>
          <w:szCs w:val="16"/>
          <w:color w:val="auto"/>
        </w:rPr>
        <w:t xml:space="preserve">Section 9.01. </w:t>
      </w:r>
      <w:r>
        <w:rPr>
          <w:rFonts w:ascii="Times New Roman" w:cs="Times New Roman" w:eastAsia="Times New Roman" w:hAnsi="Times New Roman"/>
          <w:sz w:val="16"/>
          <w:szCs w:val="16"/>
          <w:i w:val="1"/>
          <w:iCs w:val="1"/>
          <w:color w:val="auto"/>
        </w:rPr>
        <w:t>Purpose of Meetings.</w:t>
      </w:r>
      <w:r>
        <w:rPr>
          <w:rFonts w:ascii="Times New Roman" w:cs="Times New Roman" w:eastAsia="Times New Roman" w:hAnsi="Times New Roman"/>
          <w:sz w:val="16"/>
          <w:szCs w:val="16"/>
          <w:color w:val="auto"/>
        </w:rPr>
        <w:t xml:space="preserve"> A meeting of Holders may be called at any time and from time to time pursuant to the provisions of this Article 9 for any of the following purposes:</w:t>
      </w:r>
    </w:p>
    <w:p>
      <w:pPr>
        <w:spacing w:after="0" w:line="142" w:lineRule="exact"/>
        <w:rPr>
          <w:sz w:val="20"/>
          <w:szCs w:val="20"/>
          <w:color w:val="auto"/>
        </w:rPr>
      </w:pPr>
    </w:p>
    <w:p>
      <w:pPr>
        <w:jc w:val="both"/>
        <w:ind w:firstLine="1143"/>
        <w:spacing w:after="0" w:line="265" w:lineRule="auto"/>
        <w:tabs>
          <w:tab w:leader="none" w:pos="1364"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give any notice to the Company or to the Trustee or to give any directions to the Trustee permitted under this Indenture, or to consent to the waiving of any Default or Event of Default hereunder (in each case, as permitted under this Indenture) and its consequences, or to take any other action authorized to be taken by Holders pursuant to any of the provisions of Article 6;</w:t>
      </w:r>
    </w:p>
    <w:p>
      <w:pPr>
        <w:spacing w:after="0" w:line="155"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remove the Trustee and nominate a successor trustee pursuant to the provisions of Article 7;</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71" w:name="page72"/>
    <w:bookmarkEnd w:id="71"/>
    <w:p>
      <w:pPr>
        <w:ind w:left="1360" w:hanging="217"/>
        <w:spacing w:after="0"/>
        <w:tabs>
          <w:tab w:leader="none" w:pos="136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consent to the execution of an indenture or indentures supplemental hereto pursuant to the provisions of Section 10.02; or</w:t>
      </w:r>
    </w:p>
    <w:p>
      <w:pPr>
        <w:spacing w:after="0" w:line="198" w:lineRule="exact"/>
        <w:rPr>
          <w:rFonts w:ascii="Times New Roman" w:cs="Times New Roman" w:eastAsia="Times New Roman" w:hAnsi="Times New Roman"/>
          <w:sz w:val="16"/>
          <w:szCs w:val="16"/>
          <w:color w:val="auto"/>
        </w:rPr>
      </w:pPr>
    </w:p>
    <w:p>
      <w:pPr>
        <w:ind w:right="20" w:firstLine="1143"/>
        <w:spacing w:after="0" w:line="280" w:lineRule="auto"/>
        <w:tabs>
          <w:tab w:leader="none" w:pos="1373"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take any other action authorized to be taken by or on behalf of the Holders of any specified aggregate principal amount of the Notes under any other provision of this Indenture or under applicable law.</w:t>
      </w:r>
    </w:p>
    <w:p>
      <w:pPr>
        <w:spacing w:after="0" w:line="142" w:lineRule="exact"/>
        <w:rPr>
          <w:sz w:val="20"/>
          <w:szCs w:val="20"/>
          <w:color w:val="auto"/>
        </w:rPr>
      </w:pPr>
    </w:p>
    <w:p>
      <w:pPr>
        <w:jc w:val="both"/>
        <w:ind w:firstLine="382"/>
        <w:spacing w:after="0" w:line="260" w:lineRule="auto"/>
        <w:rPr>
          <w:sz w:val="20"/>
          <w:szCs w:val="20"/>
          <w:color w:val="auto"/>
        </w:rPr>
      </w:pPr>
      <w:r>
        <w:rPr>
          <w:rFonts w:ascii="Times New Roman" w:cs="Times New Roman" w:eastAsia="Times New Roman" w:hAnsi="Times New Roman"/>
          <w:sz w:val="16"/>
          <w:szCs w:val="16"/>
          <w:color w:val="auto"/>
        </w:rPr>
        <w:t xml:space="preserve">Section 9.02. </w:t>
      </w:r>
      <w:r>
        <w:rPr>
          <w:rFonts w:ascii="Times New Roman" w:cs="Times New Roman" w:eastAsia="Times New Roman" w:hAnsi="Times New Roman"/>
          <w:sz w:val="16"/>
          <w:szCs w:val="16"/>
          <w:i w:val="1"/>
          <w:iCs w:val="1"/>
          <w:color w:val="auto"/>
        </w:rPr>
        <w:t>Call of Meetings by Trustee.</w:t>
      </w:r>
      <w:r>
        <w:rPr>
          <w:rFonts w:ascii="Times New Roman" w:cs="Times New Roman" w:eastAsia="Times New Roman" w:hAnsi="Times New Roman"/>
          <w:sz w:val="16"/>
          <w:szCs w:val="16"/>
          <w:color w:val="auto"/>
        </w:rPr>
        <w:t xml:space="preserve"> The Trustee may at any time call a meeting of Holders to take any action specified in Section 9.01, to be held at such time and at such place as the Trustee shall determine. Notice of every meeting of the Holders, setting forth the time and the place of such meeting and in general terms the action proposed to be taken at such meeting and the establishment of any record date pursuant to Section 8.01, shall be delivered to Holders of such Notes. Such notice shall also be delivered to the Company. Such notices shall be delivered not less than 20 nor more than 90 days prior to the date fixed for the meeting.</w:t>
      </w:r>
    </w:p>
    <w:p>
      <w:pPr>
        <w:spacing w:after="0" w:line="161" w:lineRule="exact"/>
        <w:rPr>
          <w:sz w:val="20"/>
          <w:szCs w:val="20"/>
          <w:color w:val="auto"/>
        </w:rPr>
      </w:pPr>
    </w:p>
    <w:p>
      <w:pPr>
        <w:jc w:val="both"/>
        <w:ind w:firstLine="382"/>
        <w:spacing w:after="0" w:line="265" w:lineRule="auto"/>
        <w:rPr>
          <w:sz w:val="20"/>
          <w:szCs w:val="20"/>
          <w:color w:val="auto"/>
        </w:rPr>
      </w:pPr>
      <w:r>
        <w:rPr>
          <w:rFonts w:ascii="Times New Roman" w:cs="Times New Roman" w:eastAsia="Times New Roman" w:hAnsi="Times New Roman"/>
          <w:sz w:val="16"/>
          <w:szCs w:val="16"/>
          <w:color w:val="auto"/>
        </w:rPr>
        <w:t>Any meeting of Holders shall be valid without notice if the Holders of all Notes then outstanding are present in person or by proxy or if notice is waived before or after the meeting by the Holders of all Notes then outstanding, and if the Company and the Trustee are either present by duly authorized representatives or have, before or after the meeting, waived notice.</w:t>
      </w:r>
    </w:p>
    <w:p>
      <w:pPr>
        <w:spacing w:after="0" w:line="153"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6"/>
          <w:szCs w:val="16"/>
          <w:color w:val="auto"/>
        </w:rPr>
        <w:t xml:space="preserve">Section 9.03. </w:t>
      </w:r>
      <w:r>
        <w:rPr>
          <w:rFonts w:ascii="Times New Roman" w:cs="Times New Roman" w:eastAsia="Times New Roman" w:hAnsi="Times New Roman"/>
          <w:sz w:val="16"/>
          <w:szCs w:val="16"/>
          <w:i w:val="1"/>
          <w:iCs w:val="1"/>
          <w:color w:val="auto"/>
        </w:rPr>
        <w:t>Call of Meetings by Company or Holders.</w:t>
      </w:r>
      <w:r>
        <w:rPr>
          <w:rFonts w:ascii="Times New Roman" w:cs="Times New Roman" w:eastAsia="Times New Roman" w:hAnsi="Times New Roman"/>
          <w:sz w:val="16"/>
          <w:szCs w:val="16"/>
          <w:color w:val="auto"/>
        </w:rPr>
        <w:t xml:space="preserve"> In case at any time the Company, pursuant to a Board Resolution, or the Holders of at least 10% of the aggregate principal amount of the Notes then outstanding, shall have requested the Trustee to call a meeting of Holders, by written request setting forth in reasonable detail the action proposed to be taken at the meeting, and the Trustee shall not have delivered the notice of such meeting within 20 days after receipt of such request, then the Company or such Holders may determine the time and the place for such meeting and may call such meeting to take any action authorized in Section 9.01, by delivering notice thereof as provided in Section 9.02.</w:t>
      </w:r>
    </w:p>
    <w:p>
      <w:pPr>
        <w:spacing w:after="0" w:line="162" w:lineRule="exact"/>
        <w:rPr>
          <w:sz w:val="20"/>
          <w:szCs w:val="20"/>
          <w:color w:val="auto"/>
        </w:rPr>
      </w:pPr>
    </w:p>
    <w:p>
      <w:pPr>
        <w:jc w:val="both"/>
        <w:ind w:right="20" w:firstLine="382"/>
        <w:spacing w:after="0" w:line="260" w:lineRule="auto"/>
        <w:rPr>
          <w:sz w:val="20"/>
          <w:szCs w:val="20"/>
          <w:color w:val="auto"/>
        </w:rPr>
      </w:pPr>
      <w:r>
        <w:rPr>
          <w:rFonts w:ascii="Times New Roman" w:cs="Times New Roman" w:eastAsia="Times New Roman" w:hAnsi="Times New Roman"/>
          <w:sz w:val="16"/>
          <w:szCs w:val="16"/>
          <w:color w:val="auto"/>
        </w:rPr>
        <w:t xml:space="preserve">Section 9.04. </w:t>
      </w:r>
      <w:r>
        <w:rPr>
          <w:rFonts w:ascii="Times New Roman" w:cs="Times New Roman" w:eastAsia="Times New Roman" w:hAnsi="Times New Roman"/>
          <w:sz w:val="16"/>
          <w:szCs w:val="16"/>
          <w:i w:val="1"/>
          <w:iCs w:val="1"/>
          <w:color w:val="auto"/>
        </w:rPr>
        <w:t>Qualifications for Voting.</w:t>
      </w:r>
      <w:r>
        <w:rPr>
          <w:rFonts w:ascii="Times New Roman" w:cs="Times New Roman" w:eastAsia="Times New Roman" w:hAnsi="Times New Roman"/>
          <w:sz w:val="16"/>
          <w:szCs w:val="16"/>
          <w:color w:val="auto"/>
        </w:rPr>
        <w:t xml:space="preserve"> To be entitled to vote at any meeting of Holders a Person shall (a) be a Holder of one or more Notes on the record date pertaining to such meeting or (b) be a Person appointed by an instrument in writing as proxy by a Holder of one or more Notes on the record date pertaining to such meeting. The only Persons who shall be entitled to be present or to speak at any meeting of Holders shall be the Persons entitled to vote at such meeting and their counsel and any representatives of the Trustee and its counsel and any representatives of the Company and its counsel.</w:t>
      </w:r>
    </w:p>
    <w:p>
      <w:pPr>
        <w:spacing w:after="0" w:line="159" w:lineRule="exact"/>
        <w:rPr>
          <w:sz w:val="20"/>
          <w:szCs w:val="20"/>
          <w:color w:val="auto"/>
        </w:rPr>
      </w:pPr>
    </w:p>
    <w:p>
      <w:pPr>
        <w:jc w:val="both"/>
        <w:ind w:right="20" w:firstLine="382"/>
        <w:spacing w:after="0" w:line="266" w:lineRule="auto"/>
        <w:rPr>
          <w:sz w:val="20"/>
          <w:szCs w:val="20"/>
          <w:color w:val="auto"/>
        </w:rPr>
      </w:pPr>
      <w:r>
        <w:rPr>
          <w:rFonts w:ascii="Times New Roman" w:cs="Times New Roman" w:eastAsia="Times New Roman" w:hAnsi="Times New Roman"/>
          <w:sz w:val="16"/>
          <w:szCs w:val="16"/>
          <w:color w:val="auto"/>
        </w:rPr>
        <w:t xml:space="preserve">Section 9.05. </w:t>
      </w:r>
      <w:r>
        <w:rPr>
          <w:rFonts w:ascii="Times New Roman" w:cs="Times New Roman" w:eastAsia="Times New Roman" w:hAnsi="Times New Roman"/>
          <w:sz w:val="16"/>
          <w:szCs w:val="16"/>
          <w:i w:val="1"/>
          <w:iCs w:val="1"/>
          <w:color w:val="auto"/>
        </w:rPr>
        <w:t>Regulations.</w:t>
      </w:r>
      <w:r>
        <w:rPr>
          <w:rFonts w:ascii="Times New Roman" w:cs="Times New Roman" w:eastAsia="Times New Roman" w:hAnsi="Times New Roman"/>
          <w:sz w:val="16"/>
          <w:szCs w:val="16"/>
          <w:color w:val="auto"/>
        </w:rPr>
        <w:t xml:space="preserve"> Notwithstanding any other provisions of this Indenture, the Trustee may make such reasonable regulations as it may deem advisable for any meeting of Holders, in regard to proof of the holding of Notes and of the appointment of proxies, and in regard to the appointment and duties of inspectors of votes, the submission and examination of proxies, certificates and other evidence of the right to vote, and such other matters concerning the conduct of the meeting as it shall think fit.</w:t>
      </w:r>
    </w:p>
    <w:p>
      <w:pPr>
        <w:spacing w:after="0" w:line="155" w:lineRule="exact"/>
        <w:rPr>
          <w:sz w:val="20"/>
          <w:szCs w:val="20"/>
          <w:color w:val="auto"/>
        </w:rPr>
      </w:pPr>
    </w:p>
    <w:p>
      <w:pPr>
        <w:jc w:val="both"/>
        <w:ind w:right="20" w:firstLine="382"/>
        <w:spacing w:after="0" w:line="259" w:lineRule="auto"/>
        <w:rPr>
          <w:sz w:val="20"/>
          <w:szCs w:val="20"/>
          <w:color w:val="auto"/>
        </w:rPr>
      </w:pPr>
      <w:r>
        <w:rPr>
          <w:rFonts w:ascii="Times New Roman" w:cs="Times New Roman" w:eastAsia="Times New Roman" w:hAnsi="Times New Roman"/>
          <w:sz w:val="16"/>
          <w:szCs w:val="16"/>
          <w:color w:val="auto"/>
        </w:rPr>
        <w:t>The Trustee shall, by an instrument in writing, appoint a temporary chairman of the meeting, unless the meeting shall have been called by the Company or by Holders as provided in Section 9.03, in which case the Company or the Holders calling the meeting, as the case may be, shall in like manner appoint a temporary chairman. A permanent chairman and a permanent secretary of the meeting shall be elected by vote of the Holders of a majority in aggregate principal amount of the outstanding Notes (including, without limitation, additional Notes and PIK Notes) represented at the meeting and entitled to vote at the meeting.</w:t>
      </w:r>
    </w:p>
    <w:p>
      <w:pPr>
        <w:spacing w:after="0" w:line="162" w:lineRule="exact"/>
        <w:rPr>
          <w:sz w:val="20"/>
          <w:szCs w:val="20"/>
          <w:color w:val="auto"/>
        </w:rPr>
      </w:pPr>
    </w:p>
    <w:p>
      <w:pPr>
        <w:jc w:val="both"/>
        <w:ind w:right="20" w:firstLine="382"/>
        <w:spacing w:after="0" w:line="255" w:lineRule="auto"/>
        <w:rPr>
          <w:sz w:val="20"/>
          <w:szCs w:val="20"/>
          <w:color w:val="auto"/>
        </w:rPr>
      </w:pPr>
      <w:r>
        <w:rPr>
          <w:rFonts w:ascii="Times New Roman" w:cs="Times New Roman" w:eastAsia="Times New Roman" w:hAnsi="Times New Roman"/>
          <w:sz w:val="16"/>
          <w:szCs w:val="16"/>
          <w:color w:val="auto"/>
        </w:rPr>
        <w:t xml:space="preserve">Subject to the provisions of Section 8.04, at any meeting of Holders each Holder or proxyholder shall be entitled to one vote for each $1,000 principal amount of Notes held or represented by him or her;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no vote shall be cast or counted at any meeting in respect of any Note challenged as not outstanding and ruled by the chairman of the meeting to be not outstanding. The chairman of the meeting shall have no right to vote other than by virtue of Notes held by it or instruments in writing as aforesaid duly designating it as the proxy to vote on behalf of other Holders. Any meeting of Holders duly called pursuant to the provisions of Section 9.02 or Section 9.03 may be adjourned from time to time by the Holders of a majority of the aggregate principal amount of Notes represented at the meeting, whether or not constituting a quorum, and the meeting may be held as so adjourned without further notice.</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2" w:name="page73"/>
    <w:bookmarkEnd w:id="72"/>
    <w:p>
      <w:pPr>
        <w:jc w:val="both"/>
        <w:ind w:right="20" w:firstLine="382"/>
        <w:spacing w:after="0" w:line="253" w:lineRule="auto"/>
        <w:rPr>
          <w:sz w:val="20"/>
          <w:szCs w:val="20"/>
          <w:color w:val="auto"/>
        </w:rPr>
      </w:pPr>
      <w:r>
        <w:rPr>
          <w:rFonts w:ascii="Times New Roman" w:cs="Times New Roman" w:eastAsia="Times New Roman" w:hAnsi="Times New Roman"/>
          <w:sz w:val="16"/>
          <w:szCs w:val="16"/>
          <w:color w:val="auto"/>
        </w:rPr>
        <w:t xml:space="preserve">Section 9.06. </w:t>
      </w:r>
      <w:r>
        <w:rPr>
          <w:rFonts w:ascii="Times New Roman" w:cs="Times New Roman" w:eastAsia="Times New Roman" w:hAnsi="Times New Roman"/>
          <w:sz w:val="16"/>
          <w:szCs w:val="16"/>
          <w:i w:val="1"/>
          <w:iCs w:val="1"/>
          <w:color w:val="auto"/>
        </w:rPr>
        <w:t>Voting.</w:t>
      </w:r>
      <w:r>
        <w:rPr>
          <w:rFonts w:ascii="Times New Roman" w:cs="Times New Roman" w:eastAsia="Times New Roman" w:hAnsi="Times New Roman"/>
          <w:sz w:val="16"/>
          <w:szCs w:val="16"/>
          <w:color w:val="auto"/>
        </w:rPr>
        <w:t xml:space="preserve"> The vote upon any resolution submitted to any meeting of Holders shall be by written ballot on which shall be subscribed the signatures of the Holders or of their representatives by proxy and the outstanding aggregate principal amount of the Notes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delivered as provided in Section 9.02. The record shall show the aggregate principal amount of the Notes voting in favor of or against any resolution. The record shall be signed and verified by the affidavits of the permanent chairman and secretary of the meeting and one of the duplicates shall be delivered to the Company and the other to the Trustee to be preserved by the Trustee, the latter to have attached thereto the ballots voted at the meeting.</w:t>
      </w:r>
    </w:p>
    <w:p>
      <w:pPr>
        <w:spacing w:after="0" w:line="1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Any record so signed and verified shall be conclusive evidence of the matters therein stated.</w:t>
      </w:r>
    </w:p>
    <w:p>
      <w:pPr>
        <w:spacing w:after="0" w:line="196" w:lineRule="exact"/>
        <w:rPr>
          <w:sz w:val="20"/>
          <w:szCs w:val="20"/>
          <w:color w:val="auto"/>
        </w:rPr>
      </w:pPr>
    </w:p>
    <w:p>
      <w:pPr>
        <w:jc w:val="both"/>
        <w:ind w:firstLine="382"/>
        <w:spacing w:after="0" w:line="266" w:lineRule="auto"/>
        <w:rPr>
          <w:sz w:val="20"/>
          <w:szCs w:val="20"/>
          <w:color w:val="auto"/>
        </w:rPr>
      </w:pPr>
      <w:r>
        <w:rPr>
          <w:rFonts w:ascii="Times New Roman" w:cs="Times New Roman" w:eastAsia="Times New Roman" w:hAnsi="Times New Roman"/>
          <w:sz w:val="16"/>
          <w:szCs w:val="16"/>
          <w:color w:val="auto"/>
        </w:rPr>
        <w:t xml:space="preserve">Section 9.07. </w:t>
      </w:r>
      <w:r>
        <w:rPr>
          <w:rFonts w:ascii="Times New Roman" w:cs="Times New Roman" w:eastAsia="Times New Roman" w:hAnsi="Times New Roman"/>
          <w:sz w:val="16"/>
          <w:szCs w:val="16"/>
          <w:i w:val="1"/>
          <w:iCs w:val="1"/>
          <w:color w:val="auto"/>
        </w:rPr>
        <w:t>No Delay of Rights by Meeting.</w:t>
      </w:r>
      <w:r>
        <w:rPr>
          <w:rFonts w:ascii="Times New Roman" w:cs="Times New Roman" w:eastAsia="Times New Roman" w:hAnsi="Times New Roman"/>
          <w:sz w:val="16"/>
          <w:szCs w:val="16"/>
          <w:color w:val="auto"/>
        </w:rPr>
        <w:t xml:space="preserve"> Nothing contained in this Article 9 shall be deemed or construed to authorize or permit, by reason of any call of a meeting of Holders or any rights expressly or impliedly conferred hereunder to make such call, any hindrance or delay in the exercise of any right or rights conferred upon or reserved to the Trustee or to the Holders under any of the provisions of this Indenture or of the Notes.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10</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0"/>
          <w:szCs w:val="10"/>
          <w:color w:val="auto"/>
        </w:rPr>
        <w:t>upplemental</w:t>
      </w:r>
      <w:r>
        <w:rPr>
          <w:rFonts w:ascii="Times New Roman" w:cs="Times New Roman" w:eastAsia="Times New Roman" w:hAnsi="Times New Roman"/>
          <w:sz w:val="16"/>
          <w:szCs w:val="16"/>
          <w:color w:val="auto"/>
        </w:rPr>
        <w:t xml:space="preserve"> I</w:t>
      </w:r>
      <w:r>
        <w:rPr>
          <w:rFonts w:ascii="Times New Roman" w:cs="Times New Roman" w:eastAsia="Times New Roman" w:hAnsi="Times New Roman"/>
          <w:sz w:val="10"/>
          <w:szCs w:val="10"/>
          <w:color w:val="auto"/>
        </w:rPr>
        <w:t>ndentures</w:t>
      </w:r>
    </w:p>
    <w:p>
      <w:pPr>
        <w:spacing w:after="0" w:line="180" w:lineRule="exact"/>
        <w:rPr>
          <w:sz w:val="20"/>
          <w:szCs w:val="20"/>
          <w:color w:val="auto"/>
        </w:rPr>
      </w:pPr>
    </w:p>
    <w:p>
      <w:pPr>
        <w:jc w:val="both"/>
        <w:ind w:right="20" w:firstLine="382"/>
        <w:spacing w:after="0" w:line="283" w:lineRule="auto"/>
        <w:rPr>
          <w:sz w:val="20"/>
          <w:szCs w:val="20"/>
          <w:color w:val="auto"/>
        </w:rPr>
      </w:pPr>
      <w:r>
        <w:rPr>
          <w:rFonts w:ascii="Times New Roman" w:cs="Times New Roman" w:eastAsia="Times New Roman" w:hAnsi="Times New Roman"/>
          <w:sz w:val="16"/>
          <w:szCs w:val="16"/>
          <w:color w:val="auto"/>
        </w:rPr>
        <w:t xml:space="preserve">Section 10.01. </w:t>
      </w:r>
      <w:r>
        <w:rPr>
          <w:rFonts w:ascii="Times New Roman" w:cs="Times New Roman" w:eastAsia="Times New Roman" w:hAnsi="Times New Roman"/>
          <w:sz w:val="16"/>
          <w:szCs w:val="16"/>
          <w:i w:val="1"/>
          <w:iCs w:val="1"/>
          <w:color w:val="auto"/>
        </w:rPr>
        <w:t>Supplemental Indentures Without Consent of Holders.</w:t>
      </w:r>
      <w:r>
        <w:rPr>
          <w:rFonts w:ascii="Times New Roman" w:cs="Times New Roman" w:eastAsia="Times New Roman" w:hAnsi="Times New Roman"/>
          <w:sz w:val="16"/>
          <w:szCs w:val="16"/>
          <w:color w:val="auto"/>
        </w:rPr>
        <w:t xml:space="preserve"> The Company and the Trustee, at the Company’s expense, may from time to time and at any time amend this Indenture or enter into an indenture or indentures supplemental hereto for one or more of the following purposes to:</w:t>
      </w:r>
    </w:p>
    <w:p>
      <w:pPr>
        <w:spacing w:after="0" w:line="142" w:lineRule="exact"/>
        <w:rPr>
          <w:sz w:val="20"/>
          <w:szCs w:val="20"/>
          <w:color w:val="auto"/>
        </w:rPr>
      </w:pPr>
    </w:p>
    <w:p>
      <w:pPr>
        <w:ind w:left="1360" w:hanging="217"/>
        <w:spacing w:after="0"/>
        <w:tabs>
          <w:tab w:leader="none" w:pos="136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cure any ambiguity, omission, defect or inconsistency in this Indenture;</w:t>
      </w:r>
    </w:p>
    <w:p>
      <w:pPr>
        <w:spacing w:after="0" w:line="198"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for the assumption by a Successor Company of the obligations of the Company under this Indenture pursuant to Article 11;</w:t>
      </w:r>
    </w:p>
    <w:p>
      <w:pPr>
        <w:spacing w:after="0" w:line="198"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 guarantees with respect to the Notes;</w:t>
      </w:r>
    </w:p>
    <w:p>
      <w:pPr>
        <w:spacing w:after="0" w:line="198"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secure the Notes;</w:t>
      </w:r>
    </w:p>
    <w:p>
      <w:pPr>
        <w:spacing w:after="0" w:line="198" w:lineRule="exact"/>
        <w:rPr>
          <w:rFonts w:ascii="Times New Roman" w:cs="Times New Roman" w:eastAsia="Times New Roman" w:hAnsi="Times New Roman"/>
          <w:sz w:val="16"/>
          <w:szCs w:val="16"/>
          <w:color w:val="auto"/>
        </w:rPr>
      </w:pPr>
    </w:p>
    <w:p>
      <w:pPr>
        <w:ind w:left="1380" w:hanging="237"/>
        <w:spacing w:after="0"/>
        <w:tabs>
          <w:tab w:leader="none" w:pos="138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 to the covenants or Events of Default of the Company for the benefit of the Holders or surrender any right or power conferred upon the Company</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this Indenture;</w:t>
      </w:r>
    </w:p>
    <w:p>
      <w:pPr>
        <w:spacing w:after="0" w:line="181" w:lineRule="exact"/>
        <w:rPr>
          <w:rFonts w:ascii="Times New Roman" w:cs="Times New Roman" w:eastAsia="Times New Roman" w:hAnsi="Times New Roman"/>
          <w:sz w:val="16"/>
          <w:szCs w:val="16"/>
          <w:color w:val="auto"/>
        </w:rPr>
      </w:pPr>
    </w:p>
    <w:p>
      <w:pPr>
        <w:ind w:left="1380" w:hanging="237"/>
        <w:spacing w:after="0"/>
        <w:tabs>
          <w:tab w:leader="none" w:pos="138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any change that does not adversely affect the rights of any Holder in any material respect;</w:t>
      </w:r>
    </w:p>
    <w:p>
      <w:pPr>
        <w:spacing w:after="0" w:line="198"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 the Conversion Rate as provided herein;</w:t>
      </w:r>
    </w:p>
    <w:p>
      <w:pPr>
        <w:spacing w:after="0" w:line="198"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provide for the acceptance of appointment by a successor trustee or facilitate the administration of the trusts under this Indenture by more than one trustee;</w:t>
      </w:r>
    </w:p>
    <w:p>
      <w:pPr>
        <w:spacing w:after="0" w:line="207" w:lineRule="exact"/>
        <w:rPr>
          <w:rFonts w:ascii="Times New Roman" w:cs="Times New Roman" w:eastAsia="Times New Roman" w:hAnsi="Times New Roman"/>
          <w:sz w:val="15"/>
          <w:szCs w:val="15"/>
          <w:color w:val="auto"/>
        </w:rPr>
      </w:pPr>
    </w:p>
    <w:p>
      <w:pPr>
        <w:jc w:val="both"/>
        <w:ind w:firstLine="1143"/>
        <w:spacing w:after="0" w:line="266" w:lineRule="auto"/>
        <w:tabs>
          <w:tab w:leader="none" w:pos="1428"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irrevocably elect a Settlement Method or a Specified Dollar Amount, or eliminate the Company’s ability to select a Settlement Method;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no such election or elimination will affect any Settlement Method theretofore elected (or deemed to be elected) with respect to any Note pursuant to Section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14.02;</w:t>
      </w:r>
    </w:p>
    <w:p>
      <w:pPr>
        <w:spacing w:after="0" w:line="155" w:lineRule="exact"/>
        <w:rPr>
          <w:rFonts w:ascii="Times New Roman" w:cs="Times New Roman" w:eastAsia="Times New Roman" w:hAnsi="Times New Roman"/>
          <w:sz w:val="16"/>
          <w:szCs w:val="16"/>
          <w:color w:val="auto"/>
        </w:rPr>
      </w:pPr>
    </w:p>
    <w:p>
      <w:pPr>
        <w:ind w:firstLine="1143"/>
        <w:spacing w:after="0" w:line="280" w:lineRule="auto"/>
        <w:tabs>
          <w:tab w:leader="none" w:pos="1381"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any Merger Event, provide that the notes are convertible into Reference Property, subject to the provisions of Section 14.02, and make such related changes to the terms of the Notes to the extent expressly required by Section 14.07;</w:t>
      </w:r>
    </w:p>
    <w:p>
      <w:pPr>
        <w:spacing w:after="0" w:line="144" w:lineRule="exact"/>
        <w:rPr>
          <w:rFonts w:ascii="Times New Roman" w:cs="Times New Roman" w:eastAsia="Times New Roman" w:hAnsi="Times New Roman"/>
          <w:sz w:val="16"/>
          <w:szCs w:val="16"/>
          <w:color w:val="auto"/>
        </w:rPr>
      </w:pPr>
    </w:p>
    <w:p>
      <w:pPr>
        <w:ind w:firstLine="1143"/>
        <w:spacing w:after="0" w:line="280" w:lineRule="auto"/>
        <w:tabs>
          <w:tab w:leader="none" w:pos="1396"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comply with the rules of any applicable Depositary, including The Depository Trust Company, so long as such amendment does not materially and adversely affect the rights of any Holder;</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73" w:name="page74"/>
    <w:bookmarkEnd w:id="73"/>
    <w:p>
      <w:pPr>
        <w:ind w:left="1340" w:hanging="197"/>
        <w:spacing w:after="0"/>
        <w:tabs>
          <w:tab w:leader="none" w:pos="134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for the issuance of additional Notes in accordance with this Indenture; or</w:t>
      </w:r>
    </w:p>
    <w:p>
      <w:pPr>
        <w:spacing w:after="0" w:line="198" w:lineRule="exact"/>
        <w:rPr>
          <w:rFonts w:ascii="Times New Roman" w:cs="Times New Roman" w:eastAsia="Times New Roman" w:hAnsi="Times New Roman"/>
          <w:sz w:val="16"/>
          <w:szCs w:val="16"/>
          <w:color w:val="auto"/>
        </w:rPr>
      </w:pPr>
    </w:p>
    <w:p>
      <w:pPr>
        <w:ind w:firstLine="1143"/>
        <w:spacing w:after="0" w:line="280" w:lineRule="auto"/>
        <w:tabs>
          <w:tab w:leader="none" w:pos="1429"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comply with any requirement of the Commission in connection with the qualification of this Indenture under the Trust Indenture Act to the extent this Indenture is qualified thereunder.</w:t>
      </w:r>
    </w:p>
    <w:p>
      <w:pPr>
        <w:spacing w:after="0" w:line="144" w:lineRule="exact"/>
        <w:rPr>
          <w:sz w:val="20"/>
          <w:szCs w:val="20"/>
          <w:color w:val="auto"/>
        </w:rPr>
      </w:pPr>
    </w:p>
    <w:p>
      <w:pPr>
        <w:jc w:val="both"/>
        <w:ind w:right="20" w:firstLine="382"/>
        <w:spacing w:after="0" w:line="265" w:lineRule="auto"/>
        <w:rPr>
          <w:sz w:val="20"/>
          <w:szCs w:val="20"/>
          <w:color w:val="auto"/>
        </w:rPr>
      </w:pPr>
      <w:r>
        <w:rPr>
          <w:rFonts w:ascii="Times New Roman" w:cs="Times New Roman" w:eastAsia="Times New Roman" w:hAnsi="Times New Roman"/>
          <w:sz w:val="16"/>
          <w:szCs w:val="16"/>
          <w:color w:val="auto"/>
        </w:rPr>
        <w:t>Upon the written request of the Company, the Trustee is hereby authorized to join with the Company in the execution of any such amendment or supplemental indenture and to make any further appropriate agreements and stipulations that may be therein contained, but the Trustee shall not be obligated to, but may in its discretion, enter into any supplemental indenture that affects the Trustee’s own rights, duties or immunities under this Indenture or otherwise.</w:t>
      </w:r>
    </w:p>
    <w:p>
      <w:pPr>
        <w:spacing w:after="0" w:line="155" w:lineRule="exact"/>
        <w:rPr>
          <w:sz w:val="20"/>
          <w:szCs w:val="20"/>
          <w:color w:val="auto"/>
        </w:rPr>
      </w:pPr>
    </w:p>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Any supplemental indenture authorized by the provisions of this Section 10.01 may be executed by the Company and the Trustee without the consent of the Holders of any of the Notes at the time outstanding, notwithstanding any of the provisions of Section 10.02.</w:t>
      </w:r>
    </w:p>
    <w:p>
      <w:pPr>
        <w:spacing w:after="0" w:line="142"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6"/>
          <w:szCs w:val="16"/>
          <w:color w:val="auto"/>
        </w:rPr>
        <w:t xml:space="preserve">Section 10.02. </w:t>
      </w:r>
      <w:r>
        <w:rPr>
          <w:rFonts w:ascii="Times New Roman" w:cs="Times New Roman" w:eastAsia="Times New Roman" w:hAnsi="Times New Roman"/>
          <w:sz w:val="16"/>
          <w:szCs w:val="16"/>
          <w:i w:val="1"/>
          <w:iCs w:val="1"/>
          <w:color w:val="auto"/>
        </w:rPr>
        <w:t>Supplemental Indentures with Consent of Holders.</w:t>
      </w:r>
      <w:r>
        <w:rPr>
          <w:rFonts w:ascii="Times New Roman" w:cs="Times New Roman" w:eastAsia="Times New Roman" w:hAnsi="Times New Roman"/>
          <w:sz w:val="16"/>
          <w:szCs w:val="16"/>
          <w:color w:val="auto"/>
        </w:rPr>
        <w:t xml:space="preserve"> With the consent (evidenced as provided in Article 8) of the Holders of at least a majority of the aggregate principal amount of the Notes then outstanding (determined in accordance with Article 8 and including, without limitation, consents obtained in connection with a repurchase of, or tender or exchange offer for, Notes), the Company and the Trustee, at the Company’s expense, may from time to time and at any time enter into an indenture or indentures supplemental hereto for the purpose of adding any provisions to or changing in any manner or eliminating any of the provisions of this Indenture, the Notes or any supplemental indenture or of modifying in any manner the rights of the Holders;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without the consent of each Holder of an outstanding Note affected, no such supplemental indenture shall:</w:t>
      </w:r>
    </w:p>
    <w:p>
      <w:pPr>
        <w:spacing w:after="0" w:line="163" w:lineRule="exact"/>
        <w:rPr>
          <w:sz w:val="20"/>
          <w:szCs w:val="20"/>
          <w:color w:val="auto"/>
        </w:rPr>
      </w:pPr>
    </w:p>
    <w:p>
      <w:pPr>
        <w:ind w:left="1360" w:hanging="217"/>
        <w:spacing w:after="0"/>
        <w:tabs>
          <w:tab w:leader="none" w:pos="136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 the principal amount of Notes whose Holders must consent to an amendment;</w:t>
      </w:r>
    </w:p>
    <w:p>
      <w:pPr>
        <w:spacing w:after="0" w:line="198"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 the rate of or extend the stated time for payment of interest on any Note;</w:t>
      </w:r>
    </w:p>
    <w:p>
      <w:pPr>
        <w:spacing w:after="0" w:line="198"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 the principal of, reduce the premium payable upon conversion or redemption of a Note or extend the Maturity Date of any Note;</w:t>
      </w:r>
    </w:p>
    <w:p>
      <w:pPr>
        <w:spacing w:after="0" w:line="198"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any change that adversely affects the conversion rights of any Notes;</w:t>
      </w:r>
    </w:p>
    <w:p>
      <w:pPr>
        <w:spacing w:after="0" w:line="198" w:lineRule="exact"/>
        <w:rPr>
          <w:rFonts w:ascii="Times New Roman" w:cs="Times New Roman" w:eastAsia="Times New Roman" w:hAnsi="Times New Roman"/>
          <w:sz w:val="16"/>
          <w:szCs w:val="16"/>
          <w:color w:val="auto"/>
        </w:rPr>
      </w:pPr>
    </w:p>
    <w:p>
      <w:pPr>
        <w:ind w:right="20" w:firstLine="1143"/>
        <w:spacing w:after="0" w:line="280" w:lineRule="auto"/>
        <w:tabs>
          <w:tab w:leader="none" w:pos="1376"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 the Redemption Price or the Fundamental Change Repurchase Price of any Note or amend or modify in any manner adverse to the Holders the Company’s obligation to make such payments, whether through an amendment or waiver of provisions in the covenants, definitions or otherwise;</w:t>
      </w:r>
    </w:p>
    <w:p>
      <w:pPr>
        <w:spacing w:after="0" w:line="144" w:lineRule="exact"/>
        <w:rPr>
          <w:rFonts w:ascii="Times New Roman" w:cs="Times New Roman" w:eastAsia="Times New Roman" w:hAnsi="Times New Roman"/>
          <w:sz w:val="16"/>
          <w:szCs w:val="16"/>
          <w:color w:val="auto"/>
        </w:rPr>
      </w:pPr>
    </w:p>
    <w:p>
      <w:pPr>
        <w:ind w:left="1380" w:hanging="237"/>
        <w:spacing w:after="0"/>
        <w:tabs>
          <w:tab w:leader="none" w:pos="138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any Note payable in a currency, or at a place of payment, other than that stated in the Note;</w:t>
      </w:r>
    </w:p>
    <w:p>
      <w:pPr>
        <w:spacing w:after="0" w:line="198"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 the ranking of the Notes;</w:t>
      </w:r>
    </w:p>
    <w:p>
      <w:pPr>
        <w:spacing w:after="0" w:line="198" w:lineRule="exact"/>
        <w:rPr>
          <w:rFonts w:ascii="Times New Roman" w:cs="Times New Roman" w:eastAsia="Times New Roman" w:hAnsi="Times New Roman"/>
          <w:sz w:val="16"/>
          <w:szCs w:val="16"/>
          <w:color w:val="auto"/>
        </w:rPr>
      </w:pPr>
    </w:p>
    <w:p>
      <w:pPr>
        <w:ind w:right="20" w:firstLine="1143"/>
        <w:spacing w:after="0" w:line="280" w:lineRule="auto"/>
        <w:tabs>
          <w:tab w:leader="none" w:pos="1373"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impair the right of any Holder to receive payment of principal and interest on such Holder’s Note on or after the due dates therefor or to institute suit for the enforcement of any payment on or with respect to such Holder’s Notes; or</w:t>
      </w:r>
    </w:p>
    <w:p>
      <w:pPr>
        <w:spacing w:after="0" w:line="144" w:lineRule="exact"/>
        <w:rPr>
          <w:rFonts w:ascii="Times New Roman" w:cs="Times New Roman" w:eastAsia="Times New Roman" w:hAnsi="Times New Roman"/>
          <w:sz w:val="16"/>
          <w:szCs w:val="16"/>
          <w:color w:val="auto"/>
        </w:rPr>
      </w:pPr>
    </w:p>
    <w:p>
      <w:pPr>
        <w:ind w:left="1380" w:hanging="237"/>
        <w:spacing w:after="0"/>
        <w:tabs>
          <w:tab w:leader="none" w:pos="138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any change in this Article 10 that requires each Holder’s consent or in the waiver provisions in Section 6.02 or Section 6.09.</w:t>
      </w:r>
    </w:p>
    <w:p>
      <w:pPr>
        <w:spacing w:after="0" w:line="198" w:lineRule="exact"/>
        <w:rPr>
          <w:sz w:val="20"/>
          <w:szCs w:val="20"/>
          <w:color w:val="auto"/>
        </w:rPr>
      </w:pPr>
    </w:p>
    <w:p>
      <w:pPr>
        <w:jc w:val="both"/>
        <w:ind w:firstLine="382"/>
        <w:spacing w:after="0" w:line="265" w:lineRule="auto"/>
        <w:rPr>
          <w:sz w:val="20"/>
          <w:szCs w:val="20"/>
          <w:color w:val="auto"/>
        </w:rPr>
      </w:pPr>
      <w:r>
        <w:rPr>
          <w:rFonts w:ascii="Times New Roman" w:cs="Times New Roman" w:eastAsia="Times New Roman" w:hAnsi="Times New Roman"/>
          <w:sz w:val="16"/>
          <w:szCs w:val="16"/>
          <w:color w:val="auto"/>
        </w:rPr>
        <w:t>Upon the written request of the Company, and upon the filing with the Trustee of evidence of the consent of requisite Holders as aforesaid and subject to Section 10.05,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spacing w:after="0" w:line="155"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6"/>
          <w:szCs w:val="16"/>
          <w:color w:val="auto"/>
        </w:rPr>
        <w:t>Holders do not need under this Section 10.02 to approve the particular form of any proposed supplemental indenture. It shall be sufficient if such Holders approve the substance thereof. After any such supplemental indenture becomes effective, the Company shall deliver to the Holders a notice (with a copy to the Trustee) briefly describing such supplemental indenture. However, the failure to give such notice to all the Holders (with a copy to the Trustee), or any defect in the notice, will not impair or affect the validity of the supplemental indenture.</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4" w:name="page75"/>
    <w:bookmarkEnd w:id="74"/>
    <w:p>
      <w:pPr>
        <w:jc w:val="both"/>
        <w:ind w:right="20" w:firstLine="382"/>
        <w:spacing w:after="0" w:line="260" w:lineRule="auto"/>
        <w:rPr>
          <w:sz w:val="20"/>
          <w:szCs w:val="20"/>
          <w:color w:val="auto"/>
        </w:rPr>
      </w:pPr>
      <w:r>
        <w:rPr>
          <w:rFonts w:ascii="Times New Roman" w:cs="Times New Roman" w:eastAsia="Times New Roman" w:hAnsi="Times New Roman"/>
          <w:sz w:val="16"/>
          <w:szCs w:val="16"/>
          <w:color w:val="auto"/>
        </w:rPr>
        <w:t xml:space="preserve">Section 10.03. </w:t>
      </w:r>
      <w:r>
        <w:rPr>
          <w:rFonts w:ascii="Times New Roman" w:cs="Times New Roman" w:eastAsia="Times New Roman" w:hAnsi="Times New Roman"/>
          <w:sz w:val="16"/>
          <w:szCs w:val="16"/>
          <w:i w:val="1"/>
          <w:iCs w:val="1"/>
          <w:color w:val="auto"/>
        </w:rPr>
        <w:t>Effect of Supplemental Indentures.</w:t>
      </w:r>
      <w:r>
        <w:rPr>
          <w:rFonts w:ascii="Times New Roman" w:cs="Times New Roman" w:eastAsia="Times New Roman" w:hAnsi="Times New Roman"/>
          <w:sz w:val="16"/>
          <w:szCs w:val="16"/>
          <w:color w:val="auto"/>
        </w:rPr>
        <w:t xml:space="preserve"> Upon the execution of any supplemental indenture pursuant to the provisions of this Article 10, this Indenture shall be and be deemed to be modified and amended in accordance therewith and the respective rights, limitation of rights, obligations, duties and immunities under this Indenture of the Trustee, the Company and the Holders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59"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6"/>
          <w:szCs w:val="16"/>
          <w:color w:val="auto"/>
        </w:rPr>
        <w:t xml:space="preserve">Section 10.04. </w:t>
      </w:r>
      <w:r>
        <w:rPr>
          <w:rFonts w:ascii="Times New Roman" w:cs="Times New Roman" w:eastAsia="Times New Roman" w:hAnsi="Times New Roman"/>
          <w:sz w:val="16"/>
          <w:szCs w:val="16"/>
          <w:i w:val="1"/>
          <w:iCs w:val="1"/>
          <w:color w:val="auto"/>
        </w:rPr>
        <w:t>Notation on Notes.</w:t>
      </w:r>
      <w:r>
        <w:rPr>
          <w:rFonts w:ascii="Times New Roman" w:cs="Times New Roman" w:eastAsia="Times New Roman" w:hAnsi="Times New Roman"/>
          <w:sz w:val="16"/>
          <w:szCs w:val="16"/>
          <w:color w:val="auto"/>
        </w:rPr>
        <w:t xml:space="preserve"> Notes authenticated and delivered after the execution of any supplemental indenture pursuant to the provisions of this Article 10 may, at the Company’s expense, bear a notation in form approved by the Trustee as to any matter provided for in such supplemental indenture. If the Company or the Trustee shall so determine, new Notes so modified as to conform, in the opinion of the Trustee and the Company, to any modification of this Indenture contained in any such supplemental indenture may, at the Company’s expense, be prepared and executed by the Company, authenticated by the Trustee (or an authenticating agent duly appointed by the Trustee pursuant to Section 18.10) and delivered in exchange for the Notes then outstanding, upon surrender of such Notes then outstanding.</w:t>
      </w:r>
    </w:p>
    <w:p>
      <w:pPr>
        <w:spacing w:after="0" w:line="162"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6"/>
          <w:szCs w:val="16"/>
          <w:color w:val="auto"/>
        </w:rPr>
        <w:t xml:space="preserve">Section 10.05. </w:t>
      </w:r>
      <w:r>
        <w:rPr>
          <w:rFonts w:ascii="Times New Roman" w:cs="Times New Roman" w:eastAsia="Times New Roman" w:hAnsi="Times New Roman"/>
          <w:sz w:val="16"/>
          <w:szCs w:val="16"/>
          <w:i w:val="1"/>
          <w:iCs w:val="1"/>
          <w:color w:val="auto"/>
        </w:rPr>
        <w:t>Evidence of Compliance of Supplemental Indenture to Be Furnished Trustee.</w:t>
      </w:r>
      <w:r>
        <w:rPr>
          <w:rFonts w:ascii="Times New Roman" w:cs="Times New Roman" w:eastAsia="Times New Roman" w:hAnsi="Times New Roman"/>
          <w:sz w:val="16"/>
          <w:szCs w:val="16"/>
          <w:color w:val="auto"/>
        </w:rPr>
        <w:t xml:space="preserve"> In addition to the documents required by Section 18.05, the Trustee shall receive an Officer’s Certificate and an Opinion of Counsel as conclusive evidence that any supplemental indenture executed pursuant hereto complies with the requirements of this Article 10 and is permitted or authorized by this Indenture; such Opinion of Counsel shall include a customary legal opinion stating that such supplemental indenture is the valid and binding obligation of the Company, subject to customary exceptions and qualifications. The Trustee shall have no responsibility for determining whether any amendment or supplemental indenture will or may have an adverse effect on any Holder.</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11</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w:t>
      </w:r>
      <w:r>
        <w:rPr>
          <w:rFonts w:ascii="Times New Roman" w:cs="Times New Roman" w:eastAsia="Times New Roman" w:hAnsi="Times New Roman"/>
          <w:sz w:val="10"/>
          <w:szCs w:val="10"/>
          <w:color w:val="auto"/>
        </w:rPr>
        <w:t>onsolidation</w:t>
      </w:r>
      <w:r>
        <w:rPr>
          <w:rFonts w:ascii="Times New Roman" w:cs="Times New Roman" w:eastAsia="Times New Roman" w:hAnsi="Times New Roman"/>
          <w:sz w:val="16"/>
          <w:szCs w:val="16"/>
          <w:color w:val="auto"/>
        </w:rPr>
        <w:t>, M</w:t>
      </w:r>
      <w:r>
        <w:rPr>
          <w:rFonts w:ascii="Times New Roman" w:cs="Times New Roman" w:eastAsia="Times New Roman" w:hAnsi="Times New Roman"/>
          <w:sz w:val="10"/>
          <w:szCs w:val="10"/>
          <w:color w:val="auto"/>
        </w:rPr>
        <w:t>erger</w:t>
      </w:r>
      <w:r>
        <w:rPr>
          <w:rFonts w:ascii="Times New Roman" w:cs="Times New Roman" w:eastAsia="Times New Roman" w:hAnsi="Times New Roman"/>
          <w:sz w:val="16"/>
          <w:szCs w:val="16"/>
          <w:color w:val="auto"/>
        </w:rPr>
        <w:t>, S</w:t>
      </w:r>
      <w:r>
        <w:rPr>
          <w:rFonts w:ascii="Times New Roman" w:cs="Times New Roman" w:eastAsia="Times New Roman" w:hAnsi="Times New Roman"/>
          <w:sz w:val="10"/>
          <w:szCs w:val="10"/>
          <w:color w:val="auto"/>
        </w:rPr>
        <w:t>ale</w:t>
      </w:r>
      <w:r>
        <w:rPr>
          <w:rFonts w:ascii="Times New Roman" w:cs="Times New Roman" w:eastAsia="Times New Roman" w:hAnsi="Times New Roman"/>
          <w:sz w:val="16"/>
          <w:szCs w:val="16"/>
          <w:color w:val="auto"/>
        </w:rPr>
        <w:t>, C</w:t>
      </w:r>
      <w:r>
        <w:rPr>
          <w:rFonts w:ascii="Times New Roman" w:cs="Times New Roman" w:eastAsia="Times New Roman" w:hAnsi="Times New Roman"/>
          <w:sz w:val="10"/>
          <w:szCs w:val="10"/>
          <w:color w:val="auto"/>
        </w:rPr>
        <w:t>onveyance and</w:t>
      </w:r>
      <w:r>
        <w:rPr>
          <w:rFonts w:ascii="Times New Roman" w:cs="Times New Roman" w:eastAsia="Times New Roman" w:hAnsi="Times New Roman"/>
          <w:sz w:val="16"/>
          <w:szCs w:val="16"/>
          <w:color w:val="auto"/>
        </w:rPr>
        <w:t xml:space="preserve"> L</w:t>
      </w:r>
      <w:r>
        <w:rPr>
          <w:rFonts w:ascii="Times New Roman" w:cs="Times New Roman" w:eastAsia="Times New Roman" w:hAnsi="Times New Roman"/>
          <w:sz w:val="10"/>
          <w:szCs w:val="10"/>
          <w:color w:val="auto"/>
        </w:rPr>
        <w:t>ease</w:t>
      </w:r>
    </w:p>
    <w:p>
      <w:pPr>
        <w:spacing w:after="0" w:line="180" w:lineRule="exact"/>
        <w:rPr>
          <w:sz w:val="20"/>
          <w:szCs w:val="20"/>
          <w:color w:val="auto"/>
        </w:rPr>
      </w:pPr>
    </w:p>
    <w:p>
      <w:pPr>
        <w:jc w:val="both"/>
        <w:ind w:right="20" w:firstLine="382"/>
        <w:spacing w:after="0" w:line="318" w:lineRule="auto"/>
        <w:rPr>
          <w:sz w:val="20"/>
          <w:szCs w:val="20"/>
          <w:color w:val="auto"/>
        </w:rPr>
      </w:pPr>
      <w:r>
        <w:rPr>
          <w:rFonts w:ascii="Times New Roman" w:cs="Times New Roman" w:eastAsia="Times New Roman" w:hAnsi="Times New Roman"/>
          <w:sz w:val="15"/>
          <w:szCs w:val="15"/>
          <w:color w:val="auto"/>
        </w:rPr>
        <w:t xml:space="preserve">Section 11.01. </w:t>
      </w:r>
      <w:r>
        <w:rPr>
          <w:rFonts w:ascii="Times New Roman" w:cs="Times New Roman" w:eastAsia="Times New Roman" w:hAnsi="Times New Roman"/>
          <w:sz w:val="15"/>
          <w:szCs w:val="15"/>
          <w:i w:val="1"/>
          <w:iCs w:val="1"/>
          <w:color w:val="auto"/>
        </w:rPr>
        <w:t>Company May Consolidate, Etc. on Certain Terms.</w:t>
      </w:r>
      <w:r>
        <w:rPr>
          <w:rFonts w:ascii="Times New Roman" w:cs="Times New Roman" w:eastAsia="Times New Roman" w:hAnsi="Times New Roman"/>
          <w:sz w:val="15"/>
          <w:szCs w:val="15"/>
          <w:color w:val="auto"/>
        </w:rPr>
        <w:t xml:space="preserve"> Subject to the provisions of Section 11.02, the Company shall not consolidate with, merge with or into, or sell, convey, transfer or lease all or substantially all of the consolidated assets of the Company and its consolidated subsidiaries, taken as a whole, to another Person unless:</w:t>
      </w:r>
    </w:p>
    <w:p>
      <w:pPr>
        <w:spacing w:after="0" w:line="116" w:lineRule="exact"/>
        <w:rPr>
          <w:sz w:val="20"/>
          <w:szCs w:val="20"/>
          <w:color w:val="auto"/>
        </w:rPr>
      </w:pPr>
    </w:p>
    <w:p>
      <w:pPr>
        <w:jc w:val="both"/>
        <w:ind w:firstLine="1143"/>
        <w:spacing w:after="0" w:line="266" w:lineRule="auto"/>
        <w:tabs>
          <w:tab w:leader="none" w:pos="1364"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resulting, surviving or transferee Person (the “</w:t>
      </w:r>
      <w:r>
        <w:rPr>
          <w:rFonts w:ascii="Times New Roman" w:cs="Times New Roman" w:eastAsia="Times New Roman" w:hAnsi="Times New Roman"/>
          <w:sz w:val="16"/>
          <w:szCs w:val="16"/>
          <w:b w:val="1"/>
          <w:bCs w:val="1"/>
          <w:color w:val="auto"/>
        </w:rPr>
        <w:t>Successor Company</w:t>
      </w:r>
      <w:r>
        <w:rPr>
          <w:rFonts w:ascii="Times New Roman" w:cs="Times New Roman" w:eastAsia="Times New Roman" w:hAnsi="Times New Roman"/>
          <w:sz w:val="16"/>
          <w:szCs w:val="16"/>
          <w:color w:val="auto"/>
        </w:rPr>
        <w:t>”), if not the Company, shall be a corporation organized and existing under the laws of the United States of America, any State thereof or the District of Columbia, and the Successor Company (if not the Company) shall expressly assume, by supplemental indenture all of the obligations of the Company under the Notes and this Indenture;</w:t>
      </w:r>
    </w:p>
    <w:p>
      <w:pPr>
        <w:spacing w:after="0" w:line="155"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immediately after giving effect to such transaction, no Default or Event of Default shall have occurred and be continuing under this Indenture;</w:t>
      </w:r>
    </w:p>
    <w:p>
      <w:pPr>
        <w:spacing w:after="0" w:line="198" w:lineRule="exact"/>
        <w:rPr>
          <w:rFonts w:ascii="Times New Roman" w:cs="Times New Roman" w:eastAsia="Times New Roman" w:hAnsi="Times New Roman"/>
          <w:sz w:val="16"/>
          <w:szCs w:val="16"/>
          <w:color w:val="auto"/>
        </w:rPr>
      </w:pPr>
    </w:p>
    <w:p>
      <w:pPr>
        <w:jc w:val="both"/>
        <w:ind w:firstLine="1143"/>
        <w:spacing w:after="0" w:line="259" w:lineRule="auto"/>
        <w:tabs>
          <w:tab w:leader="none" w:pos="1376"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upon the occurrence of any such transaction, (x) the Notes would become convertible into securities issued by an issuer other than the resulting, surviving, transferee or successor corporation, and (y) such resulting, surviving, transferee or successor corporation is a Wholly Owned Subsidiary of the issuer of such securities into which the Notes have become convertible, such other issuer shall fully and unconditionally guarantee on a senior basis the resulting, surviving, transferee or successor corporation’s obligations under the Notes; and</w:t>
      </w:r>
    </w:p>
    <w:p>
      <w:pPr>
        <w:spacing w:after="0" w:line="161" w:lineRule="exact"/>
        <w:rPr>
          <w:rFonts w:ascii="Times New Roman" w:cs="Times New Roman" w:eastAsia="Times New Roman" w:hAnsi="Times New Roman"/>
          <w:sz w:val="16"/>
          <w:szCs w:val="16"/>
          <w:color w:val="auto"/>
        </w:rPr>
      </w:pPr>
    </w:p>
    <w:p>
      <w:pPr>
        <w:ind w:right="20" w:firstLine="1143"/>
        <w:spacing w:after="0" w:line="280" w:lineRule="auto"/>
        <w:tabs>
          <w:tab w:leader="none" w:pos="1373"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Guarantor, unless such Guarantor is the Person with which the Company has entered into a transaction under this Section 11.01, will have confirmed in writing that its Guarantee will continue to apply to the Obligations of the Company or the surviving entity in accordance with the Notes and this Indenture.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75" w:name="page76"/>
    <w:bookmarkEnd w:id="75"/>
    <w:p>
      <w:pPr>
        <w:jc w:val="both"/>
        <w:ind w:left="4" w:firstLine="382"/>
        <w:spacing w:after="0" w:line="257" w:lineRule="auto"/>
        <w:rPr>
          <w:sz w:val="20"/>
          <w:szCs w:val="20"/>
          <w:color w:val="auto"/>
        </w:rPr>
      </w:pPr>
      <w:r>
        <w:rPr>
          <w:rFonts w:ascii="Times New Roman" w:cs="Times New Roman" w:eastAsia="Times New Roman" w:hAnsi="Times New Roman"/>
          <w:sz w:val="16"/>
          <w:szCs w:val="16"/>
          <w:color w:val="auto"/>
        </w:rPr>
        <w:t>For purposes of this Section 11.01, the sale, conveyance, transfer or lease of all or substantially all of the properties and assets of one or more Subsidiaries of the Company to another Person, which properties and assets, if held by the Company instead of such Subsidiaries, would constitute all or substantially all of the properties and assets of the Company on a consolidated basis, shall be deemed to be the sale, conveyance, transfer or lease of all or substantially all of the properties and assets of the Company to another Person. Notwithstanding the foregoing, this Article 11 shall not apply to any sale, conveyance, transfer or lease of assets between or among the Company and its direct or indirect Wholly Owned Subsidiaries and, in such an event, the Company shall not be discharged from its obligations under the Notes and this Indenture.</w:t>
      </w:r>
    </w:p>
    <w:p>
      <w:pPr>
        <w:spacing w:after="0" w:line="160" w:lineRule="exact"/>
        <w:rPr>
          <w:sz w:val="20"/>
          <w:szCs w:val="20"/>
          <w:color w:val="auto"/>
        </w:rPr>
      </w:pPr>
    </w:p>
    <w:p>
      <w:pPr>
        <w:jc w:val="both"/>
        <w:ind w:left="4" w:firstLine="382"/>
        <w:spacing w:after="0" w:line="251" w:lineRule="auto"/>
        <w:rPr>
          <w:sz w:val="20"/>
          <w:szCs w:val="20"/>
          <w:color w:val="auto"/>
        </w:rPr>
      </w:pPr>
      <w:r>
        <w:rPr>
          <w:rFonts w:ascii="Times New Roman" w:cs="Times New Roman" w:eastAsia="Times New Roman" w:hAnsi="Times New Roman"/>
          <w:sz w:val="16"/>
          <w:szCs w:val="16"/>
          <w:color w:val="auto"/>
        </w:rPr>
        <w:t xml:space="preserve">Section 11.02. </w:t>
      </w:r>
      <w:r>
        <w:rPr>
          <w:rFonts w:ascii="Times New Roman" w:cs="Times New Roman" w:eastAsia="Times New Roman" w:hAnsi="Times New Roman"/>
          <w:sz w:val="16"/>
          <w:szCs w:val="16"/>
          <w:i w:val="1"/>
          <w:iCs w:val="1"/>
          <w:color w:val="auto"/>
        </w:rPr>
        <w:t>Successor Corporation to Be Substituted.</w:t>
      </w:r>
      <w:r>
        <w:rPr>
          <w:rFonts w:ascii="Times New Roman" w:cs="Times New Roman" w:eastAsia="Times New Roman" w:hAnsi="Times New Roman"/>
          <w:sz w:val="16"/>
          <w:szCs w:val="16"/>
          <w:color w:val="auto"/>
        </w:rPr>
        <w:t xml:space="preserve"> In case of any such consolidation, merger, sale, conveyance, transfer or lease and upon the assumption by the Successor Company, by supplemental indenture, executed and delivered to the Trustee and satisfactory in form to the Trustee, of the due and punctual payment of the principal of and accrued and unpaid interest on all of the Notes, the due and punctual delivery or payment, as the case may be, of any consideration due upon conversion of the Notes and the due and punctual performance of all of the covenants and conditions of this Indenture to be performed by the Company, such Successor Company (if not the Company) shall succeed to and, except in the case of a lease of all or substantially all of the Company’s properties and assets, shall be substituted for the Company, with the same effect as if it had been named herein as the party of the first part, and may thereafter exercise every right and power of the Company under this Indenture. Such Successor Company thereupon may cause to be signed, and may issue either in its own name or in the name of the Company any or all of the Notes issuable hereunder which theretofore shall not have been signed by the Company and delivered to the Trustee; and, upon the order of such Successor Company instead of the Company and subject to all the terms, conditions and limitations in this Indenture prescribed, the Trustee shall authenticate and shall deliver, or cause to be authenticated and delivered, any Notes that previously shall have been signed and delivered by the Officers of the Company to the Trustee for authentication, and any Notes that such Successor Company thereafter shall cause to be signed and delivered to the Trustee for that purpose. All the Notes so issued shall in all respects have the same legal rank and benefit under this Indenture as the Notes theretofore or thereafter issued in accordance with the terms of this Indenture as though all of such Notes had been issued at the date of the execution hereof. In the event of any such consolidation, merger, sale, conveyance or transfer (but not in the case of a lease), upon compliance with this Article 11 the Person named as the “Company” in the first paragraph of this Indenture (or any successor that shall thereafter have become such in the manner prescribed in this Article 11) may be dissolved, wound up and liquidated at any time thereafter and, except in the case of a lease, such Person shall be released from its liabilities as obligor and maker of the Notes and from its obligations under this Indenture and the Notes.</w:t>
      </w:r>
    </w:p>
    <w:p>
      <w:pPr>
        <w:spacing w:after="0" w:line="174" w:lineRule="exact"/>
        <w:rPr>
          <w:sz w:val="20"/>
          <w:szCs w:val="20"/>
          <w:color w:val="auto"/>
        </w:rPr>
      </w:pPr>
    </w:p>
    <w:p>
      <w:pPr>
        <w:jc w:val="both"/>
        <w:ind w:left="4" w:right="20" w:firstLine="382"/>
        <w:spacing w:after="0" w:line="280" w:lineRule="auto"/>
        <w:rPr>
          <w:sz w:val="20"/>
          <w:szCs w:val="20"/>
          <w:color w:val="auto"/>
        </w:rPr>
      </w:pPr>
      <w:r>
        <w:rPr>
          <w:rFonts w:ascii="Times New Roman" w:cs="Times New Roman" w:eastAsia="Times New Roman" w:hAnsi="Times New Roman"/>
          <w:sz w:val="16"/>
          <w:szCs w:val="16"/>
          <w:color w:val="auto"/>
        </w:rPr>
        <w:t>In case of any such consolidation, merger, sale, conveyance, transfer or lease, such changes in phraseology and form (but not in substance) may be made in the Notes thereafter to be issued as may be appropriate.</w:t>
      </w:r>
    </w:p>
    <w:p>
      <w:pPr>
        <w:spacing w:after="0" w:line="14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ARTICLE 12</w:t>
      </w:r>
    </w:p>
    <w:p>
      <w:pPr>
        <w:spacing w:after="0" w:line="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I</w:t>
      </w:r>
      <w:r>
        <w:rPr>
          <w:rFonts w:ascii="Times New Roman" w:cs="Times New Roman" w:eastAsia="Times New Roman" w:hAnsi="Times New Roman"/>
          <w:sz w:val="10"/>
          <w:szCs w:val="10"/>
          <w:color w:val="auto"/>
        </w:rPr>
        <w:t>mmunity of</w:t>
      </w:r>
      <w:r>
        <w:rPr>
          <w:rFonts w:ascii="Times New Roman" w:cs="Times New Roman" w:eastAsia="Times New Roman" w:hAnsi="Times New Roman"/>
          <w:sz w:val="16"/>
          <w:szCs w:val="16"/>
          <w:color w:val="auto"/>
        </w:rPr>
        <w:t xml:space="preserve"> I</w:t>
      </w:r>
      <w:r>
        <w:rPr>
          <w:rFonts w:ascii="Times New Roman" w:cs="Times New Roman" w:eastAsia="Times New Roman" w:hAnsi="Times New Roman"/>
          <w:sz w:val="10"/>
          <w:szCs w:val="10"/>
          <w:color w:val="auto"/>
        </w:rPr>
        <w:t>ncorporators</w:t>
      </w:r>
      <w:r>
        <w:rPr>
          <w:rFonts w:ascii="Times New Roman" w:cs="Times New Roman" w:eastAsia="Times New Roman" w:hAnsi="Times New Roman"/>
          <w:sz w:val="16"/>
          <w:szCs w:val="16"/>
          <w:color w:val="auto"/>
        </w:rPr>
        <w:t>, S</w:t>
      </w:r>
      <w:r>
        <w:rPr>
          <w:rFonts w:ascii="Times New Roman" w:cs="Times New Roman" w:eastAsia="Times New Roman" w:hAnsi="Times New Roman"/>
          <w:sz w:val="10"/>
          <w:szCs w:val="10"/>
          <w:color w:val="auto"/>
        </w:rPr>
        <w:t>tockholders</w:t>
      </w:r>
      <w:r>
        <w:rPr>
          <w:rFonts w:ascii="Times New Roman" w:cs="Times New Roman" w:eastAsia="Times New Roman" w:hAnsi="Times New Roman"/>
          <w:sz w:val="16"/>
          <w:szCs w:val="16"/>
          <w:color w:val="auto"/>
        </w:rPr>
        <w:t>, O</w:t>
      </w:r>
      <w:r>
        <w:rPr>
          <w:rFonts w:ascii="Times New Roman" w:cs="Times New Roman" w:eastAsia="Times New Roman" w:hAnsi="Times New Roman"/>
          <w:sz w:val="10"/>
          <w:szCs w:val="10"/>
          <w:color w:val="auto"/>
        </w:rPr>
        <w:t>fficers and</w:t>
      </w:r>
      <w:r>
        <w:rPr>
          <w:rFonts w:ascii="Times New Roman" w:cs="Times New Roman" w:eastAsia="Times New Roman" w:hAnsi="Times New Roman"/>
          <w:sz w:val="16"/>
          <w:szCs w:val="16"/>
          <w:color w:val="auto"/>
        </w:rPr>
        <w:t xml:space="preserve"> D</w:t>
      </w:r>
      <w:r>
        <w:rPr>
          <w:rFonts w:ascii="Times New Roman" w:cs="Times New Roman" w:eastAsia="Times New Roman" w:hAnsi="Times New Roman"/>
          <w:sz w:val="10"/>
          <w:szCs w:val="10"/>
          <w:color w:val="auto"/>
        </w:rPr>
        <w:t>irectors</w:t>
      </w:r>
    </w:p>
    <w:p>
      <w:pPr>
        <w:spacing w:after="0" w:line="180" w:lineRule="exact"/>
        <w:rPr>
          <w:sz w:val="20"/>
          <w:szCs w:val="20"/>
          <w:color w:val="auto"/>
        </w:rPr>
      </w:pPr>
    </w:p>
    <w:p>
      <w:pPr>
        <w:jc w:val="both"/>
        <w:ind w:left="4" w:right="20" w:firstLine="382"/>
        <w:spacing w:after="0" w:line="276" w:lineRule="auto"/>
        <w:rPr>
          <w:sz w:val="20"/>
          <w:szCs w:val="20"/>
          <w:color w:val="auto"/>
        </w:rPr>
      </w:pPr>
      <w:r>
        <w:rPr>
          <w:rFonts w:ascii="Times New Roman" w:cs="Times New Roman" w:eastAsia="Times New Roman" w:hAnsi="Times New Roman"/>
          <w:sz w:val="15"/>
          <w:szCs w:val="15"/>
          <w:color w:val="auto"/>
        </w:rPr>
        <w:t xml:space="preserve">Section 12.01. </w:t>
      </w:r>
      <w:r>
        <w:rPr>
          <w:rFonts w:ascii="Times New Roman" w:cs="Times New Roman" w:eastAsia="Times New Roman" w:hAnsi="Times New Roman"/>
          <w:sz w:val="15"/>
          <w:szCs w:val="15"/>
          <w:i w:val="1"/>
          <w:iCs w:val="1"/>
          <w:color w:val="auto"/>
        </w:rPr>
        <w:t>Indenture and Notes Solely Corporate Obligations.</w:t>
      </w:r>
      <w:r>
        <w:rPr>
          <w:rFonts w:ascii="Times New Roman" w:cs="Times New Roman" w:eastAsia="Times New Roman" w:hAnsi="Times New Roman"/>
          <w:sz w:val="15"/>
          <w:szCs w:val="15"/>
          <w:color w:val="auto"/>
        </w:rPr>
        <w:t xml:space="preserve"> No recourse for the payment of the principal of or accrued and unpaid interest on any Note, nor for any claim based thereon or otherwise in respect thereof, and no recourse under or upon any obligation, covenant or agreement of the Company in this Indenture or in any supplemental indenture or in any Note, nor because of the creation of any indebtedness represented thereby, shall be had against any incorporator, stockholder, employee, agent, Officer or director or Subsidiary, as such, past, present or future, of the Company or of any successor corporation, either directly or through the Company or any successor corporation,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Indenture and the issue of the Notes.</w:t>
      </w:r>
    </w:p>
    <w:p>
      <w:pPr>
        <w:spacing w:after="0" w:line="15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ARTICLE 13</w:t>
      </w:r>
    </w:p>
    <w:p>
      <w:pPr>
        <w:spacing w:after="0" w:line="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[R</w:t>
      </w:r>
      <w:r>
        <w:rPr>
          <w:rFonts w:ascii="Times New Roman" w:cs="Times New Roman" w:eastAsia="Times New Roman" w:hAnsi="Times New Roman"/>
          <w:sz w:val="10"/>
          <w:szCs w:val="10"/>
          <w:color w:val="auto"/>
        </w:rPr>
        <w:t>eserved</w:t>
      </w:r>
      <w:r>
        <w:rPr>
          <w:rFonts w:ascii="Times New Roman" w:cs="Times New Roman" w:eastAsia="Times New Roman" w:hAnsi="Times New Roman"/>
          <w:sz w:val="16"/>
          <w:szCs w:val="16"/>
          <w:color w:val="auto"/>
        </w:rPr>
        <w:t>]</w:t>
      </w:r>
    </w:p>
    <w:p>
      <w:pPr>
        <w:spacing w:after="0" w:line="18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ARTICLE 14</w:t>
      </w:r>
    </w:p>
    <w:p>
      <w:pPr>
        <w:spacing w:after="0" w:line="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C</w:t>
      </w:r>
      <w:r>
        <w:rPr>
          <w:rFonts w:ascii="Times New Roman" w:cs="Times New Roman" w:eastAsia="Times New Roman" w:hAnsi="Times New Roman"/>
          <w:sz w:val="10"/>
          <w:szCs w:val="10"/>
          <w:color w:val="auto"/>
        </w:rPr>
        <w:t>onversion of</w:t>
      </w:r>
      <w:r>
        <w:rPr>
          <w:rFonts w:ascii="Times New Roman" w:cs="Times New Roman" w:eastAsia="Times New Roman" w:hAnsi="Times New Roman"/>
          <w:sz w:val="16"/>
          <w:szCs w:val="16"/>
          <w:color w:val="auto"/>
        </w:rPr>
        <w:t xml:space="preserve"> N</w:t>
      </w:r>
      <w:r>
        <w:rPr>
          <w:rFonts w:ascii="Times New Roman" w:cs="Times New Roman" w:eastAsia="Times New Roman" w:hAnsi="Times New Roman"/>
          <w:sz w:val="10"/>
          <w:szCs w:val="10"/>
          <w:color w:val="auto"/>
        </w:rPr>
        <w:t>otes</w:t>
      </w:r>
    </w:p>
    <w:p>
      <w:pPr>
        <w:spacing w:after="0" w:line="180" w:lineRule="exact"/>
        <w:rPr>
          <w:sz w:val="20"/>
          <w:szCs w:val="20"/>
          <w:color w:val="auto"/>
        </w:rPr>
      </w:pPr>
    </w:p>
    <w:p>
      <w:pPr>
        <w:jc w:val="both"/>
        <w:ind w:left="4" w:right="20" w:firstLine="382"/>
        <w:spacing w:after="0" w:line="261" w:lineRule="auto"/>
        <w:rPr>
          <w:sz w:val="20"/>
          <w:szCs w:val="20"/>
          <w:color w:val="auto"/>
        </w:rPr>
      </w:pPr>
      <w:r>
        <w:rPr>
          <w:rFonts w:ascii="Times New Roman" w:cs="Times New Roman" w:eastAsia="Times New Roman" w:hAnsi="Times New Roman"/>
          <w:sz w:val="16"/>
          <w:szCs w:val="16"/>
          <w:color w:val="auto"/>
        </w:rPr>
        <w:t xml:space="preserve">Section 14.01. </w:t>
      </w:r>
      <w:r>
        <w:rPr>
          <w:rFonts w:ascii="Times New Roman" w:cs="Times New Roman" w:eastAsia="Times New Roman" w:hAnsi="Times New Roman"/>
          <w:sz w:val="16"/>
          <w:szCs w:val="16"/>
          <w:i w:val="1"/>
          <w:iCs w:val="1"/>
          <w:color w:val="auto"/>
        </w:rPr>
        <w:t>Conversion Privilege.</w:t>
      </w:r>
      <w:r>
        <w:rPr>
          <w:rFonts w:ascii="Times New Roman" w:cs="Times New Roman" w:eastAsia="Times New Roman" w:hAnsi="Times New Roman"/>
          <w:sz w:val="16"/>
          <w:szCs w:val="16"/>
          <w:color w:val="auto"/>
        </w:rPr>
        <w:t xml:space="preserve"> Subject to and upon compliance with the provisions of this Article 14, each Holder of a Note shall have the right, at such Holder’s option, to convert all or any portion (if the portion to be converted is $1,000 principal amount or an integral multiple of $1.00 in excess thereof) of such Note at any time prior</w:t>
      </w:r>
    </w:p>
    <w:p>
      <w:pPr>
        <w:spacing w:after="0" w:line="1" w:lineRule="exact"/>
        <w:rPr>
          <w:sz w:val="20"/>
          <w:szCs w:val="20"/>
          <w:color w:val="auto"/>
        </w:rPr>
      </w:pPr>
    </w:p>
    <w:p>
      <w:pPr>
        <w:jc w:val="both"/>
        <w:ind w:left="4" w:right="20"/>
        <w:spacing w:after="0" w:line="225" w:lineRule="auto"/>
        <w:rPr>
          <w:sz w:val="20"/>
          <w:szCs w:val="20"/>
          <w:color w:val="auto"/>
        </w:rPr>
      </w:pPr>
      <w:r>
        <w:rPr>
          <w:rFonts w:ascii="Times New Roman" w:cs="Times New Roman" w:eastAsia="Times New Roman" w:hAnsi="Times New Roman"/>
          <w:sz w:val="16"/>
          <w:szCs w:val="16"/>
          <w:color w:val="auto"/>
        </w:rPr>
        <w:t>to the close of business on the second Scheduled Trading Day immediately preceding the Maturity Date at an initial conversion rate of [●]</w:t>
      </w:r>
      <w:r>
        <w:rPr>
          <w:rFonts w:ascii="Times New Roman" w:cs="Times New Roman" w:eastAsia="Times New Roman" w:hAnsi="Times New Roman"/>
          <w:sz w:val="26"/>
          <w:szCs w:val="26"/>
          <w:color w:val="auto"/>
          <w:vertAlign w:val="superscript"/>
        </w:rPr>
        <w:t>8</w:t>
      </w:r>
      <w:r>
        <w:rPr>
          <w:rFonts w:ascii="Times New Roman" w:cs="Times New Roman" w:eastAsia="Times New Roman" w:hAnsi="Times New Roman"/>
          <w:sz w:val="16"/>
          <w:szCs w:val="16"/>
          <w:color w:val="auto"/>
        </w:rPr>
        <w:t xml:space="preserve"> shares of Common Stock (subject to adjustment as provided in this Article 14, the “</w:t>
      </w:r>
      <w:r>
        <w:rPr>
          <w:rFonts w:ascii="Times New Roman" w:cs="Times New Roman" w:eastAsia="Times New Roman" w:hAnsi="Times New Roman"/>
          <w:sz w:val="16"/>
          <w:szCs w:val="16"/>
          <w:b w:val="1"/>
          <w:bCs w:val="1"/>
          <w:color w:val="auto"/>
        </w:rPr>
        <w:t>Conversion Rate</w:t>
      </w:r>
      <w:r>
        <w:rPr>
          <w:rFonts w:ascii="Times New Roman" w:cs="Times New Roman" w:eastAsia="Times New Roman" w:hAnsi="Times New Roman"/>
          <w:sz w:val="16"/>
          <w:szCs w:val="16"/>
          <w:color w:val="auto"/>
        </w:rPr>
        <w:t>”) per $1,000 principal amount of Notes (subject to, and in accordance with, the settlement provisions of Section 14.02, the “</w:t>
      </w:r>
      <w:r>
        <w:rPr>
          <w:rFonts w:ascii="Times New Roman" w:cs="Times New Roman" w:eastAsia="Times New Roman" w:hAnsi="Times New Roman"/>
          <w:sz w:val="16"/>
          <w:szCs w:val="16"/>
          <w:b w:val="1"/>
          <w:bCs w:val="1"/>
          <w:color w:val="auto"/>
        </w:rPr>
        <w:t>Conversion Obligation</w:t>
      </w:r>
      <w:r>
        <w:rPr>
          <w:rFonts w:ascii="Times New Roman" w:cs="Times New Roman" w:eastAsia="Times New Roman" w:hAnsi="Times New Roman"/>
          <w:sz w:val="16"/>
          <w:szCs w:val="16"/>
          <w:color w:val="auto"/>
        </w:rPr>
        <w:t>”). Any conversion of Notes and any calculation or adjustment in connection with any conversion (including, for the avoidance of doubt, any Specified Dollar Amount), in excess of $1,000 will be calculated and converted on a proportional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1790700" cy="152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193" w:lineRule="exact"/>
        <w:rPr>
          <w:sz w:val="20"/>
          <w:szCs w:val="20"/>
          <w:color w:val="auto"/>
        </w:rPr>
      </w:pPr>
    </w:p>
    <w:p>
      <w:pPr>
        <w:ind w:left="5544" w:right="4960" w:hanging="5544"/>
        <w:spacing w:after="0" w:line="779" w:lineRule="auto"/>
        <w:tabs>
          <w:tab w:leader="none" w:pos="283"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NTD: The initial conversion price will be a 15% premium to $10 per share of Common Stock.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7148195" cy="152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76" w:name="page77"/>
    <w:bookmarkEnd w:id="76"/>
    <w:p>
      <w:pPr>
        <w:ind w:left="380"/>
        <w:spacing w:after="0"/>
        <w:rPr>
          <w:sz w:val="20"/>
          <w:szCs w:val="20"/>
          <w:color w:val="auto"/>
        </w:rPr>
      </w:pPr>
      <w:r>
        <w:rPr>
          <w:rFonts w:ascii="Times New Roman" w:cs="Times New Roman" w:eastAsia="Times New Roman" w:hAnsi="Times New Roman"/>
          <w:sz w:val="16"/>
          <w:szCs w:val="16"/>
          <w:color w:val="auto"/>
        </w:rPr>
        <w:t xml:space="preserve">Section 14.02. </w:t>
      </w:r>
      <w:r>
        <w:rPr>
          <w:rFonts w:ascii="Times New Roman" w:cs="Times New Roman" w:eastAsia="Times New Roman" w:hAnsi="Times New Roman"/>
          <w:sz w:val="16"/>
          <w:szCs w:val="16"/>
          <w:i w:val="1"/>
          <w:iCs w:val="1"/>
          <w:color w:val="auto"/>
        </w:rPr>
        <w:t>Conversion Procedure; Settlement Upon Conversion</w:t>
      </w:r>
      <w:r>
        <w:rPr>
          <w:rFonts w:ascii="Times New Roman" w:cs="Times New Roman" w:eastAsia="Times New Roman" w:hAnsi="Times New Roman"/>
          <w:sz w:val="16"/>
          <w:szCs w:val="16"/>
          <w:color w:val="auto"/>
        </w:rPr>
        <w:t>. (a)</w:t>
      </w:r>
    </w:p>
    <w:p>
      <w:pPr>
        <w:spacing w:after="0" w:line="200" w:lineRule="exact"/>
        <w:rPr>
          <w:sz w:val="20"/>
          <w:szCs w:val="20"/>
          <w:color w:val="auto"/>
        </w:rPr>
      </w:pPr>
    </w:p>
    <w:p>
      <w:pPr>
        <w:jc w:val="both"/>
        <w:ind w:firstLine="1716"/>
        <w:spacing w:after="0" w:line="253" w:lineRule="auto"/>
        <w:tabs>
          <w:tab w:leader="none" w:pos="1979"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this Section 14.02, Section 14.03(b) and Section 14.07(a), upon conversion of any Note, the Company shall satisfy its Conversion Obligation by paying or delivering, as the case may be, to the converting Holder, in respect of each $1,000 principal amount of Notes being converted, cash (“</w:t>
      </w:r>
      <w:r>
        <w:rPr>
          <w:rFonts w:ascii="Times New Roman" w:cs="Times New Roman" w:eastAsia="Times New Roman" w:hAnsi="Times New Roman"/>
          <w:sz w:val="16"/>
          <w:szCs w:val="16"/>
          <w:b w:val="1"/>
          <w:bCs w:val="1"/>
          <w:color w:val="auto"/>
        </w:rPr>
        <w:t>Cash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Settlement</w:t>
      </w:r>
      <w:r>
        <w:rPr>
          <w:rFonts w:ascii="Times New Roman" w:cs="Times New Roman" w:eastAsia="Times New Roman" w:hAnsi="Times New Roman"/>
          <w:sz w:val="16"/>
          <w:szCs w:val="16"/>
          <w:color w:val="auto"/>
        </w:rPr>
        <w:t>”), shares of Common Stock, together with cash, if applicable, in lieu of delivering any fractional share of Common Stock in accordance with subsection (j)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this </w:t>
      </w:r>
      <w:r>
        <w:rPr>
          <w:rFonts w:ascii="Times New Roman" w:cs="Times New Roman" w:eastAsia="Times New Roman" w:hAnsi="Times New Roman"/>
          <w:sz w:val="16"/>
          <w:szCs w:val="16"/>
          <w:u w:val="single" w:color="auto"/>
          <w:color w:val="auto"/>
        </w:rPr>
        <w:t>Section 14.02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Physical Settlement</w:t>
      </w:r>
      <w:r>
        <w:rPr>
          <w:rFonts w:ascii="Times New Roman" w:cs="Times New Roman" w:eastAsia="Times New Roman" w:hAnsi="Times New Roman"/>
          <w:sz w:val="16"/>
          <w:szCs w:val="16"/>
          <w:color w:val="auto"/>
        </w:rPr>
        <w:t xml:space="preserve">”) or a combination of cash and shares of Common Stock, together with cash, if applicable, in lieu of delivering any fractional share of Common Stock in accordance with subsection (j) of this </w:t>
      </w:r>
      <w:r>
        <w:rPr>
          <w:rFonts w:ascii="Times New Roman" w:cs="Times New Roman" w:eastAsia="Times New Roman" w:hAnsi="Times New Roman"/>
          <w:sz w:val="16"/>
          <w:szCs w:val="16"/>
          <w:u w:val="single" w:color="auto"/>
          <w:color w:val="auto"/>
        </w:rPr>
        <w:t>Section 14.02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Combination Settlement</w:t>
      </w:r>
      <w:r>
        <w:rPr>
          <w:rFonts w:ascii="Times New Roman" w:cs="Times New Roman" w:eastAsia="Times New Roman" w:hAnsi="Times New Roman"/>
          <w:sz w:val="16"/>
          <w:szCs w:val="16"/>
          <w:color w:val="auto"/>
        </w:rPr>
        <w:t>”), at the Company’s election, as set forth in this Section 14.02. All conversions for which the relevant Conversion Date occurs during a Redemption Period, and all conversions for which the relevant Conversion Date occurs on or after [to be</w:t>
      </w:r>
    </w:p>
    <w:p>
      <w:pPr>
        <w:ind w:right="20"/>
        <w:spacing w:after="0" w:line="207" w:lineRule="auto"/>
        <w:rPr>
          <w:sz w:val="20"/>
          <w:szCs w:val="20"/>
          <w:color w:val="auto"/>
        </w:rPr>
      </w:pPr>
      <w:r>
        <w:rPr>
          <w:rFonts w:ascii="Times New Roman" w:cs="Times New Roman" w:eastAsia="Times New Roman" w:hAnsi="Times New Roman"/>
          <w:sz w:val="16"/>
          <w:szCs w:val="16"/>
          <w:color w:val="auto"/>
        </w:rPr>
        <w:t>the 32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6"/>
          <w:szCs w:val="16"/>
          <w:color w:val="auto"/>
        </w:rPr>
        <w:t xml:space="preserve"> day prior to Maturity] prior to the Maturity Date, shall be settled using the same Settlement Method and in the same proportions of cash and/or shares of Common Stock during the respective periods.</w:t>
      </w:r>
    </w:p>
    <w:p>
      <w:pPr>
        <w:spacing w:after="0" w:line="176" w:lineRule="exact"/>
        <w:rPr>
          <w:sz w:val="20"/>
          <w:szCs w:val="20"/>
          <w:color w:val="auto"/>
        </w:rPr>
      </w:pPr>
    </w:p>
    <w:p>
      <w:pPr>
        <w:jc w:val="both"/>
        <w:ind w:right="20" w:firstLine="1716"/>
        <w:spacing w:after="0" w:line="265" w:lineRule="auto"/>
        <w:tabs>
          <w:tab w:leader="none" w:pos="1979"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for any conversions for which the relevant Conversion Date occurs during a Redemption Period, the Company shall use the same Settlement Method for all conversions with the same Conversion Date and in the same proportions of cash and/or shares of Common Stock during the respective periods, but the Company shall not have any obligation to use the same Settlement Method with respect to conversions with different Conversion Dates.</w:t>
      </w:r>
    </w:p>
    <w:p>
      <w:pPr>
        <w:spacing w:after="0" w:line="155" w:lineRule="exact"/>
        <w:rPr>
          <w:rFonts w:ascii="Times New Roman" w:cs="Times New Roman" w:eastAsia="Times New Roman" w:hAnsi="Times New Roman"/>
          <w:sz w:val="16"/>
          <w:szCs w:val="16"/>
          <w:color w:val="auto"/>
        </w:rPr>
      </w:pPr>
    </w:p>
    <w:p>
      <w:pPr>
        <w:jc w:val="both"/>
        <w:ind w:firstLine="1716"/>
        <w:spacing w:after="0" w:line="270" w:lineRule="auto"/>
        <w:tabs>
          <w:tab w:leader="none" w:pos="2018"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in respect of any Conversion Date (or any conversions for which the relevant Conversion Date occurs during a Redemption Period), the Company elects to deliver a notice (the “</w:t>
      </w:r>
      <w:r>
        <w:rPr>
          <w:rFonts w:ascii="Times New Roman" w:cs="Times New Roman" w:eastAsia="Times New Roman" w:hAnsi="Times New Roman"/>
          <w:sz w:val="15"/>
          <w:szCs w:val="15"/>
          <w:b w:val="1"/>
          <w:bCs w:val="1"/>
          <w:color w:val="auto"/>
        </w:rPr>
        <w:t>Settlement Notice</w:t>
      </w:r>
      <w:r>
        <w:rPr>
          <w:rFonts w:ascii="Times New Roman" w:cs="Times New Roman" w:eastAsia="Times New Roman" w:hAnsi="Times New Roman"/>
          <w:sz w:val="15"/>
          <w:szCs w:val="15"/>
          <w:color w:val="auto"/>
        </w:rPr>
        <w:t>”) of the relevant Settlement Method in respect of such Conversion Date (or such period, as the case may be), the Company shall deliver such Settlement Notice to converting Holders, the Trustee and the Conversion Agent (if other than the Trustee), no later than the close of business on the Trading Day immediately following the relevant Conversion Date (or, in the case of any conversions for which the relevant Conversion Date occurs during a Redemption Period, in the applicable Notice of Redemption) (the “</w:t>
      </w:r>
      <w:r>
        <w:rPr>
          <w:rFonts w:ascii="Times New Roman" w:cs="Times New Roman" w:eastAsia="Times New Roman" w:hAnsi="Times New Roman"/>
          <w:sz w:val="15"/>
          <w:szCs w:val="15"/>
          <w:b w:val="1"/>
          <w:bCs w:val="1"/>
          <w:color w:val="auto"/>
        </w:rPr>
        <w:t>Settlement Method Election Date</w:t>
      </w:r>
      <w:r>
        <w:rPr>
          <w:rFonts w:ascii="Times New Roman" w:cs="Times New Roman" w:eastAsia="Times New Roman" w:hAnsi="Times New Roman"/>
          <w:sz w:val="15"/>
          <w:szCs w:val="15"/>
          <w:color w:val="auto"/>
        </w:rPr>
        <w:t>”). If the Company does not elect a Settlement Method as set forth in the immediately preceding sentence, the Company shall be deemed to have elected the Default Settlement Method in respect of its Conversion Obligation and the Specified Dollar Amount per $1,000 principal amount of Notes shall be equal to $1,000. Such Settlement Notice shall specify the relevant Settlement Method and in the case of an election of Combination Settlement, the relevant Settlement Notice shall indicate the Specified Dollar Amount per $1,000 principal amount of Notes. If the Company timely delivers a Settlement Notice electing Combination Settlement in respect of its Conversion Obligation but does not indicate a Specified Dollar Amount per $1,000 principal amount of Notes to be converted in such Settlement Notice, the Specified Dollar Amount per $1,000 principal amount of Notes shall be deemed to be $1,000. For the avoidance of doubt, the Company’s failure to timely elect a Settlement Method or specify the applicable Specified Dollar Amount will not constitute a Default or Event of Default under this Indenture.</w:t>
      </w:r>
    </w:p>
    <w:p>
      <w:pPr>
        <w:spacing w:after="0" w:line="157" w:lineRule="exact"/>
        <w:rPr>
          <w:rFonts w:ascii="Times New Roman" w:cs="Times New Roman" w:eastAsia="Times New Roman" w:hAnsi="Times New Roman"/>
          <w:sz w:val="15"/>
          <w:szCs w:val="15"/>
          <w:color w:val="auto"/>
        </w:rPr>
      </w:pPr>
    </w:p>
    <w:p>
      <w:pPr>
        <w:ind w:firstLine="1716"/>
        <w:spacing w:after="0" w:line="283" w:lineRule="auto"/>
        <w:tabs>
          <w:tab w:leader="none" w:pos="199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cash, shares of Common Stock or combination of cash and shares of Common Stock in respect of any conversion of Notes (the “</w:t>
      </w:r>
      <w:r>
        <w:rPr>
          <w:rFonts w:ascii="Times New Roman" w:cs="Times New Roman" w:eastAsia="Times New Roman" w:hAnsi="Times New Roman"/>
          <w:sz w:val="16"/>
          <w:szCs w:val="16"/>
          <w:b w:val="1"/>
          <w:bCs w:val="1"/>
          <w:color w:val="auto"/>
        </w:rPr>
        <w:t>Settlement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Amount</w:t>
      </w:r>
      <w:r>
        <w:rPr>
          <w:rFonts w:ascii="Times New Roman" w:cs="Times New Roman" w:eastAsia="Times New Roman" w:hAnsi="Times New Roman"/>
          <w:sz w:val="16"/>
          <w:szCs w:val="16"/>
          <w:color w:val="auto"/>
        </w:rPr>
        <w:t>”) shall be computed as follows:</w:t>
      </w:r>
    </w:p>
    <w:p>
      <w:pPr>
        <w:spacing w:after="0" w:line="142" w:lineRule="exact"/>
        <w:rPr>
          <w:sz w:val="20"/>
          <w:szCs w:val="20"/>
          <w:color w:val="auto"/>
        </w:rPr>
      </w:pPr>
    </w:p>
    <w:p>
      <w:pPr>
        <w:jc w:val="both"/>
        <w:ind w:firstLine="1716"/>
        <w:spacing w:after="0" w:line="265" w:lineRule="auto"/>
        <w:tabs>
          <w:tab w:leader="none" w:pos="1982"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elects (or is deemed to have elected) to satisfy its Conversion Obligation in respect of such conversion by Physical Settlement, the Company shall deliver to the converting Holder in respect of each $1,000 principal amount of Notes being converted a number of shares of Common Stock equal to the Conversion Rate in effect on the Conversion Date;</w:t>
      </w:r>
    </w:p>
    <w:p>
      <w:pPr>
        <w:spacing w:after="0" w:line="155" w:lineRule="exact"/>
        <w:rPr>
          <w:rFonts w:ascii="Times New Roman" w:cs="Times New Roman" w:eastAsia="Times New Roman" w:hAnsi="Times New Roman"/>
          <w:sz w:val="16"/>
          <w:szCs w:val="16"/>
          <w:color w:val="auto"/>
        </w:rPr>
      </w:pPr>
    </w:p>
    <w:p>
      <w:pPr>
        <w:jc w:val="both"/>
        <w:ind w:firstLine="1716"/>
        <w:spacing w:after="0" w:line="265" w:lineRule="auto"/>
        <w:tabs>
          <w:tab w:leader="none" w:pos="1993"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elects to satisfy its Conversion Obligation in respect of such conversion by Cash Settlement, the Company shall pay to the converting Holder in respect of each $1,000 principal amount of Notes being converted cash in an amount equal to the sum of the Daily Conversion Values for each of the 30 consecutive Trading Days during the related Observation Period; and</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77" w:name="page78"/>
    <w:bookmarkEnd w:id="77"/>
    <w:p>
      <w:pPr>
        <w:jc w:val="both"/>
        <w:ind w:right="20" w:firstLine="1716"/>
        <w:spacing w:after="0" w:line="265" w:lineRule="auto"/>
        <w:tabs>
          <w:tab w:leader="none" w:pos="1997"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elects (or is deemed to have elected) to satisfy its Conversion Obligation in respect of such conversion by Combination Settlement, the Company shall pay or deliver, as the case may be, to the converting Holder in respect of each $1,000 principal amount of Notes being converted, a Settlement Amount equal to the sum of the Daily Settlement Amounts for each of the 30 consecutive Trading Days during the related Observation Period.</w:t>
      </w:r>
    </w:p>
    <w:p>
      <w:pPr>
        <w:spacing w:after="0" w:line="155" w:lineRule="exact"/>
        <w:rPr>
          <w:sz w:val="20"/>
          <w:szCs w:val="20"/>
          <w:color w:val="auto"/>
        </w:rPr>
      </w:pPr>
    </w:p>
    <w:p>
      <w:pPr>
        <w:jc w:val="both"/>
        <w:ind w:right="20" w:firstLine="1716"/>
        <w:spacing w:after="0" w:line="257" w:lineRule="auto"/>
        <w:tabs>
          <w:tab w:leader="none" w:pos="1958" w:val="left"/>
        </w:tabs>
        <w:numPr>
          <w:ilvl w:val="1"/>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Daily Settlement Amounts (if applicable) and the Daily Conversion Values (if applicable) shall be determined by the Company promptly following the last day of the Observation Period. Promptly after such determination of the Daily Settlement Amounts or the Daily Conversion Values, as the case may be, and the amount of cash payable in lieu of delivering any fractional share of Common Stock, the Company shall notify the Trustee and the Conversion Agent (if other than the Trustee) of the Daily Settlement Amounts or the Daily Conversion Values, as the case may be, and the amount of cash payable in lieu of delivering fractional shares of Common Stock. The Trustee and the Conversion Agent (if other than the Trustee) shall have no responsibility for any such determination.</w:t>
      </w:r>
    </w:p>
    <w:p>
      <w:pPr>
        <w:spacing w:after="0" w:line="162" w:lineRule="exact"/>
        <w:rPr>
          <w:rFonts w:ascii="Times New Roman" w:cs="Times New Roman" w:eastAsia="Times New Roman" w:hAnsi="Times New Roman"/>
          <w:sz w:val="16"/>
          <w:szCs w:val="16"/>
          <w:color w:val="auto"/>
        </w:rPr>
      </w:pPr>
    </w:p>
    <w:p>
      <w:pPr>
        <w:jc w:val="both"/>
        <w:ind w:firstLine="1143"/>
        <w:spacing w:after="0" w:line="252" w:lineRule="auto"/>
        <w:tabs>
          <w:tab w:leader="none" w:pos="1373"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Section 14.02(e), before any Holder of a Note shall be entitled to convert a Note as set forth above, such Holder shall (i) in the case of a Global Note, comply with the applicable procedures of the Depositary in effect at that time and, if required, pay funds equal to interest payable on the next Interest Payment Date to which such Holder is not entitled as set forth in Section 14.02(h) and (ii) in the case of a Physical Note (1) complete, manually sign and deliver an irrevocable notice to the Conversion Agent as set forth in the Form of Notice of Conversion (or a facsimile, PDF or other electronic transmission thereof) (a notice pursuant to the applicable procedure of the Depositary or a notice as set forth in the Form of Notice of Conversion, a “</w:t>
      </w:r>
      <w:r>
        <w:rPr>
          <w:rFonts w:ascii="Times New Roman" w:cs="Times New Roman" w:eastAsia="Times New Roman" w:hAnsi="Times New Roman"/>
          <w:sz w:val="16"/>
          <w:szCs w:val="16"/>
          <w:b w:val="1"/>
          <w:bCs w:val="1"/>
          <w:color w:val="auto"/>
        </w:rPr>
        <w:t>Notice of Conversion</w:t>
      </w:r>
      <w:r>
        <w:rPr>
          <w:rFonts w:ascii="Times New Roman" w:cs="Times New Roman" w:eastAsia="Times New Roman" w:hAnsi="Times New Roman"/>
          <w:sz w:val="16"/>
          <w:szCs w:val="16"/>
          <w:color w:val="auto"/>
        </w:rPr>
        <w:t>”) at the office of the Conversion Agent and state in writing therein the principal amount of Notes to be converted and the name or names (with addresses) in which such Holder wishes the certificate or certificates for any shares of Common Stock to be delivered upon settlement of the Conversion Obligation to be registered, (2) surrender such Notes, duly endorsed to the Company or in blank (and accompanied by appropriate endorsement and transfer documents in a form reasonably satisfactory to the Conversion Agent), at the office of the Conversion Agent, (3) if required, furnish appropriate endorsements and transfer documents in a form reasonably satisfactory to the Conversion Agent and (4) if required, pay funds equal to interest payable on the next Interest Payment Date to which such Holder is not entitled as set forth in Section 14.02(h). The Trustee (and if different, the Conversion Agent) shall notify the Company of any conversion pursuant to this Article 14 on the Conversion Date for such conversion. No Notes may be surrendered for conversion by a Holder thereof if such Holder has also delivered a Fundamental Change Repurchase Notice to the Company in respect of such Notes and has not validly withdrawn such Fundamental Change Repurchase Notice in accordance with Section 15.03.</w:t>
      </w:r>
    </w:p>
    <w:p>
      <w:pPr>
        <w:spacing w:after="0" w:line="165" w:lineRule="exact"/>
        <w:rPr>
          <w:sz w:val="20"/>
          <w:szCs w:val="20"/>
          <w:color w:val="auto"/>
        </w:rPr>
      </w:pPr>
    </w:p>
    <w:p>
      <w:pPr>
        <w:ind w:right="20" w:firstLine="382"/>
        <w:spacing w:after="0" w:line="280" w:lineRule="auto"/>
        <w:rPr>
          <w:sz w:val="20"/>
          <w:szCs w:val="20"/>
          <w:color w:val="auto"/>
        </w:rPr>
      </w:pPr>
      <w:r>
        <w:rPr>
          <w:rFonts w:ascii="Times New Roman" w:cs="Times New Roman" w:eastAsia="Times New Roman" w:hAnsi="Times New Roman"/>
          <w:sz w:val="16"/>
          <w:szCs w:val="16"/>
          <w:color w:val="auto"/>
        </w:rPr>
        <w:t>If more than one Note shall be surrendered for conversion at one time by the same Holder, the Conversion Obligation with respect to such Notes shall be computed on the basis of the aggregate principal amount of the Notes (or specified portions thereof to the extent permitted thereby) so surrendered.</w:t>
      </w:r>
    </w:p>
    <w:p>
      <w:pPr>
        <w:spacing w:after="0" w:line="142" w:lineRule="exact"/>
        <w:rPr>
          <w:sz w:val="20"/>
          <w:szCs w:val="20"/>
          <w:color w:val="auto"/>
        </w:rPr>
      </w:pPr>
    </w:p>
    <w:p>
      <w:pPr>
        <w:jc w:val="both"/>
        <w:ind w:firstLine="1143"/>
        <w:spacing w:after="0" w:line="254" w:lineRule="auto"/>
        <w:tabs>
          <w:tab w:leader="none" w:pos="1376"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Note shall be deemed to have been converted immediately prior to the close of business on the date (the “</w:t>
      </w:r>
      <w:r>
        <w:rPr>
          <w:rFonts w:ascii="Times New Roman" w:cs="Times New Roman" w:eastAsia="Times New Roman" w:hAnsi="Times New Roman"/>
          <w:sz w:val="16"/>
          <w:szCs w:val="16"/>
          <w:b w:val="1"/>
          <w:bCs w:val="1"/>
          <w:color w:val="auto"/>
        </w:rPr>
        <w:t>Conversion Date</w:t>
      </w:r>
      <w:r>
        <w:rPr>
          <w:rFonts w:ascii="Times New Roman" w:cs="Times New Roman" w:eastAsia="Times New Roman" w:hAnsi="Times New Roman"/>
          <w:sz w:val="16"/>
          <w:szCs w:val="16"/>
          <w:color w:val="auto"/>
        </w:rPr>
        <w:t>”) that the Holder has complied with the requirements set forth in subsection (b) above. Except as set forth in Section 14.03(b) and Section 14.07(a), the Company shall pay or deliver, as the case may be, the consideration due in respect of the Conversion Obligation on the second Business Day immediately following the relevant Conversion Date, if the Company elects to satisfy its Conversion Obligation through Physical Settlement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with respect to any Conversion Date following the Regular Record Date immediately preceding the Maturity Date where Physical Settlement applies to the related conversion, the Company will settle any such conversion on the Maturity Date), or on the second Business Day immediately following the last Trading Day of the Observation Period, in the case of any other Settlement Method. If any shares of Common Stock are due to a converting Holder, the Company shall issue or cause to be issued, and deliver (if applicable) to the converting Holder, or such Holder’s nominee or nominees, the full number of shares of Common Stock to which such Holder shall be entitled, in book-entry format through the Depositary, in satisfaction of the Company’s Conversion Obligation.</w:t>
      </w:r>
    </w:p>
    <w:p>
      <w:pPr>
        <w:spacing w:after="0" w:line="165" w:lineRule="exact"/>
        <w:rPr>
          <w:rFonts w:ascii="Times New Roman" w:cs="Times New Roman" w:eastAsia="Times New Roman" w:hAnsi="Times New Roman"/>
          <w:sz w:val="16"/>
          <w:szCs w:val="16"/>
          <w:color w:val="auto"/>
        </w:rPr>
      </w:pPr>
    </w:p>
    <w:p>
      <w:pPr>
        <w:jc w:val="both"/>
        <w:ind w:firstLine="1143"/>
        <w:spacing w:after="0" w:line="257" w:lineRule="auto"/>
        <w:tabs>
          <w:tab w:leader="none" w:pos="1385"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case any Note shall be surrendered for partial conversion, the Company shall execute and the Trustee shall authenticate and deliver to or upon the written order of the Holder of the Note so surrendered a new Note or Notes in authorized denominations in an aggregate principal amount equal to the unconverted portion of the surrendered Note, without payment of any service charge by the converting Holder but, if required by the Company or Trustee, with payment of a sum sufficient to cover any documentary, stamp or similar issue or transfer tax or similar governmental charge required by law or that may be imposed in connection therewith as a result of the name of the Holder of the new Notes issued upon such conversion being different from the name of the Holder of the old Notes surrendered for such conversion.</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8" w:name="page79"/>
    <w:bookmarkEnd w:id="78"/>
    <w:p>
      <w:pPr>
        <w:jc w:val="both"/>
        <w:ind w:right="20" w:firstLine="1143"/>
        <w:spacing w:after="0" w:line="259" w:lineRule="auto"/>
        <w:tabs>
          <w:tab w:leader="none" w:pos="1364"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Holder submits a Note for conversion, the Company shall pay any documentary, stamp or similar issue or transfer tax due on the issue of any shares of Common Stock upon conversion, unless the tax is due because the Holder requests such shares to be issued in a name other than the Holder’s name, in which case the Holder shall pay that tax. The Conversion Agent may refuse to deliver the certificates representing the shares of Common Stock being issued in a name other than the Holder’s name until the Trustee receives a sum sufficient to pay any tax that is due by such Holder in accordance with the immediately preceding sentence.</w:t>
      </w:r>
    </w:p>
    <w:p>
      <w:pPr>
        <w:spacing w:after="0" w:line="161" w:lineRule="exact"/>
        <w:rPr>
          <w:rFonts w:ascii="Times New Roman" w:cs="Times New Roman" w:eastAsia="Times New Roman" w:hAnsi="Times New Roman"/>
          <w:sz w:val="16"/>
          <w:szCs w:val="16"/>
          <w:color w:val="auto"/>
        </w:rPr>
      </w:pPr>
    </w:p>
    <w:p>
      <w:pPr>
        <w:ind w:right="20" w:firstLine="1143"/>
        <w:spacing w:after="0" w:line="280" w:lineRule="auto"/>
        <w:tabs>
          <w:tab w:leader="none" w:pos="139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provided in Section 14.04, no adjustment shall be made for dividends on any shares of Common Stock issued upon the conversion of any Note as provided in this Article 14.</w:t>
      </w:r>
    </w:p>
    <w:p>
      <w:pPr>
        <w:spacing w:after="0" w:line="144"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73"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conversion of an interest in a Global Note, the Trustee, or the Custodian at the direction of the Trustee, shall make a notation on such Global Note as to the reduction in the principal amount represented thereby. The Company shall notify the Trustee in writing of any conversion of Notes effected through any Conversion Agent other than the Trustee.</w:t>
      </w:r>
    </w:p>
    <w:p>
      <w:pPr>
        <w:spacing w:after="0" w:line="155" w:lineRule="exact"/>
        <w:rPr>
          <w:rFonts w:ascii="Times New Roman" w:cs="Times New Roman" w:eastAsia="Times New Roman" w:hAnsi="Times New Roman"/>
          <w:sz w:val="16"/>
          <w:szCs w:val="16"/>
          <w:color w:val="auto"/>
        </w:rPr>
      </w:pPr>
    </w:p>
    <w:p>
      <w:pPr>
        <w:jc w:val="both"/>
        <w:ind w:firstLine="1143"/>
        <w:spacing w:after="0" w:line="251" w:lineRule="auto"/>
        <w:tabs>
          <w:tab w:leader="none" w:pos="1373"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Upon conversion, a Holder shall not receive any separate cash payment for accrued and unpaid interest, if any, except as set forth in this Section 14.02(h), and the Company will not adjust the Conversion Rate for any accrued and unpaid interest on any converted Notes. The Company’s settlement of the full Conversion Obligation shall be deemed to satisfy in full its obligation to pay the principal amount of the Note and accrued and unpaid interest, if any, to, but not including, the relevant Conversion Date. As a result, accrued and unpaid interest, if any, to, but not including, the relevant Conversion Date shall be deemed to be paid in full rather than cancelled, extinguished or forfeited. Upon a conversion of Notes into a combination of cash and shares of Common Stock, accrued and unpaid interest will be deemed to be paid first out of the cash paid upon such conversion. Notwithstanding the foregoing, if Notes are converted after the close of business on a Regular Record Date and prior to the open of business on the corresponding Interest Payment Date, Holders of such Notes as of the close of business on such Regular Record Date will receive the full amount of interest payable on such Notes (to, but not including the corresponding Interest Payment Date) on the corresponding Interest Payment Date notwithstanding the conversion. Notes surrendered for conversion during the period from the close of business on any Regular Record Date to the open of business on the immediately following Interest Payment Date must be accompanied by funds equal to the amount of interest payable on the Notes so converted on the corresponding Interest Payment Date (regardless of whether the converting Holder was the Holder of record on such Regular Record Date);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 such payment shall be required (1) for conversions following the Regular Record Date immediately preceding the Maturity Date; (2) if the Company has specified a Redemption Date that is after a Regular Record Date and on or prior to the Scheduled Trading Day immediately following the corresponding Interest Payment Date; (3) if the Company has specified a Fundamental Change Repurchase Date or a Mandatory Conversion Date that is after a Regular Record Date and on or prior to the Business Day immediately following the corresponding Interest Payment Date; or (4) to the extent of any Defaulted Amounts, if any Defaulted Amounts exist at the time of conversion with respect to such Note. Therefore, for the avoidance of doubt, all Holders of record at the close of business on the Regular Record Date immediately preceding the Maturity Date, any Redemption Date described in clause (2) of the immediately preceding sentence and any Fundamental Change Repurchase Date described in clause (3) of the immediately preceding sentence shall receive and retain the full interest payment due on the Maturity Date or other applicable Interest Payment Date in cash regardless of whether their Notes have been converted following such Regular Record Date.</w:t>
      </w:r>
    </w:p>
    <w:p>
      <w:pPr>
        <w:spacing w:after="0" w:line="169" w:lineRule="exact"/>
        <w:rPr>
          <w:rFonts w:ascii="Times New Roman" w:cs="Times New Roman" w:eastAsia="Times New Roman" w:hAnsi="Times New Roman"/>
          <w:sz w:val="16"/>
          <w:szCs w:val="16"/>
          <w:color w:val="auto"/>
        </w:rPr>
      </w:pPr>
    </w:p>
    <w:p>
      <w:pPr>
        <w:jc w:val="both"/>
        <w:ind w:firstLine="1143"/>
        <w:spacing w:after="0" w:line="257" w:lineRule="auto"/>
        <w:tabs>
          <w:tab w:leader="none" w:pos="1349"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Person in whose name the shares of Common Stock shall be issuable upon conversion shall be treated as a stockholder of record as of the close of business on the relevant Conversion Date (if the Company elects to satisfy the related Conversion Obligation by Physical Settlement) or the last Trading Day of the relevant Observation Period (if the Company elects to satisfy the related Conversion Obligation by Combination Settlement), as the case may be. Upon a conversion of Notes, such Person shall no longer be a Holder of such Notes surrendered for conversion. Prior to conversion of a Holder’s Note, such Holder (in such capacity) shall not have any rights as a stockholder of the Company.</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9" w:name="page80"/>
    <w:bookmarkEnd w:id="79"/>
    <w:p>
      <w:pPr>
        <w:jc w:val="both"/>
        <w:ind w:left="4" w:firstLine="1143"/>
        <w:spacing w:after="0" w:line="255" w:lineRule="auto"/>
        <w:tabs>
          <w:tab w:leader="none" w:pos="1354"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not issue any fractional share of Common Stock upon conversion of the Notes and shall instead pay cash in lieu of delivering any fractional share of Common Stock issuable upon conversion based on the Daily VWAP for the relevant Conversion Date (or, if such Conversion Date is not a Trading Day, the immediately preceding Trading Day), in the case of Physical Settlement, or based on the Daily VWAP for the last Trading Day of the relevant Observation Period, in the case of Combination Settlement. For each Note surrendered for conversion, if the Company has elected (or is deemed to have elected) Combination Settlement, the full number of shares that shall be issued upon conversion thereof shall be computed on the basis of the aggregate Daily Settlement Amounts for the relevant Observation Period and any fractional shares remaining after such computation shall be paid in cash.</w:t>
      </w:r>
    </w:p>
    <w:p>
      <w:pPr>
        <w:spacing w:after="0" w:line="163" w:lineRule="exact"/>
        <w:rPr>
          <w:sz w:val="20"/>
          <w:szCs w:val="20"/>
          <w:color w:val="auto"/>
        </w:rPr>
      </w:pPr>
    </w:p>
    <w:p>
      <w:pPr>
        <w:ind w:left="384"/>
        <w:spacing w:after="0"/>
        <w:rPr>
          <w:sz w:val="20"/>
          <w:szCs w:val="20"/>
          <w:color w:val="auto"/>
        </w:rPr>
      </w:pPr>
      <w:r>
        <w:rPr>
          <w:rFonts w:ascii="Times New Roman" w:cs="Times New Roman" w:eastAsia="Times New Roman" w:hAnsi="Times New Roman"/>
          <w:sz w:val="16"/>
          <w:szCs w:val="16"/>
          <w:color w:val="auto"/>
        </w:rPr>
        <w:t xml:space="preserve">Section 14.03. </w:t>
      </w:r>
      <w:r>
        <w:rPr>
          <w:rFonts w:ascii="Times New Roman" w:cs="Times New Roman" w:eastAsia="Times New Roman" w:hAnsi="Times New Roman"/>
          <w:sz w:val="16"/>
          <w:szCs w:val="16"/>
          <w:i w:val="1"/>
          <w:iCs w:val="1"/>
          <w:color w:val="auto"/>
        </w:rPr>
        <w:t>Company’s Mandatory Conversion Option</w:t>
      </w:r>
      <w:r>
        <w:rPr>
          <w:rFonts w:ascii="Times New Roman" w:cs="Times New Roman" w:eastAsia="Times New Roman" w:hAnsi="Times New Roman"/>
          <w:sz w:val="16"/>
          <w:szCs w:val="16"/>
          <w:color w:val="auto"/>
        </w:rPr>
        <w:t>.</w:t>
      </w:r>
    </w:p>
    <w:p>
      <w:pPr>
        <w:spacing w:after="0" w:line="204" w:lineRule="exact"/>
        <w:rPr>
          <w:sz w:val="20"/>
          <w:szCs w:val="20"/>
          <w:color w:val="auto"/>
        </w:rPr>
      </w:pPr>
    </w:p>
    <w:p>
      <w:pPr>
        <w:jc w:val="both"/>
        <w:ind w:left="4" w:firstLine="1143"/>
        <w:spacing w:after="0" w:line="233" w:lineRule="auto"/>
        <w:tabs>
          <w:tab w:leader="none" w:pos="1368"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or after [●], 2023</w:t>
      </w:r>
      <w:r>
        <w:rPr>
          <w:rFonts w:ascii="Times New Roman" w:cs="Times New Roman" w:eastAsia="Times New Roman" w:hAnsi="Times New Roman"/>
          <w:sz w:val="26"/>
          <w:szCs w:val="26"/>
          <w:color w:val="auto"/>
          <w:vertAlign w:val="superscript"/>
        </w:rPr>
        <w:t>9</w:t>
      </w:r>
      <w:r>
        <w:rPr>
          <w:rFonts w:ascii="Times New Roman" w:cs="Times New Roman" w:eastAsia="Times New Roman" w:hAnsi="Times New Roman"/>
          <w:sz w:val="16"/>
          <w:szCs w:val="16"/>
          <w:color w:val="auto"/>
        </w:rPr>
        <w:t xml:space="preserve"> and prior to the close of business on [●], 2026</w:t>
      </w:r>
      <w:r>
        <w:rPr>
          <w:rFonts w:ascii="Times New Roman" w:cs="Times New Roman" w:eastAsia="Times New Roman" w:hAnsi="Times New Roman"/>
          <w:sz w:val="26"/>
          <w:szCs w:val="26"/>
          <w:color w:val="auto"/>
          <w:vertAlign w:val="superscript"/>
        </w:rPr>
        <w:t>10</w:t>
      </w:r>
      <w:r>
        <w:rPr>
          <w:rFonts w:ascii="Times New Roman" w:cs="Times New Roman" w:eastAsia="Times New Roman" w:hAnsi="Times New Roman"/>
          <w:sz w:val="16"/>
          <w:szCs w:val="16"/>
          <w:color w:val="auto"/>
        </w:rPr>
        <w:t>, the Company may, at its option, elect to convert the original principal amount of the Notes in whole but not in part (a “</w:t>
      </w:r>
      <w:r>
        <w:rPr>
          <w:rFonts w:ascii="Times New Roman" w:cs="Times New Roman" w:eastAsia="Times New Roman" w:hAnsi="Times New Roman"/>
          <w:sz w:val="16"/>
          <w:szCs w:val="16"/>
          <w:b w:val="1"/>
          <w:bCs w:val="1"/>
          <w:color w:val="auto"/>
        </w:rPr>
        <w:t>Mandatory Conversion</w:t>
      </w:r>
      <w:r>
        <w:rPr>
          <w:rFonts w:ascii="Times New Roman" w:cs="Times New Roman" w:eastAsia="Times New Roman" w:hAnsi="Times New Roman"/>
          <w:sz w:val="16"/>
          <w:szCs w:val="16"/>
          <w:color w:val="auto"/>
        </w:rPr>
        <w:t>”) if (x) the Last Reported Sale Price of the Common Stock for at least 20 Trading Days (whether or not consecutive) during the period of 30 consecutive Trading Days ending on, and including, the last Trading Day of the immediately preceding calendar quarter (the “</w:t>
      </w:r>
      <w:r>
        <w:rPr>
          <w:rFonts w:ascii="Times New Roman" w:cs="Times New Roman" w:eastAsia="Times New Roman" w:hAnsi="Times New Roman"/>
          <w:sz w:val="16"/>
          <w:szCs w:val="16"/>
          <w:b w:val="1"/>
          <w:bCs w:val="1"/>
          <w:color w:val="auto"/>
        </w:rPr>
        <w:t>Mandatory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Conversion Determination Date</w:t>
      </w:r>
      <w:r>
        <w:rPr>
          <w:rFonts w:ascii="Times New Roman" w:cs="Times New Roman" w:eastAsia="Times New Roman" w:hAnsi="Times New Roman"/>
          <w:sz w:val="16"/>
          <w:szCs w:val="16"/>
          <w:color w:val="auto"/>
        </w:rPr>
        <w:t>”) is greater than or equal to 130% of the Conversion Price on each applicable Trading Day and (y) the 30-Day ADTV ending on,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including, the Mandatory Conversion Determination Date is greater than or equal to $2,000,000 (the “</w:t>
      </w:r>
      <w:r>
        <w:rPr>
          <w:rFonts w:ascii="Times New Roman" w:cs="Times New Roman" w:eastAsia="Times New Roman" w:hAnsi="Times New Roman"/>
          <w:sz w:val="16"/>
          <w:szCs w:val="16"/>
          <w:b w:val="1"/>
          <w:bCs w:val="1"/>
          <w:color w:val="auto"/>
        </w:rPr>
        <w:t>Mandatory Conversion Condition</w:t>
      </w:r>
      <w:r>
        <w:rPr>
          <w:rFonts w:ascii="Times New Roman" w:cs="Times New Roman" w:eastAsia="Times New Roman" w:hAnsi="Times New Roman"/>
          <w:sz w:val="16"/>
          <w:szCs w:val="16"/>
          <w:color w:val="auto"/>
        </w:rPr>
        <w:t>”).</w:t>
      </w:r>
    </w:p>
    <w:p>
      <w:pPr>
        <w:spacing w:after="0" w:line="172" w:lineRule="exact"/>
        <w:rPr>
          <w:rFonts w:ascii="Times New Roman" w:cs="Times New Roman" w:eastAsia="Times New Roman" w:hAnsi="Times New Roman"/>
          <w:sz w:val="16"/>
          <w:szCs w:val="16"/>
          <w:color w:val="auto"/>
        </w:rPr>
      </w:pPr>
    </w:p>
    <w:p>
      <w:pPr>
        <w:ind w:left="4" w:right="20" w:firstLine="1143"/>
        <w:spacing w:after="0" w:line="283" w:lineRule="auto"/>
        <w:tabs>
          <w:tab w:leader="none" w:pos="1389"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exercise its right to a Mandatory Conversion, the Company will send notice of the Company’s election (a “</w:t>
      </w:r>
      <w:r>
        <w:rPr>
          <w:rFonts w:ascii="Times New Roman" w:cs="Times New Roman" w:eastAsia="Times New Roman" w:hAnsi="Times New Roman"/>
          <w:sz w:val="16"/>
          <w:szCs w:val="16"/>
          <w:b w:val="1"/>
          <w:bCs w:val="1"/>
          <w:color w:val="auto"/>
        </w:rPr>
        <w:t>Mandatory Conversion Notice</w:t>
      </w:r>
      <w:r>
        <w:rPr>
          <w:rFonts w:ascii="Times New Roman" w:cs="Times New Roman" w:eastAsia="Times New Roman" w:hAnsi="Times New Roman"/>
          <w:sz w:val="16"/>
          <w:szCs w:val="16"/>
          <w:color w:val="auto"/>
        </w:rPr>
        <w:t>”) to Holders, the Trustee and the Conversion Agent no later than the fifth Business Day following the Mandatory Conversion Determination Date.</w:t>
      </w:r>
    </w:p>
    <w:p>
      <w:pPr>
        <w:spacing w:after="0" w:line="142" w:lineRule="exact"/>
        <w:rPr>
          <w:sz w:val="20"/>
          <w:szCs w:val="20"/>
          <w:color w:val="auto"/>
        </w:rPr>
      </w:pPr>
    </w:p>
    <w:p>
      <w:pPr>
        <w:ind w:left="1144"/>
        <w:spacing w:after="0"/>
        <w:rPr>
          <w:sz w:val="20"/>
          <w:szCs w:val="20"/>
          <w:color w:val="auto"/>
        </w:rPr>
      </w:pPr>
      <w:r>
        <w:rPr>
          <w:rFonts w:ascii="Times New Roman" w:cs="Times New Roman" w:eastAsia="Times New Roman" w:hAnsi="Times New Roman"/>
          <w:sz w:val="16"/>
          <w:szCs w:val="16"/>
          <w:color w:val="auto"/>
        </w:rPr>
        <w:t>Such Mandatory Conversion Notice must state:</w:t>
      </w:r>
    </w:p>
    <w:p>
      <w:pPr>
        <w:spacing w:after="0" w:line="198" w:lineRule="exact"/>
        <w:rPr>
          <w:sz w:val="20"/>
          <w:szCs w:val="20"/>
          <w:color w:val="auto"/>
        </w:rPr>
      </w:pPr>
    </w:p>
    <w:p>
      <w:pPr>
        <w:ind w:left="1944" w:hanging="224"/>
        <w:spacing w:after="0"/>
        <w:tabs>
          <w:tab w:leader="none" w:pos="1944"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the Notes have been called for Mandatory Conversion, briefly describing the Mandatory Conversion under this Indenture;</w:t>
      </w:r>
    </w:p>
    <w:p>
      <w:pPr>
        <w:spacing w:after="0" w:line="198" w:lineRule="exact"/>
        <w:rPr>
          <w:rFonts w:ascii="Times New Roman" w:cs="Times New Roman" w:eastAsia="Times New Roman" w:hAnsi="Times New Roman"/>
          <w:sz w:val="16"/>
          <w:szCs w:val="16"/>
          <w:color w:val="auto"/>
        </w:rPr>
      </w:pPr>
    </w:p>
    <w:p>
      <w:pPr>
        <w:ind w:left="1964" w:hanging="244"/>
        <w:spacing w:after="0"/>
        <w:tabs>
          <w:tab w:leader="none" w:pos="1964"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Mandatory Conversion Date;</w:t>
      </w:r>
    </w:p>
    <w:p>
      <w:pPr>
        <w:spacing w:after="0" w:line="198" w:lineRule="exact"/>
        <w:rPr>
          <w:rFonts w:ascii="Times New Roman" w:cs="Times New Roman" w:eastAsia="Times New Roman" w:hAnsi="Times New Roman"/>
          <w:sz w:val="16"/>
          <w:szCs w:val="16"/>
          <w:color w:val="auto"/>
        </w:rPr>
      </w:pPr>
    </w:p>
    <w:p>
      <w:pPr>
        <w:ind w:left="2004" w:hanging="284"/>
        <w:spacing w:after="0"/>
        <w:tabs>
          <w:tab w:leader="none" w:pos="2004"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current Conversion Rate;</w:t>
      </w:r>
    </w:p>
    <w:p>
      <w:pPr>
        <w:spacing w:after="0" w:line="198" w:lineRule="exact"/>
        <w:rPr>
          <w:rFonts w:ascii="Times New Roman" w:cs="Times New Roman" w:eastAsia="Times New Roman" w:hAnsi="Times New Roman"/>
          <w:sz w:val="16"/>
          <w:szCs w:val="16"/>
          <w:color w:val="auto"/>
        </w:rPr>
      </w:pPr>
    </w:p>
    <w:p>
      <w:pPr>
        <w:ind w:left="1984" w:hanging="264"/>
        <w:spacing w:after="0"/>
        <w:tabs>
          <w:tab w:leader="none" w:pos="1984"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name and address of the Paying Agent and the Conversion Agent;</w:t>
      </w:r>
    </w:p>
    <w:p>
      <w:pPr>
        <w:spacing w:after="0" w:line="198" w:lineRule="exact"/>
        <w:rPr>
          <w:rFonts w:ascii="Times New Roman" w:cs="Times New Roman" w:eastAsia="Times New Roman" w:hAnsi="Times New Roman"/>
          <w:sz w:val="16"/>
          <w:szCs w:val="16"/>
          <w:color w:val="auto"/>
        </w:rPr>
      </w:pPr>
    </w:p>
    <w:p>
      <w:pPr>
        <w:ind w:left="1944" w:hanging="224"/>
        <w:spacing w:after="0"/>
        <w:tabs>
          <w:tab w:leader="none" w:pos="1944"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Settlement Method, which shall apply in the same proportions of cash and/or shares of Common Stock to all Holders; and</w:t>
      </w:r>
    </w:p>
    <w:p>
      <w:pPr>
        <w:spacing w:after="0" w:line="198" w:lineRule="exact"/>
        <w:rPr>
          <w:rFonts w:ascii="Times New Roman" w:cs="Times New Roman" w:eastAsia="Times New Roman" w:hAnsi="Times New Roman"/>
          <w:sz w:val="16"/>
          <w:szCs w:val="16"/>
          <w:color w:val="auto"/>
        </w:rPr>
      </w:pPr>
    </w:p>
    <w:p>
      <w:pPr>
        <w:ind w:left="1984" w:hanging="264"/>
        <w:spacing w:after="0"/>
        <w:tabs>
          <w:tab w:leader="none" w:pos="1984"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CUSIP and ISIN numbers, if any, of the Notes.</w:t>
      </w:r>
    </w:p>
    <w:p>
      <w:pPr>
        <w:spacing w:after="0" w:line="198" w:lineRule="exact"/>
        <w:rPr>
          <w:rFonts w:ascii="Times New Roman" w:cs="Times New Roman" w:eastAsia="Times New Roman" w:hAnsi="Times New Roman"/>
          <w:sz w:val="16"/>
          <w:szCs w:val="16"/>
          <w:color w:val="auto"/>
        </w:rPr>
      </w:pPr>
    </w:p>
    <w:p>
      <w:pPr>
        <w:jc w:val="both"/>
        <w:ind w:left="4" w:right="20" w:firstLine="1143"/>
        <w:spacing w:after="0" w:line="255" w:lineRule="auto"/>
        <w:tabs>
          <w:tab w:leader="none" w:pos="1368"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exercises its right to effect a Mandatory Conversion in accordance with this Section 14.03, then a Conversion Date will automatically, and without the need for any action on the part of any Holder, the Trustee or the Conversion Agent, be deemed to occur, with respect to each Note then outstanding, on the Mandatory Conversion Date. The Mandatory Conversion Date will be a Business Day of the Company’s choosing that is no more than 30, nor less than 10, Business Days after the Company sends the Mandatory Conversion Notice; provided that the Mandatory Conversion Date shall be no later than the second Scheduled Trading Day prior to the Maturity Date. The Company shall pay or deliver, as the case may be, the consideration due in respect of the Conversion Obligation on the second Business Day immediately following the Mandatory Conversion Date or the related Observation Period.</w:t>
      </w:r>
    </w:p>
    <w:p>
      <w:pPr>
        <w:spacing w:after="0" w:line="165" w:lineRule="exact"/>
        <w:rPr>
          <w:rFonts w:ascii="Times New Roman" w:cs="Times New Roman" w:eastAsia="Times New Roman" w:hAnsi="Times New Roman"/>
          <w:sz w:val="16"/>
          <w:szCs w:val="16"/>
          <w:color w:val="auto"/>
        </w:rPr>
      </w:pPr>
    </w:p>
    <w:p>
      <w:pPr>
        <w:ind w:left="4" w:firstLine="1143"/>
        <w:spacing w:after="0" w:line="280" w:lineRule="auto"/>
        <w:tabs>
          <w:tab w:leader="none" w:pos="1389"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Conversion Rate in connection with a Mandatory Conversion shall be increased by a number of Additional Shares per $1,000 principal amount of Notes assuming the Notes had been converted pursuant to Section 14.04.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1790700" cy="152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160" w:lineRule="exact"/>
        <w:rPr>
          <w:sz w:val="20"/>
          <w:szCs w:val="20"/>
          <w:color w:val="auto"/>
        </w:rPr>
      </w:pPr>
    </w:p>
    <w:p>
      <w:pPr>
        <w:ind w:left="284" w:hanging="284"/>
        <w:spacing w:after="0"/>
        <w:tabs>
          <w:tab w:leader="none" w:pos="284"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NTD: To be the date that is one day after the first anniversary of the issuance date.</w:t>
      </w:r>
    </w:p>
    <w:p>
      <w:pPr>
        <w:spacing w:after="0" w:line="23" w:lineRule="exact"/>
        <w:rPr>
          <w:rFonts w:ascii="Times New Roman" w:cs="Times New Roman" w:eastAsia="Times New Roman" w:hAnsi="Times New Roman"/>
          <w:sz w:val="16"/>
          <w:szCs w:val="16"/>
          <w:color w:val="auto"/>
        </w:rPr>
      </w:pPr>
    </w:p>
    <w:p>
      <w:pPr>
        <w:ind w:left="4"/>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  NTD: To be the two Business Days before the Maturity Date.</w:t>
      </w:r>
    </w:p>
    <w:p>
      <w:pPr>
        <w:spacing w:after="0" w:line="37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80" w:name="page81"/>
    <w:bookmarkEnd w:id="80"/>
    <w:p>
      <w:pPr>
        <w:jc w:val="both"/>
        <w:ind w:right="20" w:firstLine="1143"/>
        <w:spacing w:after="0" w:line="257" w:lineRule="auto"/>
        <w:tabs>
          <w:tab w:leader="none" w:pos="1409"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share of Common Stock delivered upon a Mandatory Conversion of any Note will be a newly issued or treasury share and will be duly and validly issued, fully paid, non-assessable, free from preemptive rights and free of any lien or adverse claim. If the Common Stock is then listed on any securities exchange and has been registered on an effective registration statement with the Commission, then the Company will cause each share of Common Stock, when delivered upon a Mandatory Conversion of any Note, to be admitted for listing on such exchange. Notwithstanding anything herein to the contrary, the Company shall not be permitted to effect any Mandatory Conversion hereunder unless as of such Mandatory Conversion Date no Equity Conditions Failure then exists.</w:t>
      </w:r>
    </w:p>
    <w:p>
      <w:pPr>
        <w:spacing w:after="0" w:line="160" w:lineRule="exact"/>
        <w:rPr>
          <w:sz w:val="20"/>
          <w:szCs w:val="20"/>
          <w:color w:val="auto"/>
        </w:rPr>
      </w:pPr>
    </w:p>
    <w:p>
      <w:pPr>
        <w:jc w:val="both"/>
        <w:ind w:firstLine="382"/>
        <w:spacing w:after="0" w:line="252" w:lineRule="auto"/>
        <w:rPr>
          <w:sz w:val="20"/>
          <w:szCs w:val="20"/>
          <w:color w:val="auto"/>
        </w:rPr>
      </w:pPr>
      <w:r>
        <w:rPr>
          <w:rFonts w:ascii="Times New Roman" w:cs="Times New Roman" w:eastAsia="Times New Roman" w:hAnsi="Times New Roman"/>
          <w:sz w:val="16"/>
          <w:szCs w:val="16"/>
          <w:color w:val="auto"/>
        </w:rPr>
        <w:t xml:space="preserve">Section 14.04. </w:t>
      </w:r>
      <w:r>
        <w:rPr>
          <w:rFonts w:ascii="Times New Roman" w:cs="Times New Roman" w:eastAsia="Times New Roman" w:hAnsi="Times New Roman"/>
          <w:sz w:val="16"/>
          <w:szCs w:val="16"/>
          <w:i w:val="1"/>
          <w:iCs w:val="1"/>
          <w:color w:val="auto"/>
        </w:rPr>
        <w:t>Increased Conversion Rate Applicable to Certain Notes Surrendered in Connection with Make-Whole Fundamental Changes or during a Redemption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Period</w:t>
      </w:r>
      <w:r>
        <w:rPr>
          <w:rFonts w:ascii="Times New Roman" w:cs="Times New Roman" w:eastAsia="Times New Roman" w:hAnsi="Times New Roman"/>
          <w:sz w:val="16"/>
          <w:szCs w:val="16"/>
          <w:color w:val="auto"/>
        </w:rPr>
        <w:t>. (a) If (i) the Effective Date of a Make-Whole Fundamental Change occurs prior to the Maturity Date and a Holder elects to convert its Notes in connection with such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Make-Whole Fundamental Change or (ii) the Company issues a Notice of Redemption as provided under Section 16.02 and a Holder elects to convert such Notes with a Conversion Date during the related Redemption Period, the Company shall, in each case, under the circumstances described below, increase the Conversion Rate for the Notes so surrendered for conversion by a number of additional shares of Common Stock (the “</w:t>
      </w:r>
      <w:r>
        <w:rPr>
          <w:rFonts w:ascii="Times New Roman" w:cs="Times New Roman" w:eastAsia="Times New Roman" w:hAnsi="Times New Roman"/>
          <w:sz w:val="16"/>
          <w:szCs w:val="16"/>
          <w:b w:val="1"/>
          <w:bCs w:val="1"/>
          <w:color w:val="auto"/>
        </w:rPr>
        <w:t>Additional Shares</w:t>
      </w:r>
      <w:r>
        <w:rPr>
          <w:rFonts w:ascii="Times New Roman" w:cs="Times New Roman" w:eastAsia="Times New Roman" w:hAnsi="Times New Roman"/>
          <w:sz w:val="16"/>
          <w:szCs w:val="16"/>
          <w:color w:val="auto"/>
        </w:rPr>
        <w:t>”), as described below. A conversion of Notes shall be deemed for these purposes to be “in connection with” such Make-Whole Fundamental Change if the relevant Conversion Date occurs during the period from, and including, the Effective Date of the Make-Whole Fundamental Change up to, and including, the close of business on the Business Day immediately prior to the related Fundamental Change Repurchase Date (or, in the case of a Make-Whole Fundamental Change that would have been a Fundamental Change but for the proviso in clause (b) of the definition thereof,</w:t>
      </w:r>
    </w:p>
    <w:p>
      <w:pPr>
        <w:spacing w:after="0" w:line="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6"/>
          <w:szCs w:val="16"/>
          <w:color w:val="auto"/>
        </w:rPr>
        <w:t>the 35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Trading Day immediately following the Effective Date of such Make-Whole Fundamental Change) (such period, the “</w:t>
      </w:r>
      <w:r>
        <w:rPr>
          <w:rFonts w:ascii="Times New Roman" w:cs="Times New Roman" w:eastAsia="Times New Roman" w:hAnsi="Times New Roman"/>
          <w:sz w:val="16"/>
          <w:szCs w:val="16"/>
          <w:b w:val="1"/>
          <w:bCs w:val="1"/>
          <w:color w:val="auto"/>
        </w:rPr>
        <w:t>Make-Whole Fundamental Change Period</w:t>
      </w:r>
      <w:r>
        <w:rPr>
          <w:rFonts w:ascii="Times New Roman" w:cs="Times New Roman" w:eastAsia="Times New Roman" w:hAnsi="Times New Roman"/>
          <w:sz w:val="16"/>
          <w:szCs w:val="16"/>
          <w:color w:val="auto"/>
        </w:rPr>
        <w:t>”). For the avoidance of doubt, the Company shall not increase the Conversion Rate pursuant to the provisions of this Section 14.03 on account of an anticipated Fundamental Change that does not occur. If the Company issues a Notice of Redemption as set forth under Section 16.02 the Company shall increase the Conversion Rate during the related Redemption Period only with respect to conversions of Notes called for redemption (or deemed called for redemption as contemplated by the penultimate sentence of Section 16.02(d)), and not for Notes not called for redemption. Accordingly, if the Company elects to redeem fewer than all of the outstanding Notes as described under Section 16.05. Holders of the Notes not called for redemption will not be entitled to convert such Notes on account of the Notice of Redemption and will not be entitled to an increased Conversion Rate for conversions of such Notes on account of the Notice of Redemption during the related Redemption Period if such Notes are otherwise convertible, except in the limited circumstances set forth in the penultimate sentence of Section 16.02(d).</w:t>
      </w:r>
    </w:p>
    <w:p>
      <w:pPr>
        <w:spacing w:after="0" w:line="179" w:lineRule="exact"/>
        <w:rPr>
          <w:sz w:val="20"/>
          <w:szCs w:val="20"/>
          <w:color w:val="auto"/>
        </w:rPr>
      </w:pPr>
    </w:p>
    <w:p>
      <w:pPr>
        <w:jc w:val="both"/>
        <w:ind w:firstLine="1143"/>
        <w:spacing w:after="0" w:line="252" w:lineRule="auto"/>
        <w:tabs>
          <w:tab w:leader="none" w:pos="1373"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Upon surrender of Notes for conversion in connection with a Make-Whole Fundamental Change or of Notes called for redemption with a Conversion Date occurring during the related Redemption Period, the Company shall, at its option, satisfy the related Conversion Obligation by Physical Settlement, Cash Settlement or Combination Settlement based on the Conversion Rate as increased to reflect the additional shares pursuant to the table set forth below, in accordance with Section 14.02;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xml:space="preserve">, that if, at the effective time of a Make-Whole Fundamental Change described in clause (b) of the definition of Fundamental Change, the Reference Property following such Make-Whole Fundamental Change is composed entirely of cash, for any conversion of Notes following the Effective Date of such Make-Whole Fundamental Change, the Conversion Obligation shall be calculated based solely on the Stock Price for the transaction and shall be deemed to be an amount of cash per $1,000 principal amount of converted Notes equal to the Conversion Rate (including any increase to reflect the Additional Shares), </w:t>
      </w:r>
      <w:r>
        <w:rPr>
          <w:rFonts w:ascii="Times New Roman" w:cs="Times New Roman" w:eastAsia="Times New Roman" w:hAnsi="Times New Roman"/>
          <w:sz w:val="16"/>
          <w:szCs w:val="16"/>
          <w:i w:val="1"/>
          <w:iCs w:val="1"/>
          <w:color w:val="auto"/>
        </w:rPr>
        <w:t>multiplied by</w:t>
      </w:r>
      <w:r>
        <w:rPr>
          <w:rFonts w:ascii="Times New Roman" w:cs="Times New Roman" w:eastAsia="Times New Roman" w:hAnsi="Times New Roman"/>
          <w:sz w:val="16"/>
          <w:szCs w:val="16"/>
          <w:color w:val="auto"/>
        </w:rPr>
        <w:t xml:space="preserve"> such Stock Price. In such event, the Conversion Obligation shall be determined and paid to Holders in cash on the second Business Day following the Conversion Date. The Company shall notify the Holders, the Trustee and the Conversion Agent (if other than the Trustee) of the Effective Date of any Make-Whole Fundamental Change in writing no later than five Business Days after such Effective Date.</w:t>
      </w:r>
    </w:p>
    <w:p>
      <w:pPr>
        <w:spacing w:after="0" w:line="171" w:lineRule="exact"/>
        <w:rPr>
          <w:rFonts w:ascii="Times New Roman" w:cs="Times New Roman" w:eastAsia="Times New Roman" w:hAnsi="Times New Roman"/>
          <w:sz w:val="16"/>
          <w:szCs w:val="16"/>
          <w:color w:val="auto"/>
        </w:rPr>
      </w:pPr>
    </w:p>
    <w:p>
      <w:pPr>
        <w:jc w:val="both"/>
        <w:ind w:firstLine="1143"/>
        <w:spacing w:after="0" w:line="252" w:lineRule="auto"/>
        <w:tabs>
          <w:tab w:leader="none" w:pos="1474"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Additional Shares, if any, by which the Conversion Rate shall be increased for conversions in connection with a Make-Whole Fundamental Change or a Notice of Redemption shall be determined by reference to the table below, based on the date on which the Make-Whole Fundamental Change occurs or becomes effective (in each case, the “</w:t>
      </w:r>
      <w:r>
        <w:rPr>
          <w:rFonts w:ascii="Times New Roman" w:cs="Times New Roman" w:eastAsia="Times New Roman" w:hAnsi="Times New Roman"/>
          <w:sz w:val="16"/>
          <w:szCs w:val="16"/>
          <w:b w:val="1"/>
          <w:bCs w:val="1"/>
          <w:color w:val="auto"/>
        </w:rPr>
        <w:t>Effective Date</w:t>
      </w:r>
      <w:r>
        <w:rPr>
          <w:rFonts w:ascii="Times New Roman" w:cs="Times New Roman" w:eastAsia="Times New Roman" w:hAnsi="Times New Roman"/>
          <w:sz w:val="16"/>
          <w:szCs w:val="16"/>
          <w:color w:val="auto"/>
        </w:rPr>
        <w:t>”) or the Redemption Notice Date, as applicable, and the price (the “</w:t>
      </w:r>
      <w:r>
        <w:rPr>
          <w:rFonts w:ascii="Times New Roman" w:cs="Times New Roman" w:eastAsia="Times New Roman" w:hAnsi="Times New Roman"/>
          <w:sz w:val="16"/>
          <w:szCs w:val="16"/>
          <w:b w:val="1"/>
          <w:bCs w:val="1"/>
          <w:color w:val="auto"/>
        </w:rPr>
        <w:t>Stock Price</w:t>
      </w:r>
      <w:r>
        <w:rPr>
          <w:rFonts w:ascii="Times New Roman" w:cs="Times New Roman" w:eastAsia="Times New Roman" w:hAnsi="Times New Roman"/>
          <w:sz w:val="16"/>
          <w:szCs w:val="16"/>
          <w:color w:val="auto"/>
        </w:rPr>
        <w:t>”) paid (or deemed to be paid) per share of the Common Stock in the Make-Whole Fundamental Change or on the Redemption Notice Date, as applicable. If the holders of the Common Stock receive in exchange for their Common Stock only cash in a Make-Whole Fundamental Change described in clause (b) of the definition of Fundamental Change, the Stock Price shall be the cash amount paid per share. Otherwise, the Stock Price shall be the average of the Last Reported Sale Prices of the Common Stock over the ten consecutive Trading Day period ending on, and including, the Trading Day immediately preceding the applicable Effective Date of the Make-Whole Fundamental Change or the Redemption Notice Date, as the case may be. In the event that a conversion during a Redemption Period would also be deemed to be in connection with a Make-Whole Fundamental Change, a Holder of the Notes to be converted will be entitled to a single increase to the Conversion Rate with respect to the first to occur of the applicable Redemption Notice Date or the Effective Date of the applicable Make-Whole Fundamental Change, and the later event will be deemed not to have occurred for purposes of this Section 14.03.</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81" w:name="page82"/>
    <w:bookmarkEnd w:id="81"/>
    <w:p>
      <w:pPr>
        <w:jc w:val="both"/>
        <w:ind w:left="4" w:firstLine="1143"/>
        <w:spacing w:after="0" w:line="259" w:lineRule="auto"/>
        <w:tabs>
          <w:tab w:leader="none" w:pos="1389"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Stock Prices set forth in the column headings of the table below shall be adjusted as of any date on which the Conversion Rate of the Notes is otherwise adjusted. The adjusted Stock Prices shall equal the Stock Prices applicable immediately prior to such adjustment, </w:t>
      </w:r>
      <w:r>
        <w:rPr>
          <w:rFonts w:ascii="Times New Roman" w:cs="Times New Roman" w:eastAsia="Times New Roman" w:hAnsi="Times New Roman"/>
          <w:sz w:val="16"/>
          <w:szCs w:val="16"/>
          <w:i w:val="1"/>
          <w:iCs w:val="1"/>
          <w:color w:val="auto"/>
        </w:rPr>
        <w:t>multiplied by</w:t>
      </w:r>
      <w:r>
        <w:rPr>
          <w:rFonts w:ascii="Times New Roman" w:cs="Times New Roman" w:eastAsia="Times New Roman" w:hAnsi="Times New Roman"/>
          <w:sz w:val="16"/>
          <w:szCs w:val="16"/>
          <w:color w:val="auto"/>
        </w:rPr>
        <w:t xml:space="preserve"> a fraction, the numerator of which is the Conversion Rate immediately prior to such adjustment giving rise to the Stock Price adjustment and the denominator of which is the Conversion Rate as so adjusted. The number of Additional Shares set forth in the table below shall be adjusted in the same manner and at the same time as the Conversion Rate as set forth in Section 14.04.</w:t>
      </w:r>
    </w:p>
    <w:p>
      <w:pPr>
        <w:spacing w:after="0" w:line="161" w:lineRule="exact"/>
        <w:rPr>
          <w:rFonts w:ascii="Times New Roman" w:cs="Times New Roman" w:eastAsia="Times New Roman" w:hAnsi="Times New Roman"/>
          <w:sz w:val="16"/>
          <w:szCs w:val="16"/>
          <w:color w:val="auto"/>
        </w:rPr>
      </w:pPr>
    </w:p>
    <w:p>
      <w:pPr>
        <w:ind w:left="4" w:right="320" w:firstLine="1143"/>
        <w:spacing w:after="0" w:line="289" w:lineRule="auto"/>
        <w:tabs>
          <w:tab w:leader="none" w:pos="1368"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table sets forth the number of Additional Shares by which the Conversion Rate shall be increased per $1,000 principal amount of Notes pursuant to this Section 14.03 for each Stock Price and Effective Date or Redemption Notice Date, as applicable, set forth below:</w:t>
      </w:r>
      <w:r>
        <w:rPr>
          <w:rFonts w:ascii="Times New Roman" w:cs="Times New Roman" w:eastAsia="Times New Roman" w:hAnsi="Times New Roman"/>
          <w:sz w:val="26"/>
          <w:szCs w:val="26"/>
          <w:color w:val="auto"/>
          <w:vertAlign w:val="superscript"/>
        </w:rPr>
        <w:t>11</w:t>
      </w:r>
    </w:p>
    <w:p>
      <w:pPr>
        <w:spacing w:after="0" w:line="26" w:lineRule="exact"/>
        <w:rPr>
          <w:sz w:val="20"/>
          <w:szCs w:val="20"/>
          <w:color w:val="auto"/>
        </w:rPr>
      </w:pPr>
    </w:p>
    <w:tbl>
      <w:tblPr>
        <w:tblLayout w:type="fixed"/>
        <w:tblInd w:w="4" w:type="dxa"/>
        <w:tblCellMar>
          <w:top w:w="0" w:type="dxa"/>
          <w:left w:w="0" w:type="dxa"/>
          <w:bottom w:w="0" w:type="dxa"/>
          <w:right w:w="0" w:type="dxa"/>
        </w:tblCellMar>
      </w:tblPr>
      <w:tr>
        <w:trPr>
          <w:trHeight w:val="191"/>
        </w:trPr>
        <w:tc>
          <w:tcPr>
            <w:tcW w:w="12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Effective</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2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Date/Redemption</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4"/>
            <w:vMerge w:val="restart"/>
          </w:tcPr>
          <w:p>
            <w:pPr>
              <w:ind w:left="540"/>
              <w:spacing w:after="0"/>
              <w:rPr>
                <w:sz w:val="20"/>
                <w:szCs w:val="20"/>
                <w:color w:val="auto"/>
              </w:rPr>
            </w:pPr>
            <w:r>
              <w:rPr>
                <w:rFonts w:ascii="Times New Roman" w:cs="Times New Roman" w:eastAsia="Times New Roman" w:hAnsi="Times New Roman"/>
                <w:sz w:val="16"/>
                <w:szCs w:val="16"/>
                <w:b w:val="1"/>
                <w:bCs w:val="1"/>
                <w:color w:val="auto"/>
              </w:rPr>
              <w:t>Stock Price</w:t>
            </w:r>
            <w:r>
              <w:rPr>
                <w:rFonts w:ascii="Times New Roman" w:cs="Times New Roman" w:eastAsia="Times New Roman" w:hAnsi="Times New Roman"/>
                <w:sz w:val="26"/>
                <w:szCs w:val="26"/>
                <w:b w:val="1"/>
                <w:bCs w:val="1"/>
                <w:color w:val="auto"/>
                <w:vertAlign w:val="superscript"/>
              </w:rPr>
              <w:t>12</w:t>
            </w: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2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Notice Date</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gridSpan w:val="4"/>
            <w:vMerge w:val="continue"/>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200" w:type="dxa"/>
            <w:vAlign w:val="bottom"/>
            <w:tcBorders>
              <w:top w:val="single" w:sz="8" w:color="auto"/>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$10.00</w:t>
            </w:r>
          </w:p>
        </w:tc>
        <w:tc>
          <w:tcPr>
            <w:tcW w:w="200" w:type="dxa"/>
            <w:vAlign w:val="bottom"/>
            <w:tcBorders>
              <w:top w:val="single" w:sz="8" w:color="auto"/>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$12.00</w:t>
            </w:r>
          </w:p>
        </w:tc>
        <w:tc>
          <w:tcPr>
            <w:tcW w:w="200" w:type="dxa"/>
            <w:vAlign w:val="bottom"/>
            <w:tcBorders>
              <w:top w:val="single" w:sz="8" w:color="auto"/>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$14.00</w:t>
            </w:r>
          </w:p>
        </w:tc>
        <w:tc>
          <w:tcPr>
            <w:tcW w:w="200" w:type="dxa"/>
            <w:vAlign w:val="bottom"/>
            <w:tcBorders>
              <w:top w:val="single" w:sz="8" w:color="auto"/>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$16.00</w:t>
            </w:r>
          </w:p>
        </w:tc>
        <w:tc>
          <w:tcPr>
            <w:tcW w:w="180" w:type="dxa"/>
            <w:vAlign w:val="bottom"/>
            <w:tcBorders>
              <w:top w:val="single" w:sz="8" w:color="auto"/>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$18.00</w:t>
            </w:r>
          </w:p>
        </w:tc>
        <w:tc>
          <w:tcPr>
            <w:tcW w:w="180" w:type="dxa"/>
            <w:vAlign w:val="bottom"/>
            <w:tcBorders>
              <w:top w:val="single" w:sz="8" w:color="auto"/>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$20.00</w:t>
            </w:r>
          </w:p>
        </w:tc>
        <w:tc>
          <w:tcPr>
            <w:tcW w:w="200" w:type="dxa"/>
            <w:vAlign w:val="bottom"/>
            <w:tcBorders>
              <w:top w:val="single" w:sz="8" w:color="auto"/>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$25.00</w:t>
            </w:r>
          </w:p>
        </w:tc>
        <w:tc>
          <w:tcPr>
            <w:tcW w:w="220" w:type="dxa"/>
            <w:vAlign w:val="bottom"/>
            <w:tcBorders>
              <w:top w:val="single" w:sz="8" w:color="auto"/>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$30.00</w:t>
            </w:r>
          </w:p>
        </w:tc>
        <w:tc>
          <w:tcPr>
            <w:tcW w:w="220" w:type="dxa"/>
            <w:vAlign w:val="bottom"/>
            <w:tcBorders>
              <w:top w:val="single" w:sz="8" w:color="auto"/>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$40.00</w:t>
            </w:r>
          </w:p>
        </w:tc>
        <w:tc>
          <w:tcPr>
            <w:tcW w:w="220" w:type="dxa"/>
            <w:vAlign w:val="bottom"/>
            <w:tcBorders>
              <w:top w:val="single" w:sz="8" w:color="auto"/>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$50.00</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2022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13.0430</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2023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13.0430</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2024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13.0430</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2025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13.0430</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2026</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13.0430</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84"/>
        <w:spacing w:after="0"/>
        <w:rPr>
          <w:sz w:val="20"/>
          <w:szCs w:val="20"/>
          <w:color w:val="auto"/>
        </w:rPr>
      </w:pPr>
      <w:r>
        <w:rPr>
          <w:rFonts w:ascii="Times New Roman" w:cs="Times New Roman" w:eastAsia="Times New Roman" w:hAnsi="Times New Roman"/>
          <w:sz w:val="16"/>
          <w:szCs w:val="16"/>
          <w:color w:val="auto"/>
        </w:rPr>
        <w:t>The exact Stock Prices and Effective Dates or Redemption Notice Dates may not be set forth in the table above, in which case:</w:t>
      </w:r>
    </w:p>
    <w:p>
      <w:pPr>
        <w:spacing w:after="0" w:line="198" w:lineRule="exact"/>
        <w:rPr>
          <w:sz w:val="20"/>
          <w:szCs w:val="20"/>
          <w:color w:val="auto"/>
        </w:rPr>
      </w:pPr>
    </w:p>
    <w:p>
      <w:pPr>
        <w:jc w:val="both"/>
        <w:ind w:left="4" w:right="20" w:firstLine="1716"/>
        <w:spacing w:after="0" w:line="259" w:lineRule="auto"/>
        <w:tabs>
          <w:tab w:leader="none" w:pos="1959"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Stock Price is between two Stock Prices in the table above or the Effective Date or Redemption Notice Date, as applicable, is between two Effective Dates or Redemption Notice Dates, as applicable, in the table, the number of Additional Shares by which the Conversion Rate shall be increased shall be determined by a straight-line interpolation between the number of Additional Shares set forth for the higher and lower Stock Prices and the earlier and later Effective Dates or Redemption Notice Dates, as applicable, based on a 365- or 366-day year, as applicable;</w:t>
      </w:r>
    </w:p>
    <w:p>
      <w:pPr>
        <w:spacing w:after="0" w:line="161" w:lineRule="exact"/>
        <w:rPr>
          <w:rFonts w:ascii="Times New Roman" w:cs="Times New Roman" w:eastAsia="Times New Roman" w:hAnsi="Times New Roman"/>
          <w:sz w:val="16"/>
          <w:szCs w:val="16"/>
          <w:color w:val="auto"/>
        </w:rPr>
      </w:pPr>
    </w:p>
    <w:p>
      <w:pPr>
        <w:ind w:left="4" w:right="20" w:firstLine="1716"/>
        <w:spacing w:after="0" w:line="280" w:lineRule="auto"/>
        <w:tabs>
          <w:tab w:leader="none" w:pos="196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Stock Price is greater than $50.00 per share (subject to adjustment in the same manner as the Stock Prices set forth in the column headings of the table above pursuant to subsection (d) above), no Additional Shares shall be added to the Conversion Rate; and</w:t>
      </w:r>
    </w:p>
    <w:p>
      <w:pPr>
        <w:spacing w:after="0" w:line="144" w:lineRule="exact"/>
        <w:rPr>
          <w:rFonts w:ascii="Times New Roman" w:cs="Times New Roman" w:eastAsia="Times New Roman" w:hAnsi="Times New Roman"/>
          <w:sz w:val="16"/>
          <w:szCs w:val="16"/>
          <w:color w:val="auto"/>
        </w:rPr>
      </w:pPr>
    </w:p>
    <w:p>
      <w:pPr>
        <w:ind w:left="4" w:right="20" w:firstLine="1716"/>
        <w:spacing w:after="0" w:line="280" w:lineRule="auto"/>
        <w:tabs>
          <w:tab w:leader="none" w:pos="2004"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Stock Price is less than $10.00 per share (subject to adjustment in the same manner as the Stock Prices set forth in the column headings of the table above pursuant to subsection (d) above), no Additional Shares shall be added to the Conversion Rate.</w:t>
      </w:r>
    </w:p>
    <w:p>
      <w:pPr>
        <w:spacing w:after="0" w:line="144" w:lineRule="exact"/>
        <w:rPr>
          <w:sz w:val="20"/>
          <w:szCs w:val="20"/>
          <w:color w:val="auto"/>
        </w:rPr>
      </w:pPr>
    </w:p>
    <w:p>
      <w:pPr>
        <w:ind w:left="4" w:right="20" w:firstLine="382"/>
        <w:spacing w:after="0" w:line="280" w:lineRule="auto"/>
        <w:rPr>
          <w:sz w:val="20"/>
          <w:szCs w:val="20"/>
          <w:color w:val="auto"/>
        </w:rPr>
      </w:pPr>
      <w:r>
        <w:rPr>
          <w:rFonts w:ascii="Times New Roman" w:cs="Times New Roman" w:eastAsia="Times New Roman" w:hAnsi="Times New Roman"/>
          <w:sz w:val="16"/>
          <w:szCs w:val="16"/>
          <w:color w:val="auto"/>
        </w:rPr>
        <w:t>Notwithstanding the foregoing, in no event shall the Conversion Rate per $1,000 principal amount of Notes exceed [●] shares of Common Stock, subject to adjustment in the same manner as the Conversion Rate pursuant to Section 14.04.</w:t>
      </w:r>
    </w:p>
    <w:p>
      <w:pPr>
        <w:spacing w:after="0" w:line="144" w:lineRule="exact"/>
        <w:rPr>
          <w:sz w:val="20"/>
          <w:szCs w:val="20"/>
          <w:color w:val="auto"/>
        </w:rPr>
      </w:pPr>
    </w:p>
    <w:p>
      <w:pPr>
        <w:ind w:left="4" w:right="20" w:firstLine="1143"/>
        <w:spacing w:after="0" w:line="280" w:lineRule="auto"/>
        <w:tabs>
          <w:tab w:leader="none" w:pos="1393"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Nothing in this Section 14.04 shall prevent an adjustment to the Conversion Rate that would otherwise be required pursuant to Section 14.04 in respect of a Make-Whole Fundamental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1790700" cy="152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160" w:lineRule="exact"/>
        <w:rPr>
          <w:sz w:val="20"/>
          <w:szCs w:val="20"/>
          <w:color w:val="auto"/>
        </w:rPr>
      </w:pPr>
    </w:p>
    <w:p>
      <w:pPr>
        <w:ind w:left="284" w:right="20" w:hanging="284"/>
        <w:spacing w:after="0" w:line="260" w:lineRule="auto"/>
        <w:tabs>
          <w:tab w:leader="none" w:pos="284"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NTD: Table to be completed prior to issuance using customary methodology with the assistance of a nationally recognized investment bank that has experience with convertible notes of this type.</w:t>
      </w:r>
    </w:p>
    <w:p>
      <w:pPr>
        <w:ind w:left="284" w:hanging="284"/>
        <w:spacing w:after="0"/>
        <w:tabs>
          <w:tab w:leader="none" w:pos="284"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NTD: Bankers to confirm.</w:t>
      </w:r>
    </w:p>
    <w:p>
      <w:pPr>
        <w:spacing w:after="0" w:line="37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82" w:name="page83"/>
    <w:bookmarkEnd w:id="82"/>
    <w:p>
      <w:pPr>
        <w:ind w:left="4" w:firstLine="382"/>
        <w:spacing w:after="0" w:line="261" w:lineRule="auto"/>
        <w:rPr>
          <w:sz w:val="20"/>
          <w:szCs w:val="20"/>
          <w:color w:val="auto"/>
        </w:rPr>
      </w:pPr>
      <w:r>
        <w:rPr>
          <w:rFonts w:ascii="Times New Roman" w:cs="Times New Roman" w:eastAsia="Times New Roman" w:hAnsi="Times New Roman"/>
          <w:sz w:val="16"/>
          <w:szCs w:val="16"/>
          <w:color w:val="auto"/>
        </w:rPr>
        <w:t xml:space="preserve">Section 14.05. </w:t>
      </w:r>
      <w:r>
        <w:rPr>
          <w:rFonts w:ascii="Times New Roman" w:cs="Times New Roman" w:eastAsia="Times New Roman" w:hAnsi="Times New Roman"/>
          <w:sz w:val="16"/>
          <w:szCs w:val="16"/>
          <w:i w:val="1"/>
          <w:iCs w:val="1"/>
          <w:color w:val="auto"/>
        </w:rPr>
        <w:t>Adjustment of Conversion Rate.</w:t>
      </w:r>
      <w:r>
        <w:rPr>
          <w:rFonts w:ascii="Times New Roman" w:cs="Times New Roman" w:eastAsia="Times New Roman" w:hAnsi="Times New Roman"/>
          <w:sz w:val="16"/>
          <w:szCs w:val="16"/>
          <w:color w:val="auto"/>
        </w:rPr>
        <w:t xml:space="preserve"> The Conversion Rate shall be adjusted from time to time by the Company if any of the following events occurs, except that the Company shall not make any adjustments to the Conversion Rate if Holders of the Notes participate (other than in the case of (x) a share split or share combination or</w:t>
      </w:r>
    </w:p>
    <w:p>
      <w:pPr>
        <w:spacing w:after="0" w:line="1" w:lineRule="exact"/>
        <w:rPr>
          <w:sz w:val="20"/>
          <w:szCs w:val="20"/>
          <w:color w:val="auto"/>
        </w:rPr>
      </w:pPr>
    </w:p>
    <w:p>
      <w:pPr>
        <w:jc w:val="both"/>
        <w:ind w:left="4" w:right="20" w:hanging="4"/>
        <w:spacing w:after="0" w:line="251" w:lineRule="auto"/>
        <w:tabs>
          <w:tab w:leader="none" w:pos="231"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tender or exchange offer), at the same time and upon the same terms as holders of the Common Stock and solely as a result of holding the Notes, in any of the transactions described in this Section 14.04, without having to convert their Notes, as if they held a number of shares of Common Stock equal to the Conversion Rate, </w:t>
      </w:r>
      <w:r>
        <w:rPr>
          <w:rFonts w:ascii="Times New Roman" w:cs="Times New Roman" w:eastAsia="Times New Roman" w:hAnsi="Times New Roman"/>
          <w:sz w:val="16"/>
          <w:szCs w:val="16"/>
          <w:i w:val="1"/>
          <w:iCs w:val="1"/>
          <w:color w:val="auto"/>
        </w:rPr>
        <w:t>multiplied by</w:t>
      </w:r>
      <w:r>
        <w:rPr>
          <w:rFonts w:ascii="Times New Roman" w:cs="Times New Roman" w:eastAsia="Times New Roman" w:hAnsi="Times New Roman"/>
          <w:sz w:val="16"/>
          <w:szCs w:val="16"/>
          <w:color w:val="auto"/>
        </w:rPr>
        <w:t xml:space="preserve"> the principal amount (expressed in thousands) of Notes held by such Holder. Neither the Trustee nor the Conversion Agent shall have any responsibility to verify the accuracy of any adjustment to the Conversion Rate. The Company shall notify the Holders, the Trustee and the Conversion Agent promptly in writing of any adjustments to the Conversion Rate, which adjustments shall be conclusive and binding on holders, absent manifest error.</w:t>
      </w:r>
    </w:p>
    <w:p>
      <w:pPr>
        <w:spacing w:after="0" w:line="168" w:lineRule="exact"/>
        <w:rPr>
          <w:rFonts w:ascii="Times New Roman" w:cs="Times New Roman" w:eastAsia="Times New Roman" w:hAnsi="Times New Roman"/>
          <w:sz w:val="16"/>
          <w:szCs w:val="16"/>
          <w:color w:val="auto"/>
        </w:rPr>
      </w:pPr>
    </w:p>
    <w:p>
      <w:pPr>
        <w:ind w:left="4" w:right="80" w:firstLine="1143"/>
        <w:spacing w:after="0" w:line="280" w:lineRule="auto"/>
        <w:tabs>
          <w:tab w:leader="none" w:pos="1368" w:val="left"/>
        </w:tabs>
        <w:numPr>
          <w:ilvl w:val="1"/>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exclusively issues shares of Common Stock as a dividend or distribution on shares of the Common Stock to all or substantially all holders of the Common Stock, or if the Company effects a share split or share combination, the Conversion Rate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2420620</wp:posOffset>
            </wp:positionH>
            <wp:positionV relativeFrom="paragraph">
              <wp:posOffset>-18415</wp:posOffset>
            </wp:positionV>
            <wp:extent cx="2276475" cy="895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276475" cy="895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464" w:type="dxa"/>
        <w:tblCellMar>
          <w:top w:w="0" w:type="dxa"/>
          <w:left w:w="0" w:type="dxa"/>
          <w:bottom w:w="0" w:type="dxa"/>
          <w:right w:w="0" w:type="dxa"/>
        </w:tblCellMar>
      </w:tblPr>
      <w:tr>
        <w:trPr>
          <w:trHeight w:val="208"/>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where,</w:t>
            </w:r>
          </w:p>
        </w:tc>
        <w:tc>
          <w:tcPr>
            <w:tcW w:w="320" w:type="dxa"/>
            <w:vAlign w:val="bottom"/>
          </w:tcPr>
          <w:p>
            <w:pPr>
              <w:spacing w:after="0"/>
              <w:rPr>
                <w:sz w:val="18"/>
                <w:szCs w:val="18"/>
                <w:color w:val="auto"/>
              </w:rPr>
            </w:pPr>
          </w:p>
        </w:tc>
        <w:tc>
          <w:tcPr>
            <w:tcW w:w="9920" w:type="dxa"/>
            <w:vAlign w:val="bottom"/>
          </w:tcPr>
          <w:p>
            <w:pPr>
              <w:spacing w:after="0"/>
              <w:rPr>
                <w:sz w:val="18"/>
                <w:szCs w:val="18"/>
                <w:color w:val="auto"/>
              </w:rPr>
            </w:pPr>
          </w:p>
        </w:tc>
      </w:tr>
      <w:tr>
        <w:trPr>
          <w:trHeight w:val="437"/>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CR0</w:t>
            </w: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the Conversion Rate in effect immediately prior to the open of business on the Ex-Dividend Date of such dividend or distribution, or immediately prior</w:t>
            </w:r>
          </w:p>
        </w:tc>
      </w:tr>
      <w:tr>
        <w:trPr>
          <w:trHeight w:val="208"/>
        </w:trPr>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 the open of business on the Effective Date of such share split or share combination, as applicable;</w:t>
            </w:r>
          </w:p>
        </w:tc>
      </w:tr>
      <w:tr>
        <w:trPr>
          <w:trHeight w:val="382"/>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CR’</w:t>
            </w: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the Conversion Rate in effect immediately after the open of business on such Ex-Dividend Date or Effective Date, as applicable;</w:t>
            </w:r>
          </w:p>
        </w:tc>
      </w:tr>
      <w:tr>
        <w:trPr>
          <w:trHeight w:val="366"/>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OS0</w:t>
            </w: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the number of shares of Common Stock outstanding immediately prior to the open of business on such Ex-Dividend Date or Effective Date, as</w:t>
            </w:r>
          </w:p>
        </w:tc>
      </w:tr>
      <w:tr>
        <w:trPr>
          <w:trHeight w:val="208"/>
        </w:trPr>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applicable; and</w:t>
            </w:r>
          </w:p>
        </w:tc>
      </w:tr>
      <w:tr>
        <w:trPr>
          <w:trHeight w:val="366"/>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OS’</w:t>
            </w: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the number of shares of Common Stock outstanding immediately after giving effect to such dividend, distribution, share split or share combination, as</w:t>
            </w:r>
          </w:p>
        </w:tc>
      </w:tr>
      <w:tr>
        <w:trPr>
          <w:trHeight w:val="208"/>
        </w:trPr>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applicable.</w:t>
            </w:r>
          </w:p>
        </w:tc>
      </w:tr>
    </w:tbl>
    <w:p>
      <w:pPr>
        <w:spacing w:after="0" w:line="174" w:lineRule="exact"/>
        <w:rPr>
          <w:sz w:val="20"/>
          <w:szCs w:val="20"/>
          <w:color w:val="auto"/>
        </w:rPr>
      </w:pPr>
    </w:p>
    <w:p>
      <w:pPr>
        <w:jc w:val="both"/>
        <w:ind w:left="4" w:right="20" w:firstLine="382"/>
        <w:spacing w:after="0" w:line="259" w:lineRule="auto"/>
        <w:rPr>
          <w:sz w:val="20"/>
          <w:szCs w:val="20"/>
          <w:color w:val="auto"/>
        </w:rPr>
      </w:pPr>
      <w:r>
        <w:rPr>
          <w:rFonts w:ascii="Times New Roman" w:cs="Times New Roman" w:eastAsia="Times New Roman" w:hAnsi="Times New Roman"/>
          <w:sz w:val="16"/>
          <w:szCs w:val="16"/>
          <w:color w:val="auto"/>
        </w:rPr>
        <w:t>Any adjustment made under this Section 14.04(a) shall become effective immediately after the open of business on the Ex-Dividend Date for such dividend or distribution, or immediately after the open of business on the Effective Date for such share split or share combination, as applicable. If any dividend or distribution of the type described in this Section 14.04(a) is declared but not so paid or made, the Conversion Rate shall be immediately readjusted, effective as of the date the Company determines in good faith not to pay such dividend or distribution, to the Conversion Rate that would then be in effect if such dividend or distribution had not been declared.</w:t>
      </w:r>
    </w:p>
    <w:p>
      <w:pPr>
        <w:spacing w:after="0" w:line="162" w:lineRule="exact"/>
        <w:rPr>
          <w:sz w:val="20"/>
          <w:szCs w:val="20"/>
          <w:color w:val="auto"/>
        </w:rPr>
      </w:pPr>
    </w:p>
    <w:p>
      <w:pPr>
        <w:jc w:val="both"/>
        <w:ind w:left="4" w:firstLine="1143"/>
        <w:spacing w:after="0" w:line="259" w:lineRule="auto"/>
        <w:tabs>
          <w:tab w:leader="none" w:pos="1381"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issues to all or substantially all holders of the Common Stock any rights, options or warrants (other than pursuant to a stockholders rights plan) entitling them, for a period of not more than 45 calendar days after the announcement date of such issuance, to subscribe for or purchase shares of the Common Stock at a price per share that is less than the average of the Last Reported Sale Prices of the Common Stock for the 10 consecutive Trading Day period ending on, and including, the Trading Day immediately preceding the date of announcement of such issuance,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2230755</wp:posOffset>
            </wp:positionH>
            <wp:positionV relativeFrom="paragraph">
              <wp:posOffset>-7620</wp:posOffset>
            </wp:positionV>
            <wp:extent cx="2655570" cy="910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655570" cy="910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4" w:type="dxa"/>
        <w:tblCellMar>
          <w:top w:w="0" w:type="dxa"/>
          <w:left w:w="0" w:type="dxa"/>
          <w:bottom w:w="0" w:type="dxa"/>
          <w:right w:w="0" w:type="dxa"/>
        </w:tblCellMar>
      </w:tblPr>
      <w:tr>
        <w:trPr>
          <w:trHeight w:val="208"/>
        </w:trPr>
        <w:tc>
          <w:tcPr>
            <w:tcW w:w="1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where,</w:t>
            </w:r>
          </w:p>
        </w:tc>
        <w:tc>
          <w:tcPr>
            <w:tcW w:w="320" w:type="dxa"/>
            <w:vAlign w:val="bottom"/>
          </w:tcPr>
          <w:p>
            <w:pPr>
              <w:spacing w:after="0"/>
              <w:rPr>
                <w:sz w:val="18"/>
                <w:szCs w:val="18"/>
                <w:color w:val="auto"/>
              </w:rPr>
            </w:pPr>
          </w:p>
        </w:tc>
        <w:tc>
          <w:tcPr>
            <w:tcW w:w="9920" w:type="dxa"/>
            <w:vAlign w:val="bottom"/>
          </w:tcPr>
          <w:p>
            <w:pPr>
              <w:spacing w:after="0"/>
              <w:rPr>
                <w:sz w:val="18"/>
                <w:szCs w:val="18"/>
                <w:color w:val="auto"/>
              </w:rPr>
            </w:pPr>
          </w:p>
        </w:tc>
      </w:tr>
      <w:tr>
        <w:trPr>
          <w:trHeight w:val="454"/>
        </w:trPr>
        <w:tc>
          <w:tcPr>
            <w:tcW w:w="1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CR0</w:t>
            </w:r>
          </w:p>
        </w:tc>
        <w:tc>
          <w:tcPr>
            <w:tcW w:w="102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   the Conversion Rate in effect immediately prior to the open of business on the Ex-Dividend Date for such issuance;</w:t>
            </w:r>
          </w:p>
        </w:tc>
      </w:tr>
      <w:tr>
        <w:trPr>
          <w:trHeight w:val="382"/>
        </w:trPr>
        <w:tc>
          <w:tcPr>
            <w:tcW w:w="1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CR’</w:t>
            </w:r>
          </w:p>
        </w:tc>
        <w:tc>
          <w:tcPr>
            <w:tcW w:w="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the Conversion Rate in effect immediately after the open of business on such Ex-Dividend Date;</w:t>
            </w:r>
          </w:p>
        </w:tc>
      </w:tr>
      <w:tr>
        <w:trPr>
          <w:trHeight w:val="382"/>
        </w:trPr>
        <w:tc>
          <w:tcPr>
            <w:tcW w:w="1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OS0</w:t>
            </w:r>
          </w:p>
        </w:tc>
        <w:tc>
          <w:tcPr>
            <w:tcW w:w="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the number of shares of Common Stock outstanding immediately prior to the open of business on such Ex-Dividend Date;</w:t>
            </w:r>
          </w:p>
        </w:tc>
      </w:tr>
      <w:tr>
        <w:trPr>
          <w:trHeight w:val="601"/>
        </w:trPr>
        <w:tc>
          <w:tcPr>
            <w:tcW w:w="1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920" w:type="dxa"/>
            <w:vAlign w:val="bottom"/>
            <w:tcBorders>
              <w:bottom w:val="single" w:sz="8" w:color="auto"/>
            </w:tcBorders>
          </w:tcPr>
          <w:p>
            <w:pPr>
              <w:jc w:val="right"/>
              <w:ind w:right="5480"/>
              <w:spacing w:after="0"/>
              <w:rPr>
                <w:sz w:val="20"/>
                <w:szCs w:val="20"/>
                <w:color w:val="auto"/>
              </w:rPr>
            </w:pPr>
            <w:r>
              <w:rPr>
                <w:rFonts w:ascii="Times New Roman" w:cs="Times New Roman" w:eastAsia="Times New Roman" w:hAnsi="Times New Roman"/>
                <w:sz w:val="16"/>
                <w:szCs w:val="16"/>
                <w:color w:val="auto"/>
              </w:rPr>
              <w:t>63</w:t>
            </w:r>
          </w:p>
        </w:tc>
      </w:tr>
    </w:tbl>
    <w:p>
      <w:pPr>
        <w:sectPr>
          <w:pgSz w:w="11900" w:h="16838" w:orient="portrait"/>
          <w:cols w:equalWidth="0" w:num="1">
            <w:col w:w="11264"/>
          </w:cols>
          <w:pgMar w:left="316" w:top="814" w:right="319" w:bottom="1440" w:gutter="0" w:footer="0" w:header="0"/>
        </w:sectPr>
      </w:pPr>
    </w:p>
    <w:bookmarkStart w:id="83" w:name="page84"/>
    <w:bookmarkEnd w:id="83"/>
    <w:p>
      <w:pPr>
        <w:ind w:left="1140" w:hanging="678"/>
        <w:spacing w:after="0"/>
        <w:tabs>
          <w:tab w:leader="none" w:pos="114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the total number of shares of Common Stock issuable pursuant to such rights, options or warrants; and</w:t>
      </w:r>
    </w:p>
    <w:p>
      <w:pPr>
        <w:spacing w:after="0" w:line="198" w:lineRule="exact"/>
        <w:rPr>
          <w:sz w:val="20"/>
          <w:szCs w:val="20"/>
          <w:color w:val="auto"/>
        </w:rPr>
      </w:pPr>
    </w:p>
    <w:p>
      <w:pPr>
        <w:ind w:left="1460" w:hanging="998"/>
        <w:spacing w:after="0" w:line="265" w:lineRule="auto"/>
        <w:tabs>
          <w:tab w:leader="none" w:pos="1137"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the number of shares of Common Stock equal to the aggregate price payable to exercise such rights, options or warrants, divided by the average of the Last Reported Sale Prices of the Common Stock over the 10 consecutive Trading Day period ending on, and including, the Trading Day immediately preceding the date of announcement of the issuance of such rights, options or warrants.</w:t>
      </w:r>
    </w:p>
    <w:p>
      <w:pPr>
        <w:spacing w:after="0" w:line="155" w:lineRule="exact"/>
        <w:rPr>
          <w:sz w:val="20"/>
          <w:szCs w:val="20"/>
          <w:color w:val="auto"/>
        </w:rPr>
      </w:pPr>
    </w:p>
    <w:p>
      <w:pPr>
        <w:jc w:val="both"/>
        <w:ind w:firstLine="382"/>
        <w:spacing w:after="0" w:line="255" w:lineRule="auto"/>
        <w:rPr>
          <w:sz w:val="20"/>
          <w:szCs w:val="20"/>
          <w:color w:val="auto"/>
        </w:rPr>
      </w:pPr>
      <w:r>
        <w:rPr>
          <w:rFonts w:ascii="Times New Roman" w:cs="Times New Roman" w:eastAsia="Times New Roman" w:hAnsi="Times New Roman"/>
          <w:sz w:val="16"/>
          <w:szCs w:val="16"/>
          <w:color w:val="auto"/>
        </w:rPr>
        <w:t>Any increase made under this Section 14.04(a) shall be made successively whenever any such rights, options or warrants are issued and shall become effective immediately after the open of business on the Ex-Dividend Date for such issuance. To the extent that shares of the Common Stock are not delivered after the expiration of such rights, options or warrants, the Conversion Rate shall be decreased to the Conversion Rate that would then be in effect had the increase with respect to the issuance of such rights, options or warrants been made on the basis of delivery of only the number of shares of Common Stock actually delivered. If such rights, options or warrants are not so issued, or if no such rights, options or warrants are exercised prior to their expiration, the Conversion Rate shall be decreased to the Conversion Rate that would then be in effect if such Ex-Dividend Date for such issuance had not occurred.</w:t>
      </w:r>
    </w:p>
    <w:p>
      <w:pPr>
        <w:spacing w:after="0" w:line="165"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6"/>
          <w:szCs w:val="16"/>
          <w:color w:val="auto"/>
        </w:rPr>
        <w:t>For purposes of this Section 14.04(a) and for the purpose of Section 14.01(b)(ii)(A), in determining whether any rights, options or warrants entitle the holders of the Common Stock to subscribe for or purchase shares of the Common Stock at less than such average of the Last Reported Sale Prices of the Common Stock for the 10 consecutive Trading Day period ending on, and including, the Trading Day immediately preceding the date of announcement of such issuance, and in determining the aggregate offering price of such shares of Common Stock, there shall be taken into account any consideration received by the Company for such rights, options or warrants and any amount payable on exercise or conversion thereof, the value of such consideration, if other than cash, to be determined by the Company in good faith.</w:t>
      </w:r>
    </w:p>
    <w:p>
      <w:pPr>
        <w:spacing w:after="0" w:line="162" w:lineRule="exact"/>
        <w:rPr>
          <w:sz w:val="20"/>
          <w:szCs w:val="20"/>
          <w:color w:val="auto"/>
        </w:rPr>
      </w:pPr>
    </w:p>
    <w:p>
      <w:pPr>
        <w:jc w:val="both"/>
        <w:ind w:right="20" w:firstLine="1143"/>
        <w:spacing w:after="0" w:line="254" w:lineRule="auto"/>
        <w:tabs>
          <w:tab w:leader="none" w:pos="1364"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distributes shares of its Capital Stock, evidences of its indebtedness, other assets or property of the Company or rights, options or warrants to acquire its Capital Stock or other securities, to all or substantially all holders of the Common Stock, excluding (i) dividends, distributions or issuances as to which an adjustment was effected (or would be effected, disregarding the 1% Provision) pursuant to Section 14.04(a) or Section 14.04(b), (ii) rights issued under a stockholders rights plan (except as provided in Section 14.11), (iii) dividends or distributions paid exclusively in cash as to which the provisions set forth in Section 14.04(d) shall apply, (iv) distributions of Reference Property in exchange for, or upon conversion of, Common Stock in a Merger Event and (v) Spin-Offs as to which the provisions set forth in this Section 14.04(c) shall apply (any of such shares of Capital Stock, evidences of indebtedness, other assets or property or rights, options or warrants to acquire Capital Stock or other securities, the “</w:t>
      </w:r>
      <w:r>
        <w:rPr>
          <w:rFonts w:ascii="Times New Roman" w:cs="Times New Roman" w:eastAsia="Times New Roman" w:hAnsi="Times New Roman"/>
          <w:sz w:val="16"/>
          <w:szCs w:val="16"/>
          <w:b w:val="1"/>
          <w:bCs w:val="1"/>
          <w:color w:val="auto"/>
        </w:rPr>
        <w:t>Distributed Property</w:t>
      </w:r>
      <w:r>
        <w:rPr>
          <w:rFonts w:ascii="Times New Roman" w:cs="Times New Roman" w:eastAsia="Times New Roman" w:hAnsi="Times New Roman"/>
          <w:sz w:val="16"/>
          <w:szCs w:val="16"/>
          <w:color w:val="auto"/>
        </w:rPr>
        <w:t>”), then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1613535</wp:posOffset>
            </wp:positionH>
            <wp:positionV relativeFrom="paragraph">
              <wp:posOffset>-4445</wp:posOffset>
            </wp:positionV>
            <wp:extent cx="3892550" cy="11156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892550" cy="1115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where,</w:t>
            </w:r>
          </w:p>
        </w:tc>
        <w:tc>
          <w:tcPr>
            <w:tcW w:w="10240" w:type="dxa"/>
            <w:vAlign w:val="bottom"/>
          </w:tcPr>
          <w:p>
            <w:pPr>
              <w:spacing w:after="0"/>
              <w:rPr>
                <w:sz w:val="18"/>
                <w:szCs w:val="18"/>
                <w:color w:val="auto"/>
              </w:rPr>
            </w:pPr>
          </w:p>
        </w:tc>
      </w:tr>
      <w:tr>
        <w:trPr>
          <w:trHeight w:val="454"/>
        </w:trPr>
        <w:tc>
          <w:tcPr>
            <w:tcW w:w="1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CR0</w:t>
            </w:r>
          </w:p>
        </w:tc>
        <w:tc>
          <w:tcPr>
            <w:tcW w:w="10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   the Conversion Rate in effect immediately prior to the open of business on the Ex-Dividend Date for such distribution;</w:t>
            </w:r>
          </w:p>
        </w:tc>
      </w:tr>
      <w:tr>
        <w:trPr>
          <w:trHeight w:val="454"/>
        </w:trPr>
        <w:tc>
          <w:tcPr>
            <w:tcW w:w="1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CR’</w:t>
            </w:r>
          </w:p>
        </w:tc>
        <w:tc>
          <w:tcPr>
            <w:tcW w:w="10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   the Conversion Rate in effect immediately after the open of business on such Ex-Dividend Date;</w:t>
            </w:r>
          </w:p>
        </w:tc>
      </w:tr>
      <w:tr>
        <w:trPr>
          <w:trHeight w:val="366"/>
        </w:trPr>
        <w:tc>
          <w:tcPr>
            <w:tcW w:w="1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SP0</w:t>
            </w:r>
          </w:p>
        </w:tc>
        <w:tc>
          <w:tcPr>
            <w:tcW w:w="10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   the average of the Last Reported Sale Prices of the Common Stock over the 10 consecutive Trading Day period ending on, and including, the Trading</w:t>
            </w:r>
          </w:p>
        </w:tc>
      </w:tr>
      <w:tr>
        <w:trPr>
          <w:trHeight w:val="208"/>
        </w:trPr>
        <w:tc>
          <w:tcPr>
            <w:tcW w:w="1020" w:type="dxa"/>
            <w:vAlign w:val="bottom"/>
          </w:tcPr>
          <w:p>
            <w:pPr>
              <w:spacing w:after="0"/>
              <w:rPr>
                <w:sz w:val="18"/>
                <w:szCs w:val="18"/>
                <w:color w:val="auto"/>
              </w:rPr>
            </w:pPr>
          </w:p>
        </w:tc>
        <w:tc>
          <w:tcPr>
            <w:tcW w:w="102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Day immediately preceding the Ex-Dividend Date for such distribution; and</w:t>
            </w:r>
          </w:p>
        </w:tc>
      </w:tr>
      <w:tr>
        <w:trPr>
          <w:trHeight w:val="366"/>
        </w:trPr>
        <w:tc>
          <w:tcPr>
            <w:tcW w:w="1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FMV</w:t>
            </w:r>
          </w:p>
        </w:tc>
        <w:tc>
          <w:tcPr>
            <w:tcW w:w="10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   the fair market value (as determined by the Company in good faith) of the Distributed Property with respect to each outstanding share of the Common</w:t>
            </w:r>
          </w:p>
        </w:tc>
      </w:tr>
      <w:tr>
        <w:trPr>
          <w:trHeight w:val="208"/>
        </w:trPr>
        <w:tc>
          <w:tcPr>
            <w:tcW w:w="1020" w:type="dxa"/>
            <w:vAlign w:val="bottom"/>
          </w:tcPr>
          <w:p>
            <w:pPr>
              <w:spacing w:after="0"/>
              <w:rPr>
                <w:sz w:val="18"/>
                <w:szCs w:val="18"/>
                <w:color w:val="auto"/>
              </w:rPr>
            </w:pPr>
          </w:p>
        </w:tc>
        <w:tc>
          <w:tcPr>
            <w:tcW w:w="102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Stock on the Ex-Dividend Date for such distribution.</w:t>
            </w:r>
          </w:p>
        </w:tc>
      </w:tr>
      <w:tr>
        <w:trPr>
          <w:trHeight w:val="601"/>
        </w:trPr>
        <w:tc>
          <w:tcPr>
            <w:tcW w:w="1020" w:type="dxa"/>
            <w:vAlign w:val="bottom"/>
            <w:tcBorders>
              <w:bottom w:val="single" w:sz="8" w:color="auto"/>
            </w:tcBorders>
          </w:tcPr>
          <w:p>
            <w:pPr>
              <w:spacing w:after="0"/>
              <w:rPr>
                <w:sz w:val="24"/>
                <w:szCs w:val="24"/>
                <w:color w:val="auto"/>
              </w:rPr>
            </w:pPr>
          </w:p>
        </w:tc>
        <w:tc>
          <w:tcPr>
            <w:tcW w:w="10240" w:type="dxa"/>
            <w:vAlign w:val="bottom"/>
            <w:tcBorders>
              <w:bottom w:val="single" w:sz="8" w:color="auto"/>
            </w:tcBorders>
          </w:tcPr>
          <w:p>
            <w:pPr>
              <w:ind w:left="4520"/>
              <w:spacing w:after="0"/>
              <w:rPr>
                <w:sz w:val="20"/>
                <w:szCs w:val="20"/>
                <w:color w:val="auto"/>
              </w:rPr>
            </w:pPr>
            <w:r>
              <w:rPr>
                <w:rFonts w:ascii="Times New Roman" w:cs="Times New Roman" w:eastAsia="Times New Roman" w:hAnsi="Times New Roman"/>
                <w:sz w:val="16"/>
                <w:szCs w:val="16"/>
                <w:color w:val="auto"/>
              </w:rPr>
              <w:t>64</w:t>
            </w:r>
          </w:p>
        </w:tc>
      </w:tr>
    </w:tbl>
    <w:p>
      <w:pPr>
        <w:sectPr>
          <w:pgSz w:w="11900" w:h="16838" w:orient="portrait"/>
          <w:cols w:equalWidth="0" w:num="1">
            <w:col w:w="11260"/>
          </w:cols>
          <w:pgMar w:left="320" w:top="840" w:right="319" w:bottom="1440" w:gutter="0" w:footer="0" w:header="0"/>
        </w:sectPr>
      </w:pPr>
    </w:p>
    <w:bookmarkStart w:id="84" w:name="page85"/>
    <w:bookmarkEnd w:id="84"/>
    <w:p>
      <w:pPr>
        <w:jc w:val="both"/>
        <w:ind w:firstLine="382"/>
        <w:spacing w:after="0" w:line="253" w:lineRule="auto"/>
        <w:rPr>
          <w:sz w:val="20"/>
          <w:szCs w:val="20"/>
          <w:color w:val="auto"/>
        </w:rPr>
      </w:pPr>
      <w:r>
        <w:rPr>
          <w:rFonts w:ascii="Times New Roman" w:cs="Times New Roman" w:eastAsia="Times New Roman" w:hAnsi="Times New Roman"/>
          <w:sz w:val="16"/>
          <w:szCs w:val="16"/>
          <w:color w:val="auto"/>
        </w:rPr>
        <w:t>Any increase made under the portion of this Section 14.04(c) above shall become effective immediately after the open of business on the Ex-Dividend Date for such distribution. If such distribution is not so paid or made, the Conversion Rate shall be decreased to the Conversion Rate that would then be in effect if such distribution had not been declared. In the case of any distribution of rights, options or warrants, to the extent such rights, options or warrants expire unexercised, the Conversion Rate shall be immediately readjusted to the Conversion Rate that would then be in effect had such unexercised rights, options or warrants not been distributed. Notwithstanding the foregoing, if “FMV” (as defined above) is equal to or greater than “SP0” (as defined above), in lieu of the foregoing increase, each Holder of a Note shall receive, in respect of each $1,000 principal amount thereof, at the same time and upon the same terms as holders of the Common Stock receive the Distributed Property, the amount and kind of Distributed Property such Holder would have received if such Holder owned a number of shares of Common Stock equal to the Conversion Rate in effect on the Ex-Dividend Date for the distribution.</w:t>
      </w:r>
    </w:p>
    <w:p>
      <w:pPr>
        <w:spacing w:after="0" w:line="169" w:lineRule="exact"/>
        <w:rPr>
          <w:sz w:val="20"/>
          <w:szCs w:val="20"/>
          <w:color w:val="auto"/>
        </w:rPr>
      </w:pPr>
    </w:p>
    <w:p>
      <w:pPr>
        <w:jc w:val="both"/>
        <w:ind w:right="20" w:firstLine="382"/>
        <w:spacing w:after="0" w:line="265" w:lineRule="auto"/>
        <w:rPr>
          <w:sz w:val="20"/>
          <w:szCs w:val="20"/>
          <w:color w:val="auto"/>
        </w:rPr>
      </w:pPr>
      <w:r>
        <w:rPr>
          <w:rFonts w:ascii="Times New Roman" w:cs="Times New Roman" w:eastAsia="Times New Roman" w:hAnsi="Times New Roman"/>
          <w:sz w:val="16"/>
          <w:szCs w:val="16"/>
          <w:color w:val="auto"/>
        </w:rPr>
        <w:t>With respect to an adjustment pursuant to this Section 14.04(c) where there has been a payment of a dividend or other distribution on the Common Stock of shares of Capital Stock of any class or series, or similar equity interest, of or relating to a Subsidiary, other business unit or Affiliate of the Company, that are, or, when issued, will be, listed or admitted for trading on a U.S. national securities exchange (a “</w:t>
      </w:r>
      <w:r>
        <w:rPr>
          <w:rFonts w:ascii="Times New Roman" w:cs="Times New Roman" w:eastAsia="Times New Roman" w:hAnsi="Times New Roman"/>
          <w:sz w:val="16"/>
          <w:szCs w:val="16"/>
          <w:b w:val="1"/>
          <w:bCs w:val="1"/>
          <w:color w:val="auto"/>
        </w:rPr>
        <w:t>Spin-Off</w:t>
      </w:r>
      <w:r>
        <w:rPr>
          <w:rFonts w:ascii="Times New Roman" w:cs="Times New Roman" w:eastAsia="Times New Roman" w:hAnsi="Times New Roman"/>
          <w:sz w:val="16"/>
          <w:szCs w:val="16"/>
          <w:color w:val="auto"/>
        </w:rPr>
        <w:t>”),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1681480</wp:posOffset>
            </wp:positionH>
            <wp:positionV relativeFrom="paragraph">
              <wp:posOffset>109220</wp:posOffset>
            </wp:positionV>
            <wp:extent cx="3809365" cy="9715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809365" cy="971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460" w:type="dxa"/>
        <w:tblCellMar>
          <w:top w:w="0" w:type="dxa"/>
          <w:left w:w="0" w:type="dxa"/>
          <w:bottom w:w="0" w:type="dxa"/>
          <w:right w:w="0" w:type="dxa"/>
        </w:tblCellMar>
      </w:tblPr>
      <w:tr>
        <w:trPr>
          <w:trHeight w:val="208"/>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where,</w:t>
            </w:r>
          </w:p>
        </w:tc>
        <w:tc>
          <w:tcPr>
            <w:tcW w:w="320" w:type="dxa"/>
            <w:vAlign w:val="bottom"/>
          </w:tcPr>
          <w:p>
            <w:pPr>
              <w:spacing w:after="0"/>
              <w:rPr>
                <w:sz w:val="18"/>
                <w:szCs w:val="18"/>
                <w:color w:val="auto"/>
              </w:rPr>
            </w:pPr>
          </w:p>
        </w:tc>
        <w:tc>
          <w:tcPr>
            <w:tcW w:w="9920" w:type="dxa"/>
            <w:vAlign w:val="bottom"/>
          </w:tcPr>
          <w:p>
            <w:pPr>
              <w:spacing w:after="0"/>
              <w:rPr>
                <w:sz w:val="18"/>
                <w:szCs w:val="18"/>
                <w:color w:val="auto"/>
              </w:rPr>
            </w:pPr>
          </w:p>
        </w:tc>
      </w:tr>
      <w:tr>
        <w:trPr>
          <w:trHeight w:val="454"/>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CR0</w:t>
            </w: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the Conversion Rate in effect immediately prior to the end of the Valuation Period;</w:t>
            </w:r>
          </w:p>
        </w:tc>
      </w:tr>
      <w:tr>
        <w:trPr>
          <w:trHeight w:val="454"/>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CR’</w:t>
            </w: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the Conversion Rate in effect immediately after the end of the Valuation Period;</w:t>
            </w:r>
          </w:p>
        </w:tc>
      </w:tr>
      <w:tr>
        <w:trPr>
          <w:trHeight w:val="366"/>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FMV0</w:t>
            </w: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the average of the Last Reported Sale Prices of the Capital Stock or similar equity interest distributed to holders of the Common Stock applicable to one</w:t>
            </w:r>
          </w:p>
        </w:tc>
      </w:tr>
      <w:tr>
        <w:trPr>
          <w:trHeight w:val="191"/>
        </w:trPr>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 of the Common Stock (determined by reference to the definition of Last Reported Sale Price as set forth in Section 1.01 as if references therein to</w:t>
            </w:r>
          </w:p>
        </w:tc>
      </w:tr>
      <w:tr>
        <w:trPr>
          <w:trHeight w:val="191"/>
        </w:trPr>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Common Stock were to such Capital Stock or similar equity interest) over the first 10 consecutive Trading Day period after, and including, the Ex-</w:t>
            </w:r>
          </w:p>
        </w:tc>
      </w:tr>
      <w:tr>
        <w:trPr>
          <w:trHeight w:val="208"/>
        </w:trPr>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Dividend Date of the Spin-Off (the “Valuation Period”); and</w:t>
            </w:r>
          </w:p>
        </w:tc>
      </w:tr>
      <w:tr>
        <w:trPr>
          <w:trHeight w:val="382"/>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MP0</w:t>
            </w: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the average of the Last Reported Sale Prices of the Common Stock over the Valuation Period.</w:t>
            </w:r>
          </w:p>
        </w:tc>
      </w:tr>
    </w:tbl>
    <w:p>
      <w:pPr>
        <w:spacing w:after="0" w:line="172" w:lineRule="exact"/>
        <w:rPr>
          <w:sz w:val="20"/>
          <w:szCs w:val="20"/>
          <w:color w:val="auto"/>
        </w:rPr>
      </w:pPr>
    </w:p>
    <w:p>
      <w:pPr>
        <w:jc w:val="both"/>
        <w:ind w:firstLine="382"/>
        <w:spacing w:after="0" w:line="255" w:lineRule="auto"/>
        <w:rPr>
          <w:sz w:val="20"/>
          <w:szCs w:val="20"/>
          <w:color w:val="auto"/>
        </w:rPr>
      </w:pPr>
      <w:r>
        <w:rPr>
          <w:rFonts w:ascii="Times New Roman" w:cs="Times New Roman" w:eastAsia="Times New Roman" w:hAnsi="Times New Roman"/>
          <w:sz w:val="16"/>
          <w:szCs w:val="16"/>
          <w:color w:val="auto"/>
        </w:rPr>
        <w:t xml:space="preserve">The increase to the Conversion Rate under the preceding paragraph shall occur at the close of business on the last Trading Day of the Valuation Period;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(x) in respect of any conversion of Notes for which Physical Settlement is applicable, if the relevant Conversion Date occurs during the Valuation Period, the reference to “10” in the preceding paragraph shall be deemed to be replaced with such lesser number of Trading Days as have elapsed from, and including, the Ex-Dividend Date of such Spin-Off to, and including, the Conversion Date in determining the Conversion Rate and (y) in respect of any conversion of Notes for which Cash Settlement or Combination Settlement is applicable, for any Trading Day that falls within the relevant Observation Period for such conversion and within the Valuation Period, the reference to “10” in the preceding paragraph shall be deemed to be replaced with such lesser number of Trading Days as have elapsed between the Ex-Dividend Date of such Spin-Off and such Trading Day in determining the Conversion Rate as of such Trading Day.</w:t>
      </w:r>
    </w:p>
    <w:p>
      <w:pPr>
        <w:spacing w:after="0" w:line="163" w:lineRule="exact"/>
        <w:rPr>
          <w:sz w:val="20"/>
          <w:szCs w:val="20"/>
          <w:color w:val="auto"/>
        </w:rPr>
      </w:pPr>
    </w:p>
    <w:p>
      <w:pPr>
        <w:jc w:val="both"/>
        <w:ind w:right="20" w:firstLine="382"/>
        <w:spacing w:after="0" w:line="265" w:lineRule="auto"/>
        <w:rPr>
          <w:sz w:val="20"/>
          <w:szCs w:val="20"/>
          <w:color w:val="auto"/>
        </w:rPr>
      </w:pPr>
      <w:r>
        <w:rPr>
          <w:rFonts w:ascii="Times New Roman" w:cs="Times New Roman" w:eastAsia="Times New Roman" w:hAnsi="Times New Roman"/>
          <w:sz w:val="16"/>
          <w:szCs w:val="16"/>
          <w:color w:val="auto"/>
        </w:rPr>
        <w:t>If any dividend or distribution that constitutes a spin-off is declared but not so paid or made, the Conversion Rate shall be immediately decreased, effective as of the date the Board of Directors determines not to pay or make such dividend or distribution, to the Conversion Rate that would then be in effect if such dividend or distribution had not been declared or announced.</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40" w:right="319" w:bottom="1440" w:gutter="0" w:footer="0" w:header="0"/>
        </w:sectPr>
      </w:pPr>
    </w:p>
    <w:bookmarkStart w:id="85" w:name="page86"/>
    <w:bookmarkEnd w:id="85"/>
    <w:p>
      <w:pPr>
        <w:jc w:val="both"/>
        <w:ind w:left="4" w:firstLine="382"/>
        <w:spacing w:after="0" w:line="267" w:lineRule="auto"/>
        <w:rPr>
          <w:sz w:val="20"/>
          <w:szCs w:val="20"/>
          <w:color w:val="auto"/>
        </w:rPr>
      </w:pPr>
      <w:r>
        <w:rPr>
          <w:rFonts w:ascii="Times New Roman" w:cs="Times New Roman" w:eastAsia="Times New Roman" w:hAnsi="Times New Roman"/>
          <w:sz w:val="15"/>
          <w:szCs w:val="15"/>
          <w:color w:val="auto"/>
        </w:rPr>
        <w:t>For purposes of this Section 14.04(c) (and subject in all respects to Section 14.11), rights, options or warrants distributed by the Company to all holders of the Common Stock entitling them to subscribe for or purchase shares of the Company’s Capital Stock, including Common Stock (either initially or under certain circumstances), which rights, options or warrants, until the occurrence of a specified event or events (“</w:t>
      </w:r>
      <w:r>
        <w:rPr>
          <w:rFonts w:ascii="Times New Roman" w:cs="Times New Roman" w:eastAsia="Times New Roman" w:hAnsi="Times New Roman"/>
          <w:sz w:val="15"/>
          <w:szCs w:val="15"/>
          <w:b w:val="1"/>
          <w:bCs w:val="1"/>
          <w:color w:val="auto"/>
        </w:rPr>
        <w:t>Trigger Event</w:t>
      </w:r>
      <w:r>
        <w:rPr>
          <w:rFonts w:ascii="Times New Roman" w:cs="Times New Roman" w:eastAsia="Times New Roman" w:hAnsi="Times New Roman"/>
          <w:sz w:val="15"/>
          <w:szCs w:val="15"/>
          <w:color w:val="auto"/>
        </w:rPr>
        <w:t>”): (i) are deemed to be transferred with such shares of the Common Stock; (ii) are not exercisable; and (iii) are also issued in respect of future issuances of the Common Stock, shall be deemed not to have been distributed for purposes of this Section 14.04(c) (and no adjustment to the Conversion Rate under this Section 14.04(c) will be required) until the occurrence of the earliest Trigger Event, whereupon such rights, options or warrants shall be deemed to have been distributed and an appropriate adjustment (if any is required) to the Conversion Rate shall be made under this Section 14.04(c). If any such right, option or warrant, including any such existing rights, options or warrants distributed prior to the date of this Indenture, are subject to events, upon the occurrence of which such rights, options or warrants become exercisable to purchase different securities, evidences of indebtedness or other assets, then the date of the occurrence of any and each such event shall be deemed to be the date of distribution and Ex-Dividend Date with respect to new rights, options or warrants with such rights (in which case the existing rights, options or warrants shall be deemed to terminate and expire on such date without exercise by any of the holders thereof). In addition, in the event of any distribution (or deemed distribution) of rights, options or warrants, or any Trigger Event or other event (of the type described in the immediately preceding sentence) with respect thereto that was counted for purposes of calculating a distribution amount for which an adjustment to the Conversion Rate under this Section 14.04(c) was made,</w:t>
      </w:r>
    </w:p>
    <w:p>
      <w:pPr>
        <w:spacing w:after="0" w:line="8" w:lineRule="exact"/>
        <w:rPr>
          <w:sz w:val="20"/>
          <w:szCs w:val="20"/>
          <w:color w:val="auto"/>
        </w:rPr>
      </w:pPr>
    </w:p>
    <w:p>
      <w:pPr>
        <w:jc w:val="both"/>
        <w:ind w:left="4" w:hanging="4"/>
        <w:spacing w:after="0" w:line="251" w:lineRule="auto"/>
        <w:tabs>
          <w:tab w:leader="none" w:pos="24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any such rights, options or warrants that shall all have been redeemed or purchased without exercise by any holders thereof, upon such final redemption or purchase (x) the Conversion Rate shall be readjusted as if such rights, options or warrants had not been issued and (y) the Conversion Rate shall then again be readjusted to give effect to such distribution, deemed distribution or Trigger Event, as the case may be, as though it were a cash distribution, equal to the per share redemption or purchase price received by a holder or holders of Common Stock with respect to such rights, options or warrants (assuming such holder had retained such rights, options or warrants), made to all holders of Common Stock as of the date of such redemption or purchase, and (2) in the case of such rights, options or warrants that shall have expired or been terminated without exercise by any holders thereof, the Conversion Rate shall be readjusted as if such rights, options and warrants had not been issued.</w:t>
      </w:r>
    </w:p>
    <w:p>
      <w:pPr>
        <w:spacing w:after="0" w:line="167" w:lineRule="exact"/>
        <w:rPr>
          <w:sz w:val="20"/>
          <w:szCs w:val="20"/>
          <w:color w:val="auto"/>
        </w:rPr>
      </w:pPr>
    </w:p>
    <w:p>
      <w:pPr>
        <w:ind w:left="4" w:right="100" w:firstLine="382"/>
        <w:spacing w:after="0" w:line="280" w:lineRule="auto"/>
        <w:rPr>
          <w:sz w:val="20"/>
          <w:szCs w:val="20"/>
          <w:color w:val="auto"/>
        </w:rPr>
      </w:pPr>
      <w:r>
        <w:rPr>
          <w:rFonts w:ascii="Times New Roman" w:cs="Times New Roman" w:eastAsia="Times New Roman" w:hAnsi="Times New Roman"/>
          <w:sz w:val="16"/>
          <w:szCs w:val="16"/>
          <w:color w:val="auto"/>
        </w:rPr>
        <w:t>For purposes of Section 14.04(a), Section 14.04(b) and this Section 14.04(c), if any dividend or distribution to which this Section 14.04(c) is applicable also includes one or both of:</w:t>
      </w:r>
    </w:p>
    <w:p>
      <w:pPr>
        <w:spacing w:after="0" w:line="142" w:lineRule="exact"/>
        <w:rPr>
          <w:sz w:val="20"/>
          <w:szCs w:val="20"/>
          <w:color w:val="auto"/>
        </w:rPr>
      </w:pPr>
    </w:p>
    <w:p>
      <w:pPr>
        <w:ind w:left="1984" w:hanging="264"/>
        <w:spacing w:after="0"/>
        <w:tabs>
          <w:tab w:leader="none" w:pos="1984" w:val="left"/>
        </w:tabs>
        <w:numPr>
          <w:ilvl w:val="1"/>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dividend or distribution of shares of Common Stock to which Section 14.04(a) is applicable (the “</w:t>
      </w:r>
      <w:r>
        <w:rPr>
          <w:rFonts w:ascii="Times New Roman" w:cs="Times New Roman" w:eastAsia="Times New Roman" w:hAnsi="Times New Roman"/>
          <w:sz w:val="16"/>
          <w:szCs w:val="16"/>
          <w:b w:val="1"/>
          <w:bCs w:val="1"/>
          <w:color w:val="auto"/>
        </w:rPr>
        <w:t>Clause A Distribution</w:t>
      </w:r>
      <w:r>
        <w:rPr>
          <w:rFonts w:ascii="Times New Roman" w:cs="Times New Roman" w:eastAsia="Times New Roman" w:hAnsi="Times New Roman"/>
          <w:sz w:val="16"/>
          <w:szCs w:val="16"/>
          <w:color w:val="auto"/>
        </w:rPr>
        <w:t>”); or</w:t>
      </w:r>
    </w:p>
    <w:p>
      <w:pPr>
        <w:spacing w:after="0" w:line="198" w:lineRule="exact"/>
        <w:rPr>
          <w:rFonts w:ascii="Times New Roman" w:cs="Times New Roman" w:eastAsia="Times New Roman" w:hAnsi="Times New Roman"/>
          <w:sz w:val="16"/>
          <w:szCs w:val="16"/>
          <w:color w:val="auto"/>
        </w:rPr>
      </w:pPr>
    </w:p>
    <w:p>
      <w:pPr>
        <w:jc w:val="both"/>
        <w:ind w:left="564" w:firstLine="1156"/>
        <w:spacing w:after="0" w:line="253" w:lineRule="auto"/>
        <w:tabs>
          <w:tab w:leader="none" w:pos="1976" w:val="left"/>
        </w:tabs>
        <w:numPr>
          <w:ilvl w:val="1"/>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dividend or distribution of rights, options or warrants to which Section 14.04(b) is applicable (the “</w:t>
      </w:r>
      <w:r>
        <w:rPr>
          <w:rFonts w:ascii="Times New Roman" w:cs="Times New Roman" w:eastAsia="Times New Roman" w:hAnsi="Times New Roman"/>
          <w:sz w:val="16"/>
          <w:szCs w:val="16"/>
          <w:b w:val="1"/>
          <w:bCs w:val="1"/>
          <w:color w:val="auto"/>
        </w:rPr>
        <w:t>Clause B Distribution</w:t>
      </w:r>
      <w:r>
        <w:rPr>
          <w:rFonts w:ascii="Times New Roman" w:cs="Times New Roman" w:eastAsia="Times New Roman" w:hAnsi="Times New Roman"/>
          <w:sz w:val="16"/>
          <w:szCs w:val="16"/>
          <w:color w:val="auto"/>
        </w:rPr>
        <w:t>”), then, in either case, (1) such dividend or distribution, other than the Clause A Distribution and the Clause B Distribution, shall be deemed to be a dividend or distribution to which this Section 14.04(c) is applicable (the “</w:t>
      </w:r>
      <w:r>
        <w:rPr>
          <w:rFonts w:ascii="Times New Roman" w:cs="Times New Roman" w:eastAsia="Times New Roman" w:hAnsi="Times New Roman"/>
          <w:sz w:val="16"/>
          <w:szCs w:val="16"/>
          <w:b w:val="1"/>
          <w:bCs w:val="1"/>
          <w:color w:val="auto"/>
        </w:rPr>
        <w:t>Clause C Distribution</w:t>
      </w:r>
      <w:r>
        <w:rPr>
          <w:rFonts w:ascii="Times New Roman" w:cs="Times New Roman" w:eastAsia="Times New Roman" w:hAnsi="Times New Roman"/>
          <w:sz w:val="16"/>
          <w:szCs w:val="16"/>
          <w:color w:val="auto"/>
        </w:rPr>
        <w:t>”) and any Conversion Rate adjustment required by this Section 14.04(c) with respect to such Clause C Distribution shall then be made, and (2) the Clause A Distribution and Clause B Distribution shall be deemed to immediately follow the Clause C Distribution and any Conversion Rate adjustment required by Section 14.04(a) and Section 14.04(b) with respect thereto shall then be made, except that, if determined by the Company (I) the “Ex-Dividend Date” of the Clause A Distribution and the Clause B Distribution shall be deemed to be the Ex-Dividend Date of the Clause C Distribution and (II) any shares of Common Stock included in the Clause A Distribution or Clause B Distribution shall be deemed not to be “outstanding immediately prior to the open of business on such Ex-Dividend Date or Effective Date” within the meaning of Section 14.04(a) or “outstanding immediately prior to the open of business on such Ex-Dividend Date” within the meaning of Section 14.04(b).</w:t>
      </w:r>
    </w:p>
    <w:p>
      <w:pPr>
        <w:spacing w:after="0" w:line="168" w:lineRule="exact"/>
        <w:rPr>
          <w:rFonts w:ascii="Times New Roman" w:cs="Times New Roman" w:eastAsia="Times New Roman" w:hAnsi="Times New Roman"/>
          <w:sz w:val="16"/>
          <w:szCs w:val="16"/>
          <w:color w:val="auto"/>
        </w:rPr>
      </w:pPr>
    </w:p>
    <w:p>
      <w:pPr>
        <w:ind w:left="1364" w:hanging="217"/>
        <w:spacing w:after="0"/>
        <w:tabs>
          <w:tab w:leader="none" w:pos="1364"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any cash dividend or distribution is made to all or substantially all holders of the Common Stock, the Conversion Rate shall be increased based on the</w:t>
      </w:r>
    </w:p>
    <w:p>
      <w:pPr>
        <w:spacing w:after="0" w:line="23" w:lineRule="exact"/>
        <w:rPr>
          <w:rFonts w:ascii="Times New Roman" w:cs="Times New Roman" w:eastAsia="Times New Roman" w:hAnsi="Times New Roman"/>
          <w:sz w:val="16"/>
          <w:szCs w:val="16"/>
          <w:color w:val="auto"/>
        </w:rPr>
      </w:pPr>
    </w:p>
    <w:p>
      <w:pPr>
        <w:ind w:left="4"/>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1934845</wp:posOffset>
            </wp:positionH>
            <wp:positionV relativeFrom="paragraph">
              <wp:posOffset>125730</wp:posOffset>
            </wp:positionV>
            <wp:extent cx="3255645" cy="10166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255645" cy="1016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86" w:name="page87"/>
    <w:bookmarkEnd w:id="86"/>
    <w:tbl>
      <w:tblPr>
        <w:tblLayout w:type="fixed"/>
        <w:tblInd w:w="460" w:type="dxa"/>
        <w:tblCellMar>
          <w:top w:w="0" w:type="dxa"/>
          <w:left w:w="0" w:type="dxa"/>
          <w:bottom w:w="0" w:type="dxa"/>
          <w:right w:w="0" w:type="dxa"/>
        </w:tblCellMar>
      </w:tblPr>
      <w:tr>
        <w:trPr>
          <w:trHeight w:val="208"/>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where,</w:t>
            </w:r>
          </w:p>
        </w:tc>
        <w:tc>
          <w:tcPr>
            <w:tcW w:w="320" w:type="dxa"/>
            <w:vAlign w:val="bottom"/>
          </w:tcPr>
          <w:p>
            <w:pPr>
              <w:spacing w:after="0"/>
              <w:rPr>
                <w:sz w:val="18"/>
                <w:szCs w:val="18"/>
                <w:color w:val="auto"/>
              </w:rPr>
            </w:pPr>
          </w:p>
        </w:tc>
        <w:tc>
          <w:tcPr>
            <w:tcW w:w="9920" w:type="dxa"/>
            <w:vAlign w:val="bottom"/>
          </w:tcPr>
          <w:p>
            <w:pPr>
              <w:spacing w:after="0"/>
              <w:rPr>
                <w:sz w:val="18"/>
                <w:szCs w:val="18"/>
                <w:color w:val="auto"/>
              </w:rPr>
            </w:pPr>
          </w:p>
        </w:tc>
      </w:tr>
      <w:tr>
        <w:trPr>
          <w:trHeight w:val="454"/>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CR0</w:t>
            </w: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the Conversion Rate in effect immediately prior to the open of business on the Ex-Dividend Date for such dividend or distribution;</w:t>
            </w:r>
          </w:p>
        </w:tc>
      </w:tr>
      <w:tr>
        <w:trPr>
          <w:trHeight w:val="454"/>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CR’</w:t>
            </w: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the Conversion Rate in effect immediately after the open of business on the Ex-Dividend Date for such dividend or distribution;</w:t>
            </w:r>
          </w:p>
        </w:tc>
      </w:tr>
      <w:tr>
        <w:trPr>
          <w:trHeight w:val="366"/>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SP0</w:t>
            </w: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the Last Reported Sale Price of the Common Stock on the Trading Day immediately preceding the Ex-Dividend Date for such dividend or distribution;</w:t>
            </w:r>
          </w:p>
        </w:tc>
      </w:tr>
      <w:tr>
        <w:trPr>
          <w:trHeight w:val="208"/>
        </w:trPr>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and</w:t>
            </w:r>
          </w:p>
        </w:tc>
      </w:tr>
    </w:tbl>
    <w:p>
      <w:pPr>
        <w:spacing w:after="0" w:line="174" w:lineRule="exact"/>
        <w:rPr>
          <w:sz w:val="20"/>
          <w:szCs w:val="20"/>
          <w:color w:val="auto"/>
        </w:rPr>
      </w:pPr>
    </w:p>
    <w:p>
      <w:pPr>
        <w:ind w:left="1140" w:hanging="678"/>
        <w:spacing w:after="0"/>
        <w:tabs>
          <w:tab w:leader="none" w:pos="114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the amount in cash per share the Company distributes to all or substantially all holders of the Common Stock.</w:t>
      </w:r>
    </w:p>
    <w:p>
      <w:pPr>
        <w:spacing w:after="0" w:line="198" w:lineRule="exact"/>
        <w:rPr>
          <w:sz w:val="20"/>
          <w:szCs w:val="20"/>
          <w:color w:val="auto"/>
        </w:rPr>
      </w:pPr>
    </w:p>
    <w:p>
      <w:pPr>
        <w:jc w:val="both"/>
        <w:ind w:right="20" w:firstLine="382"/>
        <w:spacing w:after="0" w:line="255" w:lineRule="auto"/>
        <w:rPr>
          <w:sz w:val="20"/>
          <w:szCs w:val="20"/>
          <w:color w:val="auto"/>
        </w:rPr>
      </w:pPr>
      <w:r>
        <w:rPr>
          <w:rFonts w:ascii="Times New Roman" w:cs="Times New Roman" w:eastAsia="Times New Roman" w:hAnsi="Times New Roman"/>
          <w:sz w:val="16"/>
          <w:szCs w:val="16"/>
          <w:color w:val="auto"/>
        </w:rPr>
        <w:t>Any increase pursuant to this Section 14.04(d) shall become effective immediately after the open of business on the Ex-Dividend Date for such dividend or distribution. If such dividend or distribution is not so paid, the Conversion Rate shall be decreased, effective as of the date the Company determines in good faith not to make or pay such dividend or distribution, to be the Conversion Rate that would then be in effect if such dividend or distribution had not been declared. Notwithstanding the foregoing, if “C” (as defined above) is equal to or greater than “SP0” (as defined above), in lieu of the foregoing increase, each Holder of a Note shall receive, for each $1,000 principal amount of Notes it holds, at the same time and upon the same terms as holders of shares of the Common Stock, the amount of cash that such Holder would have received if such Holder owned a number of shares of Common Stock equal to the Conversion Rate on the Ex-Dividend Date for such cash dividend or distribution.</w:t>
      </w:r>
    </w:p>
    <w:p>
      <w:pPr>
        <w:spacing w:after="0" w:line="165" w:lineRule="exact"/>
        <w:rPr>
          <w:sz w:val="20"/>
          <w:szCs w:val="20"/>
          <w:color w:val="auto"/>
        </w:rPr>
      </w:pPr>
    </w:p>
    <w:p>
      <w:pPr>
        <w:jc w:val="both"/>
        <w:ind w:firstLine="1143"/>
        <w:spacing w:after="0" w:line="257" w:lineRule="auto"/>
        <w:tabs>
          <w:tab w:leader="none" w:pos="1376"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or any of its Subsidiaries make a payment in respect of a tender or exchange offer for the Common Stock that is subject to the then applicable tender offer rules under the Exchange Act (other than any odd-lot tender offer), to the extent that the cash and value of any other consideration included in the payment per share of the Common Stock exceeds the average of the Last Reported Sale Prices of the Common Stock over the 10 consecutive Trading Day period commencing on, and including, the Trading Day next succeeding the last date on which tenders or exchanges may be made pursuant to such tender or exchange offer,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113665</wp:posOffset>
            </wp:positionV>
            <wp:extent cx="4772660" cy="1168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772660" cy="1168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where,</w:t>
            </w:r>
          </w:p>
        </w:tc>
        <w:tc>
          <w:tcPr>
            <w:tcW w:w="320" w:type="dxa"/>
            <w:vAlign w:val="bottom"/>
          </w:tcPr>
          <w:p>
            <w:pPr>
              <w:spacing w:after="0"/>
              <w:rPr>
                <w:sz w:val="18"/>
                <w:szCs w:val="18"/>
                <w:color w:val="auto"/>
              </w:rPr>
            </w:pPr>
          </w:p>
        </w:tc>
        <w:tc>
          <w:tcPr>
            <w:tcW w:w="9920" w:type="dxa"/>
            <w:vAlign w:val="bottom"/>
          </w:tcPr>
          <w:p>
            <w:pPr>
              <w:spacing w:after="0"/>
              <w:rPr>
                <w:sz w:val="18"/>
                <w:szCs w:val="18"/>
                <w:color w:val="auto"/>
              </w:rPr>
            </w:pPr>
          </w:p>
        </w:tc>
      </w:tr>
      <w:tr>
        <w:trPr>
          <w:trHeight w:val="473"/>
        </w:trPr>
        <w:tc>
          <w:tcPr>
            <w:tcW w:w="1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CR0</w:t>
            </w:r>
          </w:p>
        </w:tc>
        <w:tc>
          <w:tcPr>
            <w:tcW w:w="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92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99"/>
              </w:rPr>
              <w:t>the Conversion Rate in effect immediately prior to the close of business on the 10</w:t>
            </w:r>
            <w:r>
              <w:rPr>
                <w:rFonts w:ascii="Times New Roman" w:cs="Times New Roman" w:eastAsia="Times New Roman" w:hAnsi="Times New Roman"/>
                <w:sz w:val="26"/>
                <w:szCs w:val="26"/>
                <w:color w:val="auto"/>
                <w:w w:val="99"/>
                <w:vertAlign w:val="superscript"/>
              </w:rPr>
              <w:t>th</w:t>
            </w:r>
            <w:r>
              <w:rPr>
                <w:rFonts w:ascii="Times New Roman" w:cs="Times New Roman" w:eastAsia="Times New Roman" w:hAnsi="Times New Roman"/>
                <w:sz w:val="16"/>
                <w:szCs w:val="16"/>
                <w:color w:val="auto"/>
                <w:w w:val="99"/>
              </w:rPr>
              <w:t xml:space="preserve"> Trading Day immediately following, and including, the Trading Day</w:t>
            </w:r>
          </w:p>
        </w:tc>
      </w:tr>
      <w:tr>
        <w:trPr>
          <w:trHeight w:val="208"/>
        </w:trPr>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next succeeding the date such tender or exchange offer expires;</w:t>
            </w:r>
          </w:p>
        </w:tc>
      </w:tr>
      <w:tr>
        <w:trPr>
          <w:trHeight w:val="437"/>
        </w:trPr>
        <w:tc>
          <w:tcPr>
            <w:tcW w:w="1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CR’</w:t>
            </w:r>
          </w:p>
        </w:tc>
        <w:tc>
          <w:tcPr>
            <w:tcW w:w="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the Conversion Rate in effect immediately after the close of business on the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Trading Day immediately following, and including, the Trading Day</w:t>
            </w:r>
          </w:p>
        </w:tc>
      </w:tr>
      <w:tr>
        <w:trPr>
          <w:trHeight w:val="208"/>
        </w:trPr>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next succeeding the date such tender or exchange offer expires;</w:t>
            </w:r>
          </w:p>
        </w:tc>
      </w:tr>
      <w:tr>
        <w:trPr>
          <w:trHeight w:val="366"/>
        </w:trPr>
        <w:tc>
          <w:tcPr>
            <w:tcW w:w="1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w:t>
            </w:r>
          </w:p>
        </w:tc>
        <w:tc>
          <w:tcPr>
            <w:tcW w:w="102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   the aggregate value of all cash and any other consideration (as determined by the Company in good faith) paid or payable for shares of Common Stock</w:t>
            </w:r>
          </w:p>
        </w:tc>
      </w:tr>
      <w:tr>
        <w:trPr>
          <w:trHeight w:val="208"/>
        </w:trPr>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purchased in such tender or exchange offer;</w:t>
            </w:r>
          </w:p>
        </w:tc>
      </w:tr>
      <w:tr>
        <w:trPr>
          <w:trHeight w:val="366"/>
        </w:trPr>
        <w:tc>
          <w:tcPr>
            <w:tcW w:w="1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OS0</w:t>
            </w:r>
          </w:p>
        </w:tc>
        <w:tc>
          <w:tcPr>
            <w:tcW w:w="102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   the number of shares of Common Stock outstanding immediately prior to the date such tender or exchange offer expires (prior to giving effect to the</w:t>
            </w:r>
          </w:p>
        </w:tc>
      </w:tr>
      <w:tr>
        <w:trPr>
          <w:trHeight w:val="208"/>
        </w:trPr>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 of all shares of Common Stock accepted for purchase or exchange in such tender or exchange offer);</w:t>
            </w:r>
          </w:p>
        </w:tc>
      </w:tr>
      <w:tr>
        <w:trPr>
          <w:trHeight w:val="366"/>
        </w:trPr>
        <w:tc>
          <w:tcPr>
            <w:tcW w:w="1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OS’</w:t>
            </w:r>
          </w:p>
        </w:tc>
        <w:tc>
          <w:tcPr>
            <w:tcW w:w="102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   the number of shares of Common Stock outstanding immediately after the date such tender or exchange offer expires (after giving effect to the purchase</w:t>
            </w:r>
          </w:p>
        </w:tc>
      </w:tr>
      <w:tr>
        <w:trPr>
          <w:trHeight w:val="208"/>
        </w:trPr>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of all shares of Common Stock accepted for purchase or exchange in such tender or exchange offer); and</w:t>
            </w:r>
          </w:p>
        </w:tc>
      </w:tr>
      <w:tr>
        <w:trPr>
          <w:trHeight w:val="366"/>
        </w:trPr>
        <w:tc>
          <w:tcPr>
            <w:tcW w:w="1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SP’</w:t>
            </w:r>
          </w:p>
        </w:tc>
        <w:tc>
          <w:tcPr>
            <w:tcW w:w="102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   the average of the Last Reported Sale Prices of the Common Stock over the 10 consecutive Trading Day period commencing on, and including, the</w:t>
            </w:r>
          </w:p>
        </w:tc>
      </w:tr>
      <w:tr>
        <w:trPr>
          <w:trHeight w:val="208"/>
        </w:trPr>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Trading Day next succeeding the date such tender or exchange offer expires.</w:t>
            </w:r>
          </w:p>
        </w:tc>
      </w:tr>
      <w:tr>
        <w:trPr>
          <w:trHeight w:val="601"/>
        </w:trPr>
        <w:tc>
          <w:tcPr>
            <w:tcW w:w="1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920" w:type="dxa"/>
            <w:vAlign w:val="bottom"/>
            <w:tcBorders>
              <w:bottom w:val="single" w:sz="8" w:color="auto"/>
            </w:tcBorders>
          </w:tcPr>
          <w:p>
            <w:pPr>
              <w:ind w:left="4200"/>
              <w:spacing w:after="0"/>
              <w:rPr>
                <w:sz w:val="20"/>
                <w:szCs w:val="20"/>
                <w:color w:val="auto"/>
              </w:rPr>
            </w:pPr>
            <w:r>
              <w:rPr>
                <w:rFonts w:ascii="Times New Roman" w:cs="Times New Roman" w:eastAsia="Times New Roman" w:hAnsi="Times New Roman"/>
                <w:sz w:val="16"/>
                <w:szCs w:val="16"/>
                <w:color w:val="auto"/>
              </w:rPr>
              <w:t>67</w:t>
            </w:r>
          </w:p>
        </w:tc>
      </w:tr>
    </w:tbl>
    <w:p>
      <w:pPr>
        <w:sectPr>
          <w:pgSz w:w="11900" w:h="16838" w:orient="portrait"/>
          <w:cols w:equalWidth="0" w:num="1">
            <w:col w:w="11260"/>
          </w:cols>
          <w:pgMar w:left="320" w:top="816" w:right="319" w:bottom="1440" w:gutter="0" w:footer="0" w:header="0"/>
        </w:sectPr>
      </w:pPr>
    </w:p>
    <w:bookmarkStart w:id="87" w:name="page88"/>
    <w:bookmarkEnd w:id="87"/>
    <w:p>
      <w:pPr>
        <w:jc w:val="both"/>
        <w:ind w:right="20" w:firstLine="382"/>
        <w:spacing w:after="0" w:line="236" w:lineRule="auto"/>
        <w:rPr>
          <w:sz w:val="20"/>
          <w:szCs w:val="20"/>
          <w:color w:val="auto"/>
        </w:rPr>
      </w:pPr>
      <w:r>
        <w:rPr>
          <w:rFonts w:ascii="Times New Roman" w:cs="Times New Roman" w:eastAsia="Times New Roman" w:hAnsi="Times New Roman"/>
          <w:sz w:val="15"/>
          <w:szCs w:val="15"/>
          <w:color w:val="auto"/>
        </w:rPr>
        <w:t>The increase to the Conversion Rate under this Section 14.04(e) shall occur at the close of business on the 10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5"/>
          <w:szCs w:val="15"/>
          <w:color w:val="auto"/>
        </w:rPr>
        <w:t xml:space="preserve"> Trading Day immediately following, and including, the Trading Day next succeeding the date such tender or exchange offer expires;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(x) in respect of any conversion of Notes for which Physical Settlement is applicable, if the relevant Conversion Date occurs during the 10 Trading Days immediately following, and including, the Trading Day next succeeding the expiration date of any tender or</w:t>
      </w:r>
    </w:p>
    <w:p>
      <w:pPr>
        <w:spacing w:after="0" w:line="1"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5"/>
          <w:szCs w:val="15"/>
          <w:color w:val="auto"/>
        </w:rPr>
        <w:t>exchange offer, references to “10” or “10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5"/>
          <w:szCs w:val="15"/>
          <w:color w:val="auto"/>
        </w:rPr>
        <w:t>” in the preceding paragraph shall be deemed replaced with such lesser number of Trading Days as have elapsed from, and including, the Trading Day next succeeding the date that such tender or exchange offer expires to, and including, the Conversion Date in determining the Conversion Rate and (y) in respect of any conversion of Notes for which Cash Settlement or Combination Settlement is applicable, for any Trading Day that falls within the relevant Observation Period for such conversion and within the 10 Trading Days immediately following, and including, the Trading Day next succeeding the expiration date of any tender or exchange offer,</w:t>
      </w:r>
    </w:p>
    <w:p>
      <w:pPr>
        <w:spacing w:after="0" w:line="2" w:lineRule="exact"/>
        <w:rPr>
          <w:sz w:val="20"/>
          <w:szCs w:val="20"/>
          <w:color w:val="auto"/>
        </w:rPr>
      </w:pPr>
    </w:p>
    <w:p>
      <w:pPr>
        <w:jc w:val="both"/>
        <w:ind w:right="20"/>
        <w:spacing w:after="0" w:line="207" w:lineRule="auto"/>
        <w:rPr>
          <w:sz w:val="20"/>
          <w:szCs w:val="20"/>
          <w:color w:val="auto"/>
        </w:rPr>
      </w:pPr>
      <w:r>
        <w:rPr>
          <w:rFonts w:ascii="Times New Roman" w:cs="Times New Roman" w:eastAsia="Times New Roman" w:hAnsi="Times New Roman"/>
          <w:sz w:val="16"/>
          <w:szCs w:val="16"/>
          <w:color w:val="auto"/>
        </w:rPr>
        <w:t>references to “10” or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in the preceding paragraph shall be deemed replaced with such lesser number of Trading Days as have elapsed from, and including, the Trading Day next succeeding the expiration date of such tender or exchange offer to, and including, such Trading Day in determining the Conversion Rate as of such Trading Day.</w:t>
      </w:r>
    </w:p>
    <w:p>
      <w:pPr>
        <w:spacing w:after="0" w:line="176" w:lineRule="exact"/>
        <w:rPr>
          <w:sz w:val="20"/>
          <w:szCs w:val="20"/>
          <w:color w:val="auto"/>
        </w:rPr>
      </w:pPr>
    </w:p>
    <w:p>
      <w:pPr>
        <w:jc w:val="both"/>
        <w:ind w:right="20" w:firstLine="382"/>
        <w:spacing w:after="0" w:line="259" w:lineRule="auto"/>
        <w:rPr>
          <w:sz w:val="20"/>
          <w:szCs w:val="20"/>
          <w:color w:val="auto"/>
        </w:rPr>
      </w:pPr>
      <w:r>
        <w:rPr>
          <w:rFonts w:ascii="Times New Roman" w:cs="Times New Roman" w:eastAsia="Times New Roman" w:hAnsi="Times New Roman"/>
          <w:sz w:val="16"/>
          <w:szCs w:val="16"/>
          <w:color w:val="auto"/>
        </w:rPr>
        <w:t>If the Company or one of its Subsidiaries is obligated to purchase shares of Common Stock pursuant to any such tender or exchange offer described in this Section 14.04(e) but the Company or such Subsidiary is permanently prevented by applicable law from effecting any such purchase or all such purchases are rescinded, the Conversion Rate shall be readjusted to be the Conversion Rate that would then be in effect if such tender or exchange offer had not been made or had been made only in respect of the purchases that have been made.</w:t>
      </w:r>
    </w:p>
    <w:p>
      <w:pPr>
        <w:spacing w:after="0" w:line="162" w:lineRule="exact"/>
        <w:rPr>
          <w:sz w:val="20"/>
          <w:szCs w:val="20"/>
          <w:color w:val="auto"/>
        </w:rPr>
      </w:pPr>
    </w:p>
    <w:p>
      <w:pPr>
        <w:jc w:val="both"/>
        <w:ind w:firstLine="1143"/>
        <w:spacing w:after="0" w:line="254" w:lineRule="auto"/>
        <w:tabs>
          <w:tab w:leader="none" w:pos="137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this Section 14.04 or any other provision of this Indenture or the Notes, if: (i) a Conversion Rate adjustment for any dividend or distribution becomes effective on any Ex-Dividend Date as described in this Section 14.04; (ii) a Note is to be converted for which the conversion consideration includes shares of Common Stock; (iii) any Trading Day in the Observation Period for such conversion occurs on or after such Ex-Dividend Date and on or before the related Record Date; (iv) the consideration due upon such conversion includes any whole shares of Common Stock based on a Conversion Rate that is adjusted for such dividend or distribution; and (v) the Holder would be entitled to participate in such dividend or distribution on account of such shares, then, notwithstanding anything to the contrary: the Conversion Rate adjustment relating to such Ex-Dividend Date shall be made for such conversion in respect of such Trading Day, but the shares of Common Stock issuable with respect to such Trading Day based on such adjusted conversion rate shall not be entitled to participate in such dividend or distribution.</w:t>
      </w:r>
    </w:p>
    <w:p>
      <w:pPr>
        <w:spacing w:after="0" w:line="166" w:lineRule="exact"/>
        <w:rPr>
          <w:rFonts w:ascii="Times New Roman" w:cs="Times New Roman" w:eastAsia="Times New Roman" w:hAnsi="Times New Roman"/>
          <w:sz w:val="16"/>
          <w:szCs w:val="16"/>
          <w:color w:val="auto"/>
        </w:rPr>
      </w:pPr>
    </w:p>
    <w:p>
      <w:pPr>
        <w:jc w:val="both"/>
        <w:ind w:firstLine="1143"/>
        <w:spacing w:after="0" w:line="257" w:lineRule="auto"/>
        <w:tabs>
          <w:tab w:leader="none" w:pos="1373"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Holder has converted its Notes on or after such Ex-Dividend Date and on or prior to the related Record Date would become the record holder of the shares of Common Stock as of the related Conversion Date as described under Section 14.02(i) based on an adjusted Conversion Rate for such Ex-Dividend Date, then, notwithstanding the Conversion Rate adjustment provisions in this Section 14.04, the Conversion Rate adjustment relating to such Ex-Dividend Date shall not be made for such converting Holder. Instead, such Holder shall be treated as if such Holder were the record owner of the shares of Common Stock on an unadjusted basis and participate in the related dividend, distribution or other event giving rise to such adjustment.</w:t>
      </w:r>
    </w:p>
    <w:p>
      <w:pPr>
        <w:spacing w:after="0" w:line="162" w:lineRule="exact"/>
        <w:rPr>
          <w:rFonts w:ascii="Times New Roman" w:cs="Times New Roman" w:eastAsia="Times New Roman" w:hAnsi="Times New Roman"/>
          <w:sz w:val="16"/>
          <w:szCs w:val="16"/>
          <w:color w:val="auto"/>
        </w:rPr>
      </w:pPr>
    </w:p>
    <w:p>
      <w:pPr>
        <w:ind w:right="20" w:firstLine="1143"/>
        <w:spacing w:after="0" w:line="280" w:lineRule="auto"/>
        <w:tabs>
          <w:tab w:leader="none" w:pos="1373"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stated herein, the Company shall not adjust the Conversion Rate for the issuance of shares of the Common Stock or any securities convertible into or exchangeable for shares of the Common Stock or the right to purchase shares of the Common Stock or such convertible or exchangeable securities.</w:t>
      </w:r>
    </w:p>
    <w:p>
      <w:pPr>
        <w:spacing w:after="0" w:line="144" w:lineRule="exact"/>
        <w:rPr>
          <w:rFonts w:ascii="Times New Roman" w:cs="Times New Roman" w:eastAsia="Times New Roman" w:hAnsi="Times New Roman"/>
          <w:sz w:val="16"/>
          <w:szCs w:val="16"/>
          <w:color w:val="auto"/>
        </w:rPr>
      </w:pPr>
    </w:p>
    <w:p>
      <w:pPr>
        <w:jc w:val="both"/>
        <w:ind w:firstLine="1143"/>
        <w:spacing w:after="0" w:line="255" w:lineRule="auto"/>
        <w:tabs>
          <w:tab w:leader="none" w:pos="1337"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addition to those adjustments required by clauses (a), (b), (c), (d) and (e) of this Section 14.04, and to the extent permitted by applicable law and subject to the applicable rules of any exchange on which any of the Company’s securities are then-listed, the Company from time to time may increase the Conversion Rate by any amount for a period of at least 20 Business Days if the Company determines, in good faith, that such increase would be in the Company’s best interest. In addition, to the extent permitted by applicable law and subject to the applicable rules of any exchange on which the Company’s securities are then listed, the Company may (but is not required to) increase the Conversion Rate to avoid or diminish any income tax to holders of Common Stock or rights to purchase Common Stock in connection with a dividend or distribution of shares of Common Stock (or rights to acquire shares of Common Stock) or similar event.</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43" w:right="319" w:bottom="1440" w:gutter="0" w:footer="0" w:header="0"/>
        </w:sectPr>
      </w:pPr>
    </w:p>
    <w:bookmarkStart w:id="88" w:name="page89"/>
    <w:bookmarkEnd w:id="88"/>
    <w:p>
      <w:pPr>
        <w:ind w:left="1340" w:hanging="197"/>
        <w:spacing w:after="0"/>
        <w:tabs>
          <w:tab w:leader="none" w:pos="134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to the contrary in this Article 14, the Conversion Rate shall not be adjusted:</w:t>
      </w:r>
    </w:p>
    <w:p>
      <w:pPr>
        <w:spacing w:after="0" w:line="198" w:lineRule="exact"/>
        <w:rPr>
          <w:rFonts w:ascii="Times New Roman" w:cs="Times New Roman" w:eastAsia="Times New Roman" w:hAnsi="Times New Roman"/>
          <w:sz w:val="16"/>
          <w:szCs w:val="16"/>
          <w:color w:val="auto"/>
        </w:rPr>
      </w:pPr>
    </w:p>
    <w:p>
      <w:pPr>
        <w:ind w:right="20" w:firstLine="1716"/>
        <w:spacing w:after="0" w:line="280" w:lineRule="auto"/>
        <w:tabs>
          <w:tab w:leader="none" w:pos="1911" w:val="left"/>
        </w:tabs>
        <w:numPr>
          <w:ilvl w:val="1"/>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issuance of any shares of Common Stock (other than any such issuance described in clause (a), (b) or (c) of this Section 14.04) at a price below the Conversion Price for the Notes;</w:t>
      </w:r>
    </w:p>
    <w:p>
      <w:pPr>
        <w:spacing w:after="0" w:line="144" w:lineRule="exact"/>
        <w:rPr>
          <w:rFonts w:ascii="Times New Roman" w:cs="Times New Roman" w:eastAsia="Times New Roman" w:hAnsi="Times New Roman"/>
          <w:sz w:val="16"/>
          <w:szCs w:val="16"/>
          <w:color w:val="auto"/>
        </w:rPr>
      </w:pPr>
    </w:p>
    <w:p>
      <w:pPr>
        <w:ind w:right="20" w:firstLine="1716"/>
        <w:spacing w:after="0" w:line="280" w:lineRule="auto"/>
        <w:tabs>
          <w:tab w:leader="none" w:pos="1955" w:val="left"/>
        </w:tabs>
        <w:numPr>
          <w:ilvl w:val="1"/>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issuance of any shares of Common Stock pursuant to any present or future plan providing for the reinvestment of dividends or interest payable on the Company’s securities and the investment of additional optional amounts in shares of Common Stock under any plan;</w:t>
      </w:r>
    </w:p>
    <w:p>
      <w:pPr>
        <w:spacing w:after="0" w:line="144" w:lineRule="exact"/>
        <w:rPr>
          <w:rFonts w:ascii="Times New Roman" w:cs="Times New Roman" w:eastAsia="Times New Roman" w:hAnsi="Times New Roman"/>
          <w:sz w:val="16"/>
          <w:szCs w:val="16"/>
          <w:color w:val="auto"/>
        </w:rPr>
      </w:pPr>
    </w:p>
    <w:p>
      <w:pPr>
        <w:ind w:firstLine="1716"/>
        <w:spacing w:after="0" w:line="280" w:lineRule="auto"/>
        <w:tabs>
          <w:tab w:leader="none" w:pos="2011" w:val="left"/>
        </w:tabs>
        <w:numPr>
          <w:ilvl w:val="1"/>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issuance of any shares of Common Stock or options or rights to purchase those shares pursuant to any present or future employee, director or consultant benefit plan or program of or assumed by the Company or any of the Company’s Subsidiaries (other than any stockholder rights plan);</w:t>
      </w:r>
    </w:p>
    <w:p>
      <w:pPr>
        <w:spacing w:after="0" w:line="144" w:lineRule="exact"/>
        <w:rPr>
          <w:rFonts w:ascii="Times New Roman" w:cs="Times New Roman" w:eastAsia="Times New Roman" w:hAnsi="Times New Roman"/>
          <w:sz w:val="16"/>
          <w:szCs w:val="16"/>
          <w:color w:val="auto"/>
        </w:rPr>
      </w:pPr>
    </w:p>
    <w:p>
      <w:pPr>
        <w:ind w:firstLine="1716"/>
        <w:spacing w:after="0" w:line="280" w:lineRule="auto"/>
        <w:tabs>
          <w:tab w:leader="none" w:pos="1990" w:val="left"/>
        </w:tabs>
        <w:numPr>
          <w:ilvl w:val="1"/>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issuance of any shares of the Common Stock pursuant to any option, warrant, right or exercisable, exchangeable or convertible security not described in clause (iii) of this subsection and outstanding as of the date the Notes were first issued;</w:t>
      </w:r>
    </w:p>
    <w:p>
      <w:pPr>
        <w:spacing w:after="0" w:line="144" w:lineRule="exact"/>
        <w:rPr>
          <w:rFonts w:ascii="Times New Roman" w:cs="Times New Roman" w:eastAsia="Times New Roman" w:hAnsi="Times New Roman"/>
          <w:sz w:val="16"/>
          <w:szCs w:val="16"/>
          <w:color w:val="auto"/>
        </w:rPr>
      </w:pPr>
    </w:p>
    <w:p>
      <w:pPr>
        <w:ind w:left="1960" w:hanging="244"/>
        <w:spacing w:after="0"/>
        <w:tabs>
          <w:tab w:leader="none" w:pos="1960" w:val="left"/>
        </w:tabs>
        <w:numPr>
          <w:ilvl w:val="1"/>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 third-party tender offer by any party other than a tender offer by one or more of the Company’s Subsidiaries described in clause (e) of</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Section 14.04;</w:t>
      </w:r>
    </w:p>
    <w:p>
      <w:pPr>
        <w:spacing w:after="0" w:line="181" w:lineRule="exact"/>
        <w:rPr>
          <w:rFonts w:ascii="Times New Roman" w:cs="Times New Roman" w:eastAsia="Times New Roman" w:hAnsi="Times New Roman"/>
          <w:sz w:val="16"/>
          <w:szCs w:val="16"/>
          <w:color w:val="auto"/>
        </w:rPr>
      </w:pPr>
    </w:p>
    <w:p>
      <w:pPr>
        <w:jc w:val="both"/>
        <w:ind w:right="20" w:firstLine="1716"/>
        <w:spacing w:after="0" w:line="265" w:lineRule="auto"/>
        <w:tabs>
          <w:tab w:leader="none" w:pos="2002" w:val="left"/>
        </w:tabs>
        <w:numPr>
          <w:ilvl w:val="1"/>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repurchase of any shares of Common Stock that is not a tender offer or exchange offer of the nature described under clause (e) of this Section 14.04 including (structured or derivative transactions and open market repurchases of shares of Common Stock, or transactions pursuant to a stock repurchase program approved by the Board of Directors or otherwise);</w:t>
      </w:r>
    </w:p>
    <w:p>
      <w:pPr>
        <w:spacing w:after="0" w:line="155" w:lineRule="exact"/>
        <w:rPr>
          <w:rFonts w:ascii="Times New Roman" w:cs="Times New Roman" w:eastAsia="Times New Roman" w:hAnsi="Times New Roman"/>
          <w:sz w:val="16"/>
          <w:szCs w:val="16"/>
          <w:color w:val="auto"/>
        </w:rPr>
      </w:pPr>
    </w:p>
    <w:p>
      <w:pPr>
        <w:ind w:left="2040" w:hanging="324"/>
        <w:spacing w:after="0"/>
        <w:tabs>
          <w:tab w:leader="none" w:pos="2040" w:val="left"/>
        </w:tabs>
        <w:numPr>
          <w:ilvl w:val="1"/>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any issuance of PIK Notes;</w:t>
      </w:r>
    </w:p>
    <w:p>
      <w:pPr>
        <w:spacing w:after="0" w:line="198" w:lineRule="exact"/>
        <w:rPr>
          <w:rFonts w:ascii="Times New Roman" w:cs="Times New Roman" w:eastAsia="Times New Roman" w:hAnsi="Times New Roman"/>
          <w:sz w:val="16"/>
          <w:szCs w:val="16"/>
          <w:color w:val="auto"/>
        </w:rPr>
      </w:pPr>
    </w:p>
    <w:p>
      <w:pPr>
        <w:ind w:left="2080" w:hanging="364"/>
        <w:spacing w:after="0"/>
        <w:tabs>
          <w:tab w:leader="none" w:pos="2080" w:val="left"/>
        </w:tabs>
        <w:numPr>
          <w:ilvl w:val="1"/>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solely for a change in the par value of the Common Stock; or</w:t>
      </w:r>
    </w:p>
    <w:p>
      <w:pPr>
        <w:spacing w:after="0" w:line="198" w:lineRule="exact"/>
        <w:rPr>
          <w:rFonts w:ascii="Times New Roman" w:cs="Times New Roman" w:eastAsia="Times New Roman" w:hAnsi="Times New Roman"/>
          <w:sz w:val="16"/>
          <w:szCs w:val="16"/>
          <w:color w:val="auto"/>
        </w:rPr>
      </w:pPr>
    </w:p>
    <w:p>
      <w:pPr>
        <w:ind w:left="1980" w:hanging="264"/>
        <w:spacing w:after="0"/>
        <w:tabs>
          <w:tab w:leader="none" w:pos="1980" w:val="left"/>
        </w:tabs>
        <w:numPr>
          <w:ilvl w:val="1"/>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accrued and unpaid interest, if any.</w:t>
      </w:r>
    </w:p>
    <w:p>
      <w:pPr>
        <w:spacing w:after="0" w:line="198" w:lineRule="exact"/>
        <w:rPr>
          <w:rFonts w:ascii="Times New Roman" w:cs="Times New Roman" w:eastAsia="Times New Roman" w:hAnsi="Times New Roman"/>
          <w:sz w:val="16"/>
          <w:szCs w:val="16"/>
          <w:color w:val="auto"/>
        </w:rPr>
      </w:pPr>
    </w:p>
    <w:p>
      <w:pPr>
        <w:ind w:firstLine="1143"/>
        <w:spacing w:after="0" w:line="289" w:lineRule="auto"/>
        <w:tabs>
          <w:tab w:leader="none" w:pos="1396"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calculations and other determinations under this Article 14 shall be made by the Company and shall be made to the nearest one-ten thousandth (1/10,000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of a share.</w:t>
      </w:r>
    </w:p>
    <w:p>
      <w:pPr>
        <w:spacing w:after="0" w:line="27" w:lineRule="exact"/>
        <w:rPr>
          <w:rFonts w:ascii="Times New Roman" w:cs="Times New Roman" w:eastAsia="Times New Roman" w:hAnsi="Times New Roman"/>
          <w:sz w:val="16"/>
          <w:szCs w:val="16"/>
          <w:color w:val="auto"/>
        </w:rPr>
      </w:pPr>
    </w:p>
    <w:p>
      <w:pPr>
        <w:jc w:val="both"/>
        <w:ind w:right="20" w:firstLine="1143"/>
        <w:spacing w:after="0" w:line="254" w:lineRule="auto"/>
        <w:tabs>
          <w:tab w:leader="none" w:pos="1337"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 adjustment to the Conversion Rate otherwise required by this Section 14.04 would result in a change of less than 1% to the Conversion Rate, then, notwithstanding the foregoing, the Company may, at its election, defer and carry forward such adjustment, except that all such deferred adjustments must be given effect immediately upon the earliest to occur of the following: (i) when all such deferred adjustments would result in an aggregate change of at least 1% to the Conversion Rate; (ii) the Conversion Date for any Notes (in the case of Physical Settlement); (iii) on each Trading Day of an Observation Period for any Note; (iii) the effective date of a</w:t>
      </w:r>
    </w:p>
    <w:p>
      <w:pPr>
        <w:spacing w:after="0" w:line="3" w:lineRule="exact"/>
        <w:rPr>
          <w:sz w:val="20"/>
          <w:szCs w:val="20"/>
          <w:color w:val="auto"/>
        </w:rPr>
      </w:pPr>
    </w:p>
    <w:p>
      <w:pPr>
        <w:ind w:right="20"/>
        <w:spacing w:after="0" w:line="207" w:lineRule="auto"/>
        <w:rPr>
          <w:sz w:val="20"/>
          <w:szCs w:val="20"/>
          <w:color w:val="auto"/>
        </w:rPr>
      </w:pPr>
      <w:r>
        <w:rPr>
          <w:rFonts w:ascii="Times New Roman" w:cs="Times New Roman" w:eastAsia="Times New Roman" w:hAnsi="Times New Roman"/>
          <w:sz w:val="16"/>
          <w:szCs w:val="16"/>
          <w:color w:val="auto"/>
        </w:rPr>
        <w:t>Fundamental Change and/or Make-Whole Fundamental Change; (iv) if the Company calls any Notes for redemption; or (v) [●], 2026</w:t>
      </w:r>
      <w:r>
        <w:rPr>
          <w:rFonts w:ascii="Times New Roman" w:cs="Times New Roman" w:eastAsia="Times New Roman" w:hAnsi="Times New Roman"/>
          <w:sz w:val="26"/>
          <w:szCs w:val="26"/>
          <w:color w:val="auto"/>
          <w:vertAlign w:val="superscript"/>
        </w:rPr>
        <w:t>13</w:t>
      </w:r>
      <w:r>
        <w:rPr>
          <w:rFonts w:ascii="Times New Roman" w:cs="Times New Roman" w:eastAsia="Times New Roman" w:hAnsi="Times New Roman"/>
          <w:sz w:val="16"/>
          <w:szCs w:val="16"/>
          <w:color w:val="auto"/>
        </w:rPr>
        <w:t>, in each case, unless the adjustment has already been made. The provision described in the immediately preceding sentence of this Section 14.04(l) is referred to herein as the “</w:t>
      </w:r>
      <w:r>
        <w:rPr>
          <w:rFonts w:ascii="Times New Roman" w:cs="Times New Roman" w:eastAsia="Times New Roman" w:hAnsi="Times New Roman"/>
          <w:sz w:val="16"/>
          <w:szCs w:val="16"/>
          <w:b w:val="1"/>
          <w:bCs w:val="1"/>
          <w:color w:val="auto"/>
        </w:rPr>
        <w:t>1% Provision</w:t>
      </w:r>
      <w:r>
        <w:rPr>
          <w:rFonts w:ascii="Times New Roman" w:cs="Times New Roman" w:eastAsia="Times New Roman" w:hAnsi="Times New Roman"/>
          <w:sz w:val="16"/>
          <w:szCs w:val="16"/>
          <w:color w:val="auto"/>
        </w:rPr>
        <w:t>.”</w:t>
      </w:r>
    </w:p>
    <w:p>
      <w:pPr>
        <w:spacing w:after="0" w:line="176" w:lineRule="exact"/>
        <w:rPr>
          <w:sz w:val="20"/>
          <w:szCs w:val="20"/>
          <w:color w:val="auto"/>
        </w:rPr>
      </w:pPr>
    </w:p>
    <w:p>
      <w:pPr>
        <w:jc w:val="both"/>
        <w:ind w:right="20" w:firstLine="1143"/>
        <w:spacing w:after="0" w:line="275" w:lineRule="auto"/>
        <w:tabs>
          <w:tab w:leader="none" w:pos="1429" w:val="left"/>
        </w:tabs>
        <w:numPr>
          <w:ilvl w:val="0"/>
          <w:numId w:val="1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Whenever the Conversion Rate is adjusted as herein provided, the Company shall promptly file with the Trustee (and the Conversion Agent if not the Trustee) an Officer’s Certificate setting forth the Conversion Rate after such adjustment and setting forth a brief statement of the facts requiring such adjustment. Unless and until a Responsible Officer of the Trustee shall have received such Officer’s Certificate, the Trustee shall not be deemed to have knowledge of any adjustment of the Conversion Rate and may assume without inquiry that the last Conversion Rate of which it has knowledge is still in effect. Promptly after delivery of such certificate, the Company shall prepare a notice of such adjustment of the Conversion Rate setting forth the adjusted Conversion Rate and the date on which each adjustment becomes effective and shall deliver such notice of such adjustment of the Conversion Rate to each Holder. Failure to deliver such notice shall not affect the legality or validity of any such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1790700" cy="152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168"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color w:val="auto"/>
        </w:rPr>
        <w:t>13</w:t>
      </w:r>
      <w:r>
        <w:rPr>
          <w:sz w:val="20"/>
          <w:szCs w:val="20"/>
          <w:color w:val="auto"/>
        </w:rPr>
        <w:tab/>
      </w:r>
      <w:r>
        <w:rPr>
          <w:rFonts w:ascii="Times New Roman" w:cs="Times New Roman" w:eastAsia="Times New Roman" w:hAnsi="Times New Roman"/>
          <w:sz w:val="15"/>
          <w:szCs w:val="15"/>
          <w:color w:val="auto"/>
        </w:rPr>
        <w:t>NTD: This shall be the date that is 6 months before maturity.</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89" w:name="page90"/>
    <w:bookmarkEnd w:id="89"/>
    <w:p>
      <w:pPr>
        <w:jc w:val="both"/>
        <w:ind w:right="20" w:firstLine="1143"/>
        <w:spacing w:after="0" w:line="265" w:lineRule="auto"/>
        <w:tabs>
          <w:tab w:leader="none" w:pos="1376"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this Section 14.04, the number of shares of Common Stock at any time outstanding shall not include shares of Common Stock held in the treasury of the Company so long as the Company does not pay any dividend or make any distribution on shares of Common Stock held in the treasury of the Company, but shall include shares of Common Stock issuable in respect of scrip certificates issued in lieu of fractions of shares of Common Stock.</w:t>
      </w:r>
    </w:p>
    <w:p>
      <w:pPr>
        <w:spacing w:after="0" w:line="153"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6"/>
          <w:szCs w:val="16"/>
          <w:color w:val="auto"/>
        </w:rPr>
        <w:t xml:space="preserve">Section 14.06. </w:t>
      </w:r>
      <w:r>
        <w:rPr>
          <w:rFonts w:ascii="Times New Roman" w:cs="Times New Roman" w:eastAsia="Times New Roman" w:hAnsi="Times New Roman"/>
          <w:sz w:val="16"/>
          <w:szCs w:val="16"/>
          <w:i w:val="1"/>
          <w:iCs w:val="1"/>
          <w:color w:val="auto"/>
        </w:rPr>
        <w:t>Adjustments of Prices.</w:t>
      </w:r>
      <w:r>
        <w:rPr>
          <w:rFonts w:ascii="Times New Roman" w:cs="Times New Roman" w:eastAsia="Times New Roman" w:hAnsi="Times New Roman"/>
          <w:sz w:val="16"/>
          <w:szCs w:val="16"/>
          <w:color w:val="auto"/>
        </w:rPr>
        <w:t xml:space="preserve"> Whenever any provision of this Indenture requires the Company to calculate the Last Reported Sale Prices, the Daily VWAPs, the Daily Conversion Values or the Daily Settlement Amounts over a span of multiple days (including an Observation Period and the Stock Price for purposes of a Make-Whole Fundamental Change or for purposes of determining whether the Company may issue a Notice of Redemption), the Company shall make appropriate adjustments in good faith to each to account for any adjustment to the Conversion Rate that becomes effective, or any event requiring an adjustment to the Conversion Rate where the Ex-Dividend Date, Effective Date or expiration date, as the case may be, of the event occurs at any time during the period when the Last Reported Sale Prices, the Daily VWAPs, the Daily Conversion Values or the Daily Settlement Amounts are to be calculated.</w:t>
      </w:r>
    </w:p>
    <w:p>
      <w:pPr>
        <w:spacing w:after="0" w:line="161" w:lineRule="exact"/>
        <w:rPr>
          <w:sz w:val="20"/>
          <w:szCs w:val="20"/>
          <w:color w:val="auto"/>
        </w:rPr>
      </w:pPr>
    </w:p>
    <w:p>
      <w:pPr>
        <w:jc w:val="both"/>
        <w:ind w:right="20" w:firstLine="382"/>
        <w:spacing w:after="0" w:line="260" w:lineRule="auto"/>
        <w:rPr>
          <w:sz w:val="20"/>
          <w:szCs w:val="20"/>
          <w:color w:val="auto"/>
        </w:rPr>
      </w:pPr>
      <w:r>
        <w:rPr>
          <w:rFonts w:ascii="Times New Roman" w:cs="Times New Roman" w:eastAsia="Times New Roman" w:hAnsi="Times New Roman"/>
          <w:sz w:val="16"/>
          <w:szCs w:val="16"/>
          <w:color w:val="auto"/>
        </w:rPr>
        <w:t xml:space="preserve">Section 14.07. </w:t>
      </w:r>
      <w:r>
        <w:rPr>
          <w:rFonts w:ascii="Times New Roman" w:cs="Times New Roman" w:eastAsia="Times New Roman" w:hAnsi="Times New Roman"/>
          <w:sz w:val="16"/>
          <w:szCs w:val="16"/>
          <w:i w:val="1"/>
          <w:iCs w:val="1"/>
          <w:color w:val="auto"/>
        </w:rPr>
        <w:t>Shares to Be Fully Paid.</w:t>
      </w:r>
      <w:r>
        <w:rPr>
          <w:rFonts w:ascii="Times New Roman" w:cs="Times New Roman" w:eastAsia="Times New Roman" w:hAnsi="Times New Roman"/>
          <w:sz w:val="16"/>
          <w:szCs w:val="16"/>
          <w:color w:val="auto"/>
        </w:rPr>
        <w:t xml:space="preserve"> The Company shall maintain, free from preemptive rights, out of its authorized but unissued shares or shares held in treasury, sufficient shares of Common Stock to provide for the conversion of the Notes from time to time as such Notes are presented for conversion (assuming delivery of the maximum number of Additional Shares pursuant to Section 14.03 and that at the time of computation of such number of shares, all such Notes would be converted by a single Holder and that Physical Settlement were applicable.</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14.08. </w:t>
      </w:r>
      <w:r>
        <w:rPr>
          <w:rFonts w:ascii="Times New Roman" w:cs="Times New Roman" w:eastAsia="Times New Roman" w:hAnsi="Times New Roman"/>
          <w:sz w:val="16"/>
          <w:szCs w:val="16"/>
          <w:i w:val="1"/>
          <w:iCs w:val="1"/>
          <w:color w:val="auto"/>
        </w:rPr>
        <w:t>Effect of Recapitalizations, Reclassifications and Changes of the Common Stock</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left="1360" w:hanging="217"/>
        <w:spacing w:after="0"/>
        <w:tabs>
          <w:tab w:leader="none" w:pos="136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w:t>
      </w:r>
    </w:p>
    <w:p>
      <w:pPr>
        <w:spacing w:after="0" w:line="198" w:lineRule="exact"/>
        <w:rPr>
          <w:rFonts w:ascii="Times New Roman" w:cs="Times New Roman" w:eastAsia="Times New Roman" w:hAnsi="Times New Roman"/>
          <w:sz w:val="16"/>
          <w:szCs w:val="16"/>
          <w:color w:val="auto"/>
        </w:rPr>
      </w:pPr>
    </w:p>
    <w:p>
      <w:pPr>
        <w:ind w:firstLine="1716"/>
        <w:spacing w:after="0" w:line="280" w:lineRule="auto"/>
        <w:tabs>
          <w:tab w:leader="none" w:pos="1923" w:val="left"/>
        </w:tabs>
        <w:numPr>
          <w:ilvl w:val="1"/>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recapitalization, reclassification or change of the Common Stock (other than changes in par value or from par value to no par value, or changes resulting from a subdivision or combination),</w:t>
      </w:r>
    </w:p>
    <w:p>
      <w:pPr>
        <w:spacing w:after="0" w:line="144" w:lineRule="exact"/>
        <w:rPr>
          <w:rFonts w:ascii="Times New Roman" w:cs="Times New Roman" w:eastAsia="Times New Roman" w:hAnsi="Times New Roman"/>
          <w:sz w:val="16"/>
          <w:szCs w:val="16"/>
          <w:color w:val="auto"/>
        </w:rPr>
      </w:pPr>
    </w:p>
    <w:p>
      <w:pPr>
        <w:ind w:left="1960" w:hanging="244"/>
        <w:spacing w:after="0"/>
        <w:tabs>
          <w:tab w:leader="none" w:pos="1960" w:val="left"/>
        </w:tabs>
        <w:numPr>
          <w:ilvl w:val="1"/>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consolidation, merger, combination or similar transaction involving the Company,</w:t>
      </w:r>
    </w:p>
    <w:p>
      <w:pPr>
        <w:spacing w:after="0" w:line="198" w:lineRule="exact"/>
        <w:rPr>
          <w:rFonts w:ascii="Times New Roman" w:cs="Times New Roman" w:eastAsia="Times New Roman" w:hAnsi="Times New Roman"/>
          <w:sz w:val="16"/>
          <w:szCs w:val="16"/>
          <w:color w:val="auto"/>
        </w:rPr>
      </w:pPr>
    </w:p>
    <w:p>
      <w:pPr>
        <w:ind w:left="2020" w:hanging="304"/>
        <w:spacing w:after="0"/>
        <w:tabs>
          <w:tab w:leader="none" w:pos="2020" w:val="left"/>
        </w:tabs>
        <w:numPr>
          <w:ilvl w:val="1"/>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sale, lease or other transfer to a third party of all or substantially all of the consolidated assets of the Company and the Company’s</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Subsidiaries or</w:t>
      </w:r>
    </w:p>
    <w:p>
      <w:pPr>
        <w:spacing w:after="0" w:line="181" w:lineRule="exact"/>
        <w:rPr>
          <w:rFonts w:ascii="Times New Roman" w:cs="Times New Roman" w:eastAsia="Times New Roman" w:hAnsi="Times New Roman"/>
          <w:sz w:val="16"/>
          <w:szCs w:val="16"/>
          <w:color w:val="auto"/>
        </w:rPr>
      </w:pPr>
    </w:p>
    <w:p>
      <w:pPr>
        <w:ind w:left="1980" w:hanging="264"/>
        <w:spacing w:after="0"/>
        <w:tabs>
          <w:tab w:leader="none" w:pos="1980" w:val="left"/>
        </w:tabs>
        <w:numPr>
          <w:ilvl w:val="1"/>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statutory share exchange,</w:t>
      </w:r>
    </w:p>
    <w:p>
      <w:pPr>
        <w:spacing w:after="0" w:line="19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in each case, as a result of which the Common Stock would be converted into, or exchanged for, stock, other securities, other property or assets (including cash or any combination thereof) (any such event, a “</w:t>
      </w:r>
      <w:r>
        <w:rPr>
          <w:rFonts w:ascii="Times New Roman" w:cs="Times New Roman" w:eastAsia="Times New Roman" w:hAnsi="Times New Roman"/>
          <w:sz w:val="16"/>
          <w:szCs w:val="16"/>
          <w:b w:val="1"/>
          <w:bCs w:val="1"/>
          <w:color w:val="auto"/>
        </w:rPr>
        <w:t>Merger Event</w:t>
      </w:r>
      <w:r>
        <w:rPr>
          <w:rFonts w:ascii="Times New Roman" w:cs="Times New Roman" w:eastAsia="Times New Roman" w:hAnsi="Times New Roman"/>
          <w:sz w:val="16"/>
          <w:szCs w:val="16"/>
          <w:color w:val="auto"/>
        </w:rPr>
        <w:t>”), then, at the effective time of the Merger Event, the Company or the successor or acquiring person, as the case may be, shall execute with the Trustee a supplemental indenture, without the consent of the Holders, providing that at and after the effective time of such Merger Event, the right to convert each $1,000 principal amount of Notes shall be changed into a right to convert such principal amount of Notes into the kind and amount of shares of stock, other securities or other property or assets (including cash or any combination thereof) that a holder of a number of shares of Common Stock equal to the Conversion Rate immediately prior to such Merger Event would have owned or been entitled to receive (the “</w:t>
      </w:r>
      <w:r>
        <w:rPr>
          <w:rFonts w:ascii="Times New Roman" w:cs="Times New Roman" w:eastAsia="Times New Roman" w:hAnsi="Times New Roman"/>
          <w:sz w:val="16"/>
          <w:szCs w:val="16"/>
          <w:b w:val="1"/>
          <w:bCs w:val="1"/>
          <w:color w:val="auto"/>
        </w:rPr>
        <w:t>Reference Property</w:t>
      </w:r>
      <w:r>
        <w:rPr>
          <w:rFonts w:ascii="Times New Roman" w:cs="Times New Roman" w:eastAsia="Times New Roman" w:hAnsi="Times New Roman"/>
          <w:sz w:val="16"/>
          <w:szCs w:val="16"/>
          <w:color w:val="auto"/>
        </w:rPr>
        <w:t>,” with each “</w:t>
      </w:r>
      <w:r>
        <w:rPr>
          <w:rFonts w:ascii="Times New Roman" w:cs="Times New Roman" w:eastAsia="Times New Roman" w:hAnsi="Times New Roman"/>
          <w:sz w:val="16"/>
          <w:szCs w:val="16"/>
          <w:b w:val="1"/>
          <w:bCs w:val="1"/>
          <w:color w:val="auto"/>
        </w:rPr>
        <w:t>unit of Reference Property</w:t>
      </w:r>
      <w:r>
        <w:rPr>
          <w:rFonts w:ascii="Times New Roman" w:cs="Times New Roman" w:eastAsia="Times New Roman" w:hAnsi="Times New Roman"/>
          <w:sz w:val="16"/>
          <w:szCs w:val="16"/>
          <w:color w:val="auto"/>
        </w:rPr>
        <w:t xml:space="preserve">” meaning the kind and amount of Reference Property that a holder of one share of Common Stock is entitled to receive) upon such Merger Event and, prior to or at the effective time of such Merger Event, the Company or the successor or purchasing Person, as the case may be, shall execute with the Trustee a supplemental indenture permitted under Section 10.01(j) providing for such change in the right to convert each $1,000 principal amount of Notes;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at and after the effective time of the Merger Event (A) the Company or the successor or acquiring company, as the case may be, shall continue to have the right to elect to determine the form of consideration to be paid or delivered, as the case may be, in respect of the remainder, if any, of the Conversion Obligation in excess of the principal amount of the Notes being converted, in accordance with Section 14.02, (B) any amount payable in cash upon conversion of the Notes in accordance with Section 14.02 shall continue to be payable in cash, (C) any shares of Common Stock that the Company would have been required to deliver upon conversion of the Notes in accordance with Section 14.02 shall instead be deliverable in the amount and type of Reference Property that a holder of that number of shares of Common Stock would have received in such Merger Event and (D) the Daily VWAP shall be calculated based on the value of a unit of Reference Property.</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90" w:name="page91"/>
    <w:bookmarkEnd w:id="90"/>
    <w:p>
      <w:pPr>
        <w:jc w:val="both"/>
        <w:ind w:firstLine="382"/>
        <w:spacing w:after="0" w:line="253" w:lineRule="auto"/>
        <w:rPr>
          <w:sz w:val="20"/>
          <w:szCs w:val="20"/>
          <w:color w:val="auto"/>
        </w:rPr>
      </w:pPr>
      <w:r>
        <w:rPr>
          <w:rFonts w:ascii="Times New Roman" w:cs="Times New Roman" w:eastAsia="Times New Roman" w:hAnsi="Times New Roman"/>
          <w:sz w:val="16"/>
          <w:szCs w:val="16"/>
          <w:color w:val="auto"/>
        </w:rPr>
        <w:t xml:space="preserve">If the Merger Event causes the Common Stock to be converted into, or exchanged for, the right to receive more than a single type of consideration (determined based in part upon any form of stockholder election), then (i) the Reference Property into which the Notes will be convertible shall be deemed to be the weighted average of the types and amounts of consideration actually received by the holders of Common Stock, and (ii) the unit of Reference Property for purposes of the immediately preceding paragraph shall refer to the consideration referred to in clause (i) attributable to one share of Common Stock. If the holders of the Common Stock receive only cash in such Merger Event, then for all conversions for which the relevant Conversion Date occurs after the effective date of such Merger Event (A) the consideration due upon conversion of each $1,000 principal amount of Notes shall be solely cash in an amount equal to the Conversion Rate in effect on the Conversion Date (as may be increased by any Additional Shares pursuant to Section 14.03), </w:t>
      </w:r>
      <w:r>
        <w:rPr>
          <w:rFonts w:ascii="Times New Roman" w:cs="Times New Roman" w:eastAsia="Times New Roman" w:hAnsi="Times New Roman"/>
          <w:sz w:val="16"/>
          <w:szCs w:val="16"/>
          <w:i w:val="1"/>
          <w:iCs w:val="1"/>
          <w:color w:val="auto"/>
        </w:rPr>
        <w:t>multiplied by</w:t>
      </w:r>
      <w:r>
        <w:rPr>
          <w:rFonts w:ascii="Times New Roman" w:cs="Times New Roman" w:eastAsia="Times New Roman" w:hAnsi="Times New Roman"/>
          <w:sz w:val="16"/>
          <w:szCs w:val="16"/>
          <w:color w:val="auto"/>
        </w:rPr>
        <w:t xml:space="preserve"> the price paid per share of Common Stock in such Merger Event and (B) the Company shall satisfy the Conversion Obligation by paying cash to converting Holders on the second Business Day immediately following the relevant Conversion Date. The Company shall notify Holders, the Trustee and the Conversion Agent (if other than the Trustee) in writing of such weighted average as soon as reasonably practicable after such determination is made.</w:t>
      </w:r>
    </w:p>
    <w:p>
      <w:pPr>
        <w:spacing w:after="0" w:line="166" w:lineRule="exact"/>
        <w:rPr>
          <w:sz w:val="20"/>
          <w:szCs w:val="20"/>
          <w:color w:val="auto"/>
        </w:rPr>
      </w:pPr>
    </w:p>
    <w:p>
      <w:pPr>
        <w:jc w:val="both"/>
        <w:ind w:firstLine="382"/>
        <w:spacing w:after="0" w:line="253" w:lineRule="auto"/>
        <w:rPr>
          <w:sz w:val="20"/>
          <w:szCs w:val="20"/>
          <w:color w:val="auto"/>
        </w:rPr>
      </w:pPr>
      <w:r>
        <w:rPr>
          <w:rFonts w:ascii="Times New Roman" w:cs="Times New Roman" w:eastAsia="Times New Roman" w:hAnsi="Times New Roman"/>
          <w:sz w:val="16"/>
          <w:szCs w:val="16"/>
          <w:color w:val="auto"/>
        </w:rPr>
        <w:t>If the Reference Property in respect of any Merger Event includes, in whole or in part, shares of Common Equity or securities convertible into or exchangeable for shares of Common Equity, the supplemental indenture described in the second immediately preceding paragraph shall provide for anti-dilution and other adjustments that shall be as nearly equivalent as is possible to the adjustments provided for in this Article 14 with respect to the portion of Reference Property consisting of such Common Equity or securities convertible into or exchangeable for shares of Common Equity. If the Reference Property in respect of any such Merger Event includes shares of stock, securities or other property or assets, other than cash and/or cash equivalents, of a Person other than the Company or the successor or purchasing corporation, as the case may be, in such Merger Event and such other company, if an affiliate of the Company (or, if the Company does not survive the Merger Event, an affiliate of the successor or purchasing company) is party to the transaction, such other company shall also execute such supplemental indenture, and such supplemental indenture shall contain such additional provisions to protect the interests of the Holders as the Company shall in good faith reasonably consider necessary by reason of the foregoing, including the provisions providing for the purchase rights set forth in Article 15.</w:t>
      </w:r>
    </w:p>
    <w:p>
      <w:pPr>
        <w:spacing w:after="0" w:line="166" w:lineRule="exact"/>
        <w:rPr>
          <w:sz w:val="20"/>
          <w:szCs w:val="20"/>
          <w:color w:val="auto"/>
        </w:rPr>
      </w:pPr>
    </w:p>
    <w:p>
      <w:pPr>
        <w:jc w:val="both"/>
        <w:ind w:right="20" w:firstLine="1143"/>
        <w:spacing w:after="0" w:line="257" w:lineRule="auto"/>
        <w:tabs>
          <w:tab w:leader="none" w:pos="1373"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the Company executes a supplemental indenture pursuant to subsection (a) of this Section 14.07, the Company shall promptly file with the Trustee an Officer’s Certificate briefly stating the reasons therefor, the kind or amount of cash, securities or property or asset that will comprise a unit of Reference Property after any such Merger Event, any adjustment to be made with respect thereto and that all conditions precedent have been complied with, and shall promptly deliver or cause to be delivered notice thereof to all Holders. The Company shall cause notice of the execution of such supplemental indenture to be delivered to each Holder within 20 days after execution thereof. Failure to deliver such notice shall not affect the legality or validity of such supplemental indenture.</w:t>
      </w:r>
    </w:p>
    <w:p>
      <w:pPr>
        <w:spacing w:after="0" w:line="162"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87"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not become a party to any Merger Event unless its terms are reasonably consistent with this Section 14.07 and in compliance with Section 14.10. None of the foregoing provisions shall affect the right of a holder of Notes to convert its Notes into cash, shares of Common Stock or a combination of cash and shares of Common Stock, as applicable, as set forth in Section 14.01 and Section 14.02 prior to the effective date of such Merger Event.</w:t>
      </w:r>
    </w:p>
    <w:p>
      <w:pPr>
        <w:spacing w:after="0" w:line="155"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above provisions of this Section shall similarly apply to successive Merger Events.</w:t>
      </w:r>
    </w:p>
    <w:p>
      <w:pPr>
        <w:spacing w:after="0" w:line="196" w:lineRule="exact"/>
        <w:rPr>
          <w:sz w:val="20"/>
          <w:szCs w:val="20"/>
          <w:color w:val="auto"/>
        </w:rPr>
      </w:pPr>
    </w:p>
    <w:p>
      <w:pPr>
        <w:ind w:right="20" w:firstLine="382"/>
        <w:spacing w:after="0" w:line="283" w:lineRule="auto"/>
        <w:rPr>
          <w:sz w:val="20"/>
          <w:szCs w:val="20"/>
          <w:color w:val="auto"/>
        </w:rPr>
      </w:pPr>
      <w:r>
        <w:rPr>
          <w:rFonts w:ascii="Times New Roman" w:cs="Times New Roman" w:eastAsia="Times New Roman" w:hAnsi="Times New Roman"/>
          <w:sz w:val="16"/>
          <w:szCs w:val="16"/>
          <w:color w:val="auto"/>
        </w:rPr>
        <w:t xml:space="preserve">Section 14.09. </w:t>
      </w:r>
      <w:r>
        <w:rPr>
          <w:rFonts w:ascii="Times New Roman" w:cs="Times New Roman" w:eastAsia="Times New Roman" w:hAnsi="Times New Roman"/>
          <w:sz w:val="16"/>
          <w:szCs w:val="16"/>
          <w:i w:val="1"/>
          <w:iCs w:val="1"/>
          <w:color w:val="auto"/>
        </w:rPr>
        <w:t>Certain Covenants.</w:t>
      </w:r>
      <w:r>
        <w:rPr>
          <w:rFonts w:ascii="Times New Roman" w:cs="Times New Roman" w:eastAsia="Times New Roman" w:hAnsi="Times New Roman"/>
          <w:sz w:val="16"/>
          <w:szCs w:val="16"/>
          <w:color w:val="auto"/>
        </w:rPr>
        <w:t xml:space="preserve"> (a) The Company covenants that all shares of Common Stock issued upon conversion of Notes will be fully paid and non-assessable by the Company and free from all taxes, liens and charges with respect to the issue thereof.</w:t>
      </w:r>
    </w:p>
    <w:p>
      <w:pPr>
        <w:spacing w:after="0" w:line="142" w:lineRule="exact"/>
        <w:rPr>
          <w:sz w:val="20"/>
          <w:szCs w:val="20"/>
          <w:color w:val="auto"/>
        </w:rPr>
      </w:pPr>
    </w:p>
    <w:p>
      <w:pPr>
        <w:jc w:val="both"/>
        <w:ind w:right="20" w:firstLine="1143"/>
        <w:spacing w:after="0" w:line="265" w:lineRule="auto"/>
        <w:tabs>
          <w:tab w:leader="none" w:pos="1373"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further covenants that if at any time the Common Stock shall be listed on any national securities exchange or automated quotation system the Company will list and keep listed, so long as the Common Stock shall be so listed on such exchange or automated quotation system, any Common Stock issuable upon conversion of the Notes.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91" w:name="page92"/>
    <w:bookmarkEnd w:id="91"/>
    <w:p>
      <w:pPr>
        <w:jc w:val="both"/>
        <w:ind w:firstLine="382"/>
        <w:spacing w:after="0" w:line="251" w:lineRule="auto"/>
        <w:rPr>
          <w:sz w:val="20"/>
          <w:szCs w:val="20"/>
          <w:color w:val="auto"/>
        </w:rPr>
      </w:pPr>
      <w:r>
        <w:rPr>
          <w:rFonts w:ascii="Times New Roman" w:cs="Times New Roman" w:eastAsia="Times New Roman" w:hAnsi="Times New Roman"/>
          <w:sz w:val="16"/>
          <w:szCs w:val="16"/>
          <w:color w:val="auto"/>
        </w:rPr>
        <w:t xml:space="preserve">Section 14.10. </w:t>
      </w:r>
      <w:r>
        <w:rPr>
          <w:rFonts w:ascii="Times New Roman" w:cs="Times New Roman" w:eastAsia="Times New Roman" w:hAnsi="Times New Roman"/>
          <w:sz w:val="16"/>
          <w:szCs w:val="16"/>
          <w:i w:val="1"/>
          <w:iCs w:val="1"/>
          <w:color w:val="auto"/>
        </w:rPr>
        <w:t>Responsibility of Trustee.</w:t>
      </w:r>
      <w:r>
        <w:rPr>
          <w:rFonts w:ascii="Times New Roman" w:cs="Times New Roman" w:eastAsia="Times New Roman" w:hAnsi="Times New Roman"/>
          <w:sz w:val="16"/>
          <w:szCs w:val="16"/>
          <w:color w:val="auto"/>
        </w:rPr>
        <w:t xml:space="preserve"> The Trustee and any other Conversion Agent shall not at any time be under any duty or responsibility to any Holder to determine the Conversion Rate (or any adjustment thereto) or whether any facts exist that may require any adjustment (including any increase) of the Conversion Rate, or with respect to the nature or extent or calculation of any such adjustment when made, or with respect to the method employed, or herein or in any supplemental indenture provided to be employed, in making the same. The Trustee and any other Conversion Agent shall not be accountable with respect to the validity or value (or the kind or amount) of any shares of Common Stock, or of any securities, property or cash that may at any time be issued or delivered upon the conversion of any Note; and the Trustee and any other Conversion Agent make no representations with respect thereto. Neither the Trustee nor any Conversion Agent shall be responsible for any failure of the Company to issue, transfer or deliver any shares of Common Stock or stock certificates or other securities or property or cash upon the surrender of any Note for the purpose of conversion or to comply with any of the duties, responsibilities or covenants of the Company contained in this Article. Without limiting the generality of the foregoing, neither the Trustee nor any Conversion Agent shall be under any responsibility to determine the correctness of any provisions contained in any supplemental indenture entered into pursuant to Section 14.07 relating either to the kind or amount of shares of stock or securities or property (including cash) receivable by Holders upon the conversion of their Notes after any event referred to in such Section 14.07 or to any adjustment to be made with respect thereto, but, subject to the provisions of Section 7.01, may accept (without any independent investigation) as conclusive evidence of the correctness of any such provisions, and shall be protected in relying upon, the Officer’s Certificate (which the Company shall be obligated to file with the Trustee prior to the execution of any such supplemental indenture) with respect thereto. Neither the Trustee nor the Conversion Agent shall be responsible for determining whether any event contemplated by Section 14.01(b) has occurred that makes the Notes eligible for conversion or no longer eligible therefor until the Company has delivered to the Trustee and the Conversion Agent the notices referred to in Section 14.01(b) with respect to the commencement or termination of such conversion rights, on which notices the Trustee and the Conversion Agent may conclusively rely, and the Company agrees to deliver such notices to the Trustee and the Conversion Agent immediately after the occurrence of any such event or at such other times as shall be provided for in Section 14.01(b). Except as otherwise expressly provided herein, neither the Trustee nor any other agent acting under this Indenture (other than the Company, if acting in such capacity) shall have any obligation to make any calculation or to determine whether the Notes may be surrendered for conversion pursuant to this Indenture, or to notify the Company or the Depositary or any of the Holders if the Notes have become convertible pursuant to the terms of this Indenture.</w:t>
      </w:r>
    </w:p>
    <w:p>
      <w:pPr>
        <w:spacing w:after="0" w:line="1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14.11. </w:t>
      </w:r>
      <w:r>
        <w:rPr>
          <w:rFonts w:ascii="Times New Roman" w:cs="Times New Roman" w:eastAsia="Times New Roman" w:hAnsi="Times New Roman"/>
          <w:sz w:val="16"/>
          <w:szCs w:val="16"/>
          <w:i w:val="1"/>
          <w:iCs w:val="1"/>
          <w:color w:val="auto"/>
        </w:rPr>
        <w:t>Notice to Holders Prior to Certain Actions.</w:t>
      </w:r>
      <w:r>
        <w:rPr>
          <w:rFonts w:ascii="Times New Roman" w:cs="Times New Roman" w:eastAsia="Times New Roman" w:hAnsi="Times New Roman"/>
          <w:sz w:val="16"/>
          <w:szCs w:val="16"/>
          <w:color w:val="auto"/>
        </w:rPr>
        <w:t xml:space="preserve"> In case of any:</w:t>
      </w:r>
    </w:p>
    <w:p>
      <w:pPr>
        <w:spacing w:after="0" w:line="200" w:lineRule="exact"/>
        <w:rPr>
          <w:sz w:val="20"/>
          <w:szCs w:val="20"/>
          <w:color w:val="auto"/>
        </w:rPr>
      </w:pPr>
    </w:p>
    <w:p>
      <w:pPr>
        <w:ind w:left="1360" w:hanging="217"/>
        <w:spacing w:after="0"/>
        <w:tabs>
          <w:tab w:leader="none" w:pos="136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action by the Company or one of its Subsidiaries that would require an adjustment in the Conversion Rate pursuant to Section 14.04 or Section 14.11; or</w:t>
      </w:r>
    </w:p>
    <w:p>
      <w:pPr>
        <w:spacing w:after="0" w:line="198"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voluntary or involuntary dissolution, liquidation or winding-up of the Company;</w:t>
      </w:r>
    </w:p>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then, in each case (unless notice of such event is otherwise required pursuant to another provision of this Indenture), the Company shall cause to be filed with the Trustee and the Conversion Agent (if other than the Trustee) and to be delivered to each Holder, as promptly as possible, a notice stating (i) the date on which a record is to be taken for the purpose of such action by the Company or one of its Subsidiaries or, if a record is not to be taken, the date as of which the holders of Common Stock of record are to be determined for the purposes of such action by the Company or one of its Subsidiaries, or (ii) the date on which such dissolution, liquidation or winding-up is expected to become effective or occur, and the date as of which it is expected that holders of Common Stock of record shall be entitled to exchange their Common Stock for securities or other property deliverable upon such dissolution, liquidation or winding-up. Failure to give such notice, or any defect therein, shall not affect the legality or validity of such action by the Company or one of its Subsidiaries, dissolution, liquidation or winding-up.</w:t>
      </w:r>
    </w:p>
    <w:p>
      <w:pPr>
        <w:spacing w:after="0" w:line="165"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6"/>
          <w:szCs w:val="16"/>
          <w:color w:val="auto"/>
        </w:rPr>
        <w:t xml:space="preserve">Section 14.12. </w:t>
      </w:r>
      <w:r>
        <w:rPr>
          <w:rFonts w:ascii="Times New Roman" w:cs="Times New Roman" w:eastAsia="Times New Roman" w:hAnsi="Times New Roman"/>
          <w:sz w:val="16"/>
          <w:szCs w:val="16"/>
          <w:i w:val="1"/>
          <w:iCs w:val="1"/>
          <w:color w:val="auto"/>
        </w:rPr>
        <w:t>Stockholder Rights Plans.</w:t>
      </w:r>
      <w:r>
        <w:rPr>
          <w:rFonts w:ascii="Times New Roman" w:cs="Times New Roman" w:eastAsia="Times New Roman" w:hAnsi="Times New Roman"/>
          <w:sz w:val="16"/>
          <w:szCs w:val="16"/>
          <w:color w:val="auto"/>
        </w:rPr>
        <w:t xml:space="preserve"> If the Company has a stockholder rights plan in effect, upon conversion of the Notes, each share of Common Stock, if any, issued upon such conversion shall be entitled to receive the appropriate number of rights, if any, and the certificates representing the Common Stock issued upon such conversion shall bear such legends, if any, in each case as may be provided by the terms of any such stockholder rights plan, as the same may be amended from time to time. However, if, prior to any conversion of Notes, the rights have separated from the shares of Common Stock in accordance with the provisions of the applicable stockholder rights plan, the Conversion Rate shall be adjusted at the time of separation as if the Company distributed to all or substantially all holders of the Common Stock Distributed Property as provided in Section 14.04(c), subject to readjustment in the event of the expiration, termination or redemption of such rights.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92" w:name="page93"/>
    <w:bookmarkEnd w:id="92"/>
    <w:p>
      <w:pPr>
        <w:ind w:left="380"/>
        <w:spacing w:after="0"/>
        <w:rPr>
          <w:sz w:val="20"/>
          <w:szCs w:val="20"/>
          <w:color w:val="auto"/>
        </w:rPr>
      </w:pPr>
      <w:r>
        <w:rPr>
          <w:rFonts w:ascii="Times New Roman" w:cs="Times New Roman" w:eastAsia="Times New Roman" w:hAnsi="Times New Roman"/>
          <w:sz w:val="16"/>
          <w:szCs w:val="16"/>
          <w:color w:val="auto"/>
        </w:rPr>
        <w:t xml:space="preserve">Section 14.13. </w:t>
      </w:r>
      <w:r>
        <w:rPr>
          <w:rFonts w:ascii="Times New Roman" w:cs="Times New Roman" w:eastAsia="Times New Roman" w:hAnsi="Times New Roman"/>
          <w:sz w:val="16"/>
          <w:szCs w:val="16"/>
          <w:i w:val="1"/>
          <w:iCs w:val="1"/>
          <w:color w:val="auto"/>
        </w:rPr>
        <w:t>Exchange in Lieu of Conversion</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3" w:lineRule="auto"/>
        <w:tabs>
          <w:tab w:leader="none" w:pos="1364"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a Holder surrenders its Notes for conversion, the Company may, at its election (an “</w:t>
      </w:r>
      <w:r>
        <w:rPr>
          <w:rFonts w:ascii="Times New Roman" w:cs="Times New Roman" w:eastAsia="Times New Roman" w:hAnsi="Times New Roman"/>
          <w:sz w:val="16"/>
          <w:szCs w:val="16"/>
          <w:b w:val="1"/>
          <w:bCs w:val="1"/>
          <w:color w:val="auto"/>
        </w:rPr>
        <w:t>Exchange Election</w:t>
      </w:r>
      <w:r>
        <w:rPr>
          <w:rFonts w:ascii="Times New Roman" w:cs="Times New Roman" w:eastAsia="Times New Roman" w:hAnsi="Times New Roman"/>
          <w:sz w:val="16"/>
          <w:szCs w:val="16"/>
          <w:color w:val="auto"/>
        </w:rPr>
        <w:t>”), direct the Conversion Agent in writing to deliver, on or prior to the Trading Day immediately following the Conversion Date, such Notes to one or more financial institutions designated by the Company (each, a “</w:t>
      </w:r>
      <w:r>
        <w:rPr>
          <w:rFonts w:ascii="Times New Roman" w:cs="Times New Roman" w:eastAsia="Times New Roman" w:hAnsi="Times New Roman"/>
          <w:sz w:val="16"/>
          <w:szCs w:val="16"/>
          <w:b w:val="1"/>
          <w:bCs w:val="1"/>
          <w:color w:val="auto"/>
        </w:rPr>
        <w:t>Designated Financial Institution</w:t>
      </w:r>
      <w:r>
        <w:rPr>
          <w:rFonts w:ascii="Times New Roman" w:cs="Times New Roman" w:eastAsia="Times New Roman" w:hAnsi="Times New Roman"/>
          <w:sz w:val="16"/>
          <w:szCs w:val="16"/>
          <w:color w:val="auto"/>
        </w:rPr>
        <w:t>”) for exchange in lieu of conversion. In order to accept any Notes surrendered for conversion, the Designated Financial Institution(s) must agree to timely pay and/or deliver, as the case may be, in exchange for such Notes, cash up to the aggregate principal amount of the Notes to be converted and pay or deliver, as the case may be, cash, shares of Common Stock or combination thereof at the election of the Company due upon conversion pursuant to Section 14.02 or such other amount agreed to by the Holder and the Designated Financial Institution(s) (the “</w:t>
      </w:r>
      <w:r>
        <w:rPr>
          <w:rFonts w:ascii="Times New Roman" w:cs="Times New Roman" w:eastAsia="Times New Roman" w:hAnsi="Times New Roman"/>
          <w:sz w:val="16"/>
          <w:szCs w:val="16"/>
          <w:b w:val="1"/>
          <w:bCs w:val="1"/>
          <w:color w:val="auto"/>
        </w:rPr>
        <w:t>Conversion Consideration</w:t>
      </w:r>
      <w:r>
        <w:rPr>
          <w:rFonts w:ascii="Times New Roman" w:cs="Times New Roman" w:eastAsia="Times New Roman" w:hAnsi="Times New Roman"/>
          <w:sz w:val="16"/>
          <w:szCs w:val="16"/>
          <w:color w:val="auto"/>
        </w:rPr>
        <w:t>”). If the Company makes an Exchange Election, the Company shall, by the close of business on the Trading Day following the relevant Conversion Date, notify in writing the Trustee, the Conversion Agent (if other than the Trustee) and the Holder surrendering Notes for conversion that the Company has made the Exchange Election, and the Company shall notify the Designated Financial Institution(s) of the relevant deadline for delivery of the Conversion Consideration and the type of Conversion Consideration to be paid and/or delivered, as the case may be.</w:t>
      </w:r>
    </w:p>
    <w:p>
      <w:pPr>
        <w:spacing w:after="0" w:line="168" w:lineRule="exact"/>
        <w:rPr>
          <w:rFonts w:ascii="Times New Roman" w:cs="Times New Roman" w:eastAsia="Times New Roman" w:hAnsi="Times New Roman"/>
          <w:sz w:val="16"/>
          <w:szCs w:val="16"/>
          <w:color w:val="auto"/>
        </w:rPr>
      </w:pPr>
    </w:p>
    <w:p>
      <w:pPr>
        <w:jc w:val="both"/>
        <w:ind w:right="20" w:firstLine="1143"/>
        <w:spacing w:after="0" w:line="255" w:lineRule="auto"/>
        <w:tabs>
          <w:tab w:leader="none" w:pos="1373"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Notes delivered to the Designated Financial Institution(s) shall remain outstanding and the Designated Financial Institution(s) shall be the holder(s) of the Notes, subject to the applicable procedures of the Depositary. If the Designated Financial Institution(s) agree(s) to accept any Notes for exchange but does not timely pay and/or deliver, as the case may be, the related Conversion Consideration, or if such Designated Financial Institution(s) does not accept the Notes for exchange, the Company shall notify the Trustee, the Conversion Agent and the Holder surrendering its Notes for conversion and pay and/or deliver, as the case may be, the relevant Conversion Consideration, as, and at the time, required pursuant to this Indenture as if the Company had not made the Exchange Election and the Notes will be cancelled in accordance with the provisions of this Indenture.</w:t>
      </w:r>
    </w:p>
    <w:p>
      <w:pPr>
        <w:spacing w:after="0" w:line="165" w:lineRule="exact"/>
        <w:rPr>
          <w:rFonts w:ascii="Times New Roman" w:cs="Times New Roman" w:eastAsia="Times New Roman" w:hAnsi="Times New Roman"/>
          <w:sz w:val="16"/>
          <w:szCs w:val="16"/>
          <w:color w:val="auto"/>
        </w:rPr>
      </w:pPr>
    </w:p>
    <w:p>
      <w:pPr>
        <w:ind w:right="20" w:firstLine="1143"/>
        <w:spacing w:after="0" w:line="280" w:lineRule="auto"/>
        <w:tabs>
          <w:tab w:leader="none" w:pos="1387"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designation of any Designated Financial Institution(s) to which the Notes may be submitted for exchange does not require such Designated Financial Institution(s) to accept any Notes.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15</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R</w:t>
      </w:r>
      <w:r>
        <w:rPr>
          <w:rFonts w:ascii="Times New Roman" w:cs="Times New Roman" w:eastAsia="Times New Roman" w:hAnsi="Times New Roman"/>
          <w:sz w:val="10"/>
          <w:szCs w:val="10"/>
          <w:color w:val="auto"/>
        </w:rPr>
        <w:t>epurchase of</w:t>
      </w:r>
      <w:r>
        <w:rPr>
          <w:rFonts w:ascii="Times New Roman" w:cs="Times New Roman" w:eastAsia="Times New Roman" w:hAnsi="Times New Roman"/>
          <w:sz w:val="16"/>
          <w:szCs w:val="16"/>
          <w:color w:val="auto"/>
        </w:rPr>
        <w:t xml:space="preserve"> N</w:t>
      </w:r>
      <w:r>
        <w:rPr>
          <w:rFonts w:ascii="Times New Roman" w:cs="Times New Roman" w:eastAsia="Times New Roman" w:hAnsi="Times New Roman"/>
          <w:sz w:val="10"/>
          <w:szCs w:val="10"/>
          <w:color w:val="auto"/>
        </w:rPr>
        <w:t>otes at</w:t>
      </w:r>
      <w:r>
        <w:rPr>
          <w:rFonts w:ascii="Times New Roman" w:cs="Times New Roman" w:eastAsia="Times New Roman" w:hAnsi="Times New Roman"/>
          <w:sz w:val="16"/>
          <w:szCs w:val="16"/>
          <w:color w:val="auto"/>
        </w:rPr>
        <w:t xml:space="preserve"> O</w:t>
      </w:r>
      <w:r>
        <w:rPr>
          <w:rFonts w:ascii="Times New Roman" w:cs="Times New Roman" w:eastAsia="Times New Roman" w:hAnsi="Times New Roman"/>
          <w:sz w:val="10"/>
          <w:szCs w:val="10"/>
          <w:color w:val="auto"/>
        </w:rPr>
        <w:t>ption of</w:t>
      </w:r>
      <w:r>
        <w:rPr>
          <w:rFonts w:ascii="Times New Roman" w:cs="Times New Roman" w:eastAsia="Times New Roman" w:hAnsi="Times New Roman"/>
          <w:sz w:val="16"/>
          <w:szCs w:val="16"/>
          <w:color w:val="auto"/>
        </w:rPr>
        <w:t xml:space="preserve"> H</w:t>
      </w:r>
      <w:r>
        <w:rPr>
          <w:rFonts w:ascii="Times New Roman" w:cs="Times New Roman" w:eastAsia="Times New Roman" w:hAnsi="Times New Roman"/>
          <w:sz w:val="10"/>
          <w:szCs w:val="10"/>
          <w:color w:val="auto"/>
        </w:rPr>
        <w:t>olders</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15.01. </w:t>
      </w:r>
      <w:r>
        <w:rPr>
          <w:rFonts w:ascii="Times New Roman" w:cs="Times New Roman" w:eastAsia="Times New Roman" w:hAnsi="Times New Roman"/>
          <w:sz w:val="16"/>
          <w:szCs w:val="16"/>
          <w:i w:val="1"/>
          <w:iCs w:val="1"/>
          <w:color w:val="auto"/>
        </w:rPr>
        <w:t>[Intentionally Omitted]</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382"/>
        <w:spacing w:after="0" w:line="253" w:lineRule="auto"/>
        <w:rPr>
          <w:sz w:val="20"/>
          <w:szCs w:val="20"/>
          <w:color w:val="auto"/>
        </w:rPr>
      </w:pPr>
      <w:r>
        <w:rPr>
          <w:rFonts w:ascii="Times New Roman" w:cs="Times New Roman" w:eastAsia="Times New Roman" w:hAnsi="Times New Roman"/>
          <w:sz w:val="16"/>
          <w:szCs w:val="16"/>
          <w:color w:val="auto"/>
        </w:rPr>
        <w:t xml:space="preserve">Section 15.02. </w:t>
      </w:r>
      <w:r>
        <w:rPr>
          <w:rFonts w:ascii="Times New Roman" w:cs="Times New Roman" w:eastAsia="Times New Roman" w:hAnsi="Times New Roman"/>
          <w:sz w:val="16"/>
          <w:szCs w:val="16"/>
          <w:i w:val="1"/>
          <w:iCs w:val="1"/>
          <w:color w:val="auto"/>
        </w:rPr>
        <w:t>Repurchase at Option of Holders Upon a Fundamental Change.</w:t>
      </w:r>
      <w:r>
        <w:rPr>
          <w:rFonts w:ascii="Times New Roman" w:cs="Times New Roman" w:eastAsia="Times New Roman" w:hAnsi="Times New Roman"/>
          <w:sz w:val="16"/>
          <w:szCs w:val="16"/>
          <w:color w:val="auto"/>
        </w:rPr>
        <w:t xml:space="preserve"> (a) If a Fundamental Change occurs at any time prior to the Maturity Date, each Holder shall have the right, at such Holder’s option, to require the Company to repurchase for cash all of such Holder’s Notes, or any portion of the principal amount thereof properly surrendered and not validly withdrawn pursuant to Section 15.03 that is equal to $1,000 or an integral multiple of $1,000, on the date (the “</w:t>
      </w:r>
      <w:r>
        <w:rPr>
          <w:rFonts w:ascii="Times New Roman" w:cs="Times New Roman" w:eastAsia="Times New Roman" w:hAnsi="Times New Roman"/>
          <w:sz w:val="16"/>
          <w:szCs w:val="16"/>
          <w:b w:val="1"/>
          <w:bCs w:val="1"/>
          <w:color w:val="auto"/>
        </w:rPr>
        <w:t>Fundamental Change Repurchase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Date</w:t>
      </w:r>
      <w:r>
        <w:rPr>
          <w:rFonts w:ascii="Times New Roman" w:cs="Times New Roman" w:eastAsia="Times New Roman" w:hAnsi="Times New Roman"/>
          <w:sz w:val="16"/>
          <w:szCs w:val="16"/>
          <w:color w:val="auto"/>
        </w:rPr>
        <w:t>”) specified by the Company that is not less than 20 Business Days or more than 35 Business Days following the date of the Fundamental Change Company Notice at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repurchase price equal to 100% of the principal amount thereof,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accrued and unpaid interest thereon to, but excluding, the Fundamental Change Repurchase Date (the “</w:t>
      </w:r>
      <w:r>
        <w:rPr>
          <w:rFonts w:ascii="Times New Roman" w:cs="Times New Roman" w:eastAsia="Times New Roman" w:hAnsi="Times New Roman"/>
          <w:sz w:val="16"/>
          <w:szCs w:val="16"/>
          <w:b w:val="1"/>
          <w:bCs w:val="1"/>
          <w:color w:val="auto"/>
        </w:rPr>
        <w:t>Fundamental Change Repurchase Price</w:t>
      </w:r>
      <w:r>
        <w:rPr>
          <w:rFonts w:ascii="Times New Roman" w:cs="Times New Roman" w:eastAsia="Times New Roman" w:hAnsi="Times New Roman"/>
          <w:sz w:val="16"/>
          <w:szCs w:val="16"/>
          <w:color w:val="auto"/>
        </w:rPr>
        <w:t>”), unless the Fundamental Change Repurchase Date falls after a Regular Record Date but on or prior to the Interest Payment Date to which such Regular Record Date relates, in which case the Company shall instead pay, on or, at the Company’s election, before such Interest Payment Date, the full amount of accrued and unpaid interest to Holders of record as of such Regular Record Date, and the Fundamental Change Repurchase Price shall be equal to 100% of the principal amount of Notes to be repurchased pursuant to this Article 15.</w:t>
      </w:r>
    </w:p>
    <w:p>
      <w:pPr>
        <w:spacing w:after="0" w:line="168" w:lineRule="exact"/>
        <w:rPr>
          <w:sz w:val="20"/>
          <w:szCs w:val="20"/>
          <w:color w:val="auto"/>
        </w:rPr>
      </w:pPr>
    </w:p>
    <w:p>
      <w:pPr>
        <w:ind w:left="1360" w:hanging="217"/>
        <w:spacing w:after="0"/>
        <w:tabs>
          <w:tab w:leader="none" w:pos="136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Repurchases of Notes under this Section 15.02 shall be made, at the option of the Holder thereof, upon:</w:t>
      </w:r>
    </w:p>
    <w:p>
      <w:pPr>
        <w:spacing w:after="0" w:line="196" w:lineRule="exact"/>
        <w:rPr>
          <w:rFonts w:ascii="Times New Roman" w:cs="Times New Roman" w:eastAsia="Times New Roman" w:hAnsi="Times New Roman"/>
          <w:sz w:val="16"/>
          <w:szCs w:val="16"/>
          <w:color w:val="auto"/>
        </w:rPr>
      </w:pPr>
    </w:p>
    <w:p>
      <w:pPr>
        <w:jc w:val="both"/>
        <w:ind w:right="20" w:firstLine="1716"/>
        <w:spacing w:after="0" w:line="260" w:lineRule="auto"/>
        <w:tabs>
          <w:tab w:leader="none" w:pos="1911" w:val="left"/>
        </w:tabs>
        <w:numPr>
          <w:ilvl w:val="1"/>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delivery to the Paying Agent by a Holder of a duly completed notice (the “</w:t>
      </w:r>
      <w:r>
        <w:rPr>
          <w:rFonts w:ascii="Times New Roman" w:cs="Times New Roman" w:eastAsia="Times New Roman" w:hAnsi="Times New Roman"/>
          <w:sz w:val="16"/>
          <w:szCs w:val="16"/>
          <w:b w:val="1"/>
          <w:bCs w:val="1"/>
          <w:color w:val="auto"/>
        </w:rPr>
        <w:t>Fundamental Change Repurchase Notice</w:t>
      </w:r>
      <w:r>
        <w:rPr>
          <w:rFonts w:ascii="Times New Roman" w:cs="Times New Roman" w:eastAsia="Times New Roman" w:hAnsi="Times New Roman"/>
          <w:sz w:val="16"/>
          <w:szCs w:val="16"/>
          <w:color w:val="auto"/>
        </w:rPr>
        <w:t>”) in the form set forth in Attachment 2 to the Form of Note attached hereto as Exhibit A, if the Notes are Physical Notes, or in compliance with the Depositary’s procedures for surrendering interests in Global Notes, if the Notes are Global Notes, in each case, on or before the close of business on the Business Day immediately preceding the Fundamental Change Repurchase Date; and</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93" w:name="page94"/>
    <w:bookmarkEnd w:id="93"/>
    <w:p>
      <w:pPr>
        <w:jc w:val="both"/>
        <w:ind w:firstLine="1716"/>
        <w:spacing w:after="0" w:line="259" w:lineRule="auto"/>
        <w:tabs>
          <w:tab w:leader="none" w:pos="1967"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delivery of the Notes, if the Notes are Physical Notes, to the Paying Agent at any time after delivery of the Fundamental Change Repurchase Notice (together with all necessary endorsements for transfer) at the Corporate Trust Office of the Paying Agent, or book-entry transfer of the Notes, if the Notes are Global Notes, in compliance with the procedures of the Depositary, in each case, such delivery or transfer being a condition to receipt by the Holder of the Fundamental Change Repurchase Price therefor.</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The Fundamental Change Repurchase Notice in respect of any Physical Notes to be repurchased shall state:</w:t>
      </w:r>
    </w:p>
    <w:p>
      <w:pPr>
        <w:spacing w:after="0" w:line="198" w:lineRule="exact"/>
        <w:rPr>
          <w:sz w:val="20"/>
          <w:szCs w:val="20"/>
          <w:color w:val="auto"/>
        </w:rPr>
      </w:pPr>
    </w:p>
    <w:p>
      <w:pPr>
        <w:ind w:left="600" w:hanging="222"/>
        <w:spacing w:after="0"/>
        <w:tabs>
          <w:tab w:leader="none" w:pos="60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Physical Notes have been issued the certificate numbers of the Notes to be delivered for repurchase;</w:t>
      </w:r>
    </w:p>
    <w:p>
      <w:pPr>
        <w:spacing w:after="0" w:line="198" w:lineRule="exact"/>
        <w:rPr>
          <w:rFonts w:ascii="Times New Roman" w:cs="Times New Roman" w:eastAsia="Times New Roman" w:hAnsi="Times New Roman"/>
          <w:sz w:val="16"/>
          <w:szCs w:val="16"/>
          <w:color w:val="auto"/>
        </w:rPr>
      </w:pPr>
    </w:p>
    <w:p>
      <w:pPr>
        <w:ind w:left="600" w:hanging="222"/>
        <w:spacing w:after="0"/>
        <w:tabs>
          <w:tab w:leader="none" w:pos="60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portion of the principal amount of Notes to be repurchased, which must be $1,000 or an integral multiple thereof; and</w:t>
      </w:r>
    </w:p>
    <w:p>
      <w:pPr>
        <w:spacing w:after="0" w:line="198" w:lineRule="exact"/>
        <w:rPr>
          <w:rFonts w:ascii="Times New Roman" w:cs="Times New Roman" w:eastAsia="Times New Roman" w:hAnsi="Times New Roman"/>
          <w:sz w:val="16"/>
          <w:szCs w:val="16"/>
          <w:color w:val="auto"/>
        </w:rPr>
      </w:pPr>
    </w:p>
    <w:p>
      <w:pPr>
        <w:ind w:left="600" w:hanging="222"/>
        <w:spacing w:after="0"/>
        <w:tabs>
          <w:tab w:leader="none" w:pos="60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the Notes are to be repurchased by the Company pursuant to the applicable provisions of the Notes and this Indenture.</w:t>
      </w:r>
    </w:p>
    <w:p>
      <w:pPr>
        <w:spacing w:after="0" w:line="198" w:lineRule="exact"/>
        <w:rPr>
          <w:sz w:val="20"/>
          <w:szCs w:val="20"/>
          <w:color w:val="auto"/>
        </w:rPr>
      </w:pPr>
    </w:p>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If the Notes are Global Notes, to exercise the Fundamental Change repurchase right, Holders must surrender their Notes in accordance with applicable Depositary procedures.</w:t>
      </w:r>
    </w:p>
    <w:p>
      <w:pPr>
        <w:spacing w:after="0" w:line="144" w:lineRule="exact"/>
        <w:rPr>
          <w:sz w:val="20"/>
          <w:szCs w:val="20"/>
          <w:color w:val="auto"/>
        </w:rPr>
      </w:pPr>
    </w:p>
    <w:p>
      <w:pPr>
        <w:jc w:val="both"/>
        <w:ind w:right="20" w:firstLine="382"/>
        <w:spacing w:after="0" w:line="265" w:lineRule="auto"/>
        <w:rPr>
          <w:sz w:val="20"/>
          <w:szCs w:val="20"/>
          <w:color w:val="auto"/>
        </w:rPr>
      </w:pPr>
      <w:r>
        <w:rPr>
          <w:rFonts w:ascii="Times New Roman" w:cs="Times New Roman" w:eastAsia="Times New Roman" w:hAnsi="Times New Roman"/>
          <w:sz w:val="16"/>
          <w:szCs w:val="16"/>
          <w:color w:val="auto"/>
        </w:rPr>
        <w:t>Notwithstanding anything herein to the contrary, any Holder delivering to the Paying Agent the Fundamental Change Repurchase Notice contemplated by this Section 15.02 shall have the right to withdraw, in whole or in part, such Fundamental Change Repurchase Notice at any time prior to the close of business on the Business Day immediately preceding the Fundamental Change Repurchase Date by delivery of a written notice of withdrawal to the Paying Agent in accordance with Section 15.03.</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The Paying Agent shall promptly notify the Company of the receipt by it of any Fundamental Change Repurchase Notice or written notice of withdrawal thereof.</w:t>
      </w:r>
    </w:p>
    <w:p>
      <w:pPr>
        <w:spacing w:after="0" w:line="202" w:lineRule="exact"/>
        <w:rPr>
          <w:sz w:val="20"/>
          <w:szCs w:val="20"/>
          <w:color w:val="auto"/>
        </w:rPr>
      </w:pPr>
    </w:p>
    <w:p>
      <w:pPr>
        <w:jc w:val="both"/>
        <w:ind w:firstLine="1143"/>
        <w:spacing w:after="0" w:line="235" w:lineRule="auto"/>
        <w:tabs>
          <w:tab w:leader="none" w:pos="1364"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or before the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Business Day after the occurrence of the effective date of a Fundamental Change, the Company shall provide to all Holders and the Trustee, the Conversion Agent (if other than the Trustee) and the Paying Agent (if other than the Trustee) a written notice (the “</w:t>
      </w:r>
      <w:r>
        <w:rPr>
          <w:rFonts w:ascii="Times New Roman" w:cs="Times New Roman" w:eastAsia="Times New Roman" w:hAnsi="Times New Roman"/>
          <w:sz w:val="16"/>
          <w:szCs w:val="16"/>
          <w:b w:val="1"/>
          <w:bCs w:val="1"/>
          <w:color w:val="auto"/>
        </w:rPr>
        <w:t>Fundamental Change Company Notice</w:t>
      </w:r>
      <w:r>
        <w:rPr>
          <w:rFonts w:ascii="Times New Roman" w:cs="Times New Roman" w:eastAsia="Times New Roman" w:hAnsi="Times New Roman"/>
          <w:sz w:val="16"/>
          <w:szCs w:val="16"/>
          <w:color w:val="auto"/>
        </w:rPr>
        <w:t>”) of the occurrence of the effective date of the Fundamental Change and of the repurchase right at the option of the Holders arising as a result thereof. In the case of Physical Notes, such notice shall be by first class mail or, in the case of Global Notes, such notice shall be delivered in accordance with the applicable procedures of the Depositary. Simultaneously with providing such notice, the Company shall publish such information on the Company’s website or through such other public medium as the Company may use at that time, including through the filing of a Form 8-K with the Commission. Each Fundamental Change Company Notice shall specify:</w:t>
      </w:r>
    </w:p>
    <w:p>
      <w:pPr>
        <w:spacing w:after="0" w:line="176" w:lineRule="exact"/>
        <w:rPr>
          <w:rFonts w:ascii="Times New Roman" w:cs="Times New Roman" w:eastAsia="Times New Roman" w:hAnsi="Times New Roman"/>
          <w:sz w:val="16"/>
          <w:szCs w:val="16"/>
          <w:color w:val="auto"/>
        </w:rPr>
      </w:pPr>
    </w:p>
    <w:p>
      <w:pPr>
        <w:ind w:left="1900" w:hanging="184"/>
        <w:spacing w:after="0"/>
        <w:tabs>
          <w:tab w:leader="none" w:pos="1900" w:val="left"/>
        </w:tabs>
        <w:numPr>
          <w:ilvl w:val="1"/>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events causing the Fundamental Change;</w:t>
      </w:r>
    </w:p>
    <w:p>
      <w:pPr>
        <w:spacing w:after="0" w:line="198" w:lineRule="exact"/>
        <w:rPr>
          <w:rFonts w:ascii="Times New Roman" w:cs="Times New Roman" w:eastAsia="Times New Roman" w:hAnsi="Times New Roman"/>
          <w:sz w:val="16"/>
          <w:szCs w:val="16"/>
          <w:color w:val="auto"/>
        </w:rPr>
      </w:pPr>
    </w:p>
    <w:p>
      <w:pPr>
        <w:ind w:left="1960" w:hanging="244"/>
        <w:spacing w:after="0"/>
        <w:tabs>
          <w:tab w:leader="none" w:pos="1960" w:val="left"/>
        </w:tabs>
        <w:numPr>
          <w:ilvl w:val="1"/>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effective date of the Fundamental Change;</w:t>
      </w:r>
    </w:p>
    <w:p>
      <w:pPr>
        <w:spacing w:after="0" w:line="198" w:lineRule="exact"/>
        <w:rPr>
          <w:rFonts w:ascii="Times New Roman" w:cs="Times New Roman" w:eastAsia="Times New Roman" w:hAnsi="Times New Roman"/>
          <w:sz w:val="16"/>
          <w:szCs w:val="16"/>
          <w:color w:val="auto"/>
        </w:rPr>
      </w:pPr>
    </w:p>
    <w:p>
      <w:pPr>
        <w:ind w:left="2000" w:hanging="284"/>
        <w:spacing w:after="0"/>
        <w:tabs>
          <w:tab w:leader="none" w:pos="2000" w:val="left"/>
        </w:tabs>
        <w:numPr>
          <w:ilvl w:val="1"/>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last date on which a Holder may exercise the repurchase right pursuant to this Article 15;</w:t>
      </w:r>
    </w:p>
    <w:p>
      <w:pPr>
        <w:spacing w:after="0" w:line="198" w:lineRule="exact"/>
        <w:rPr>
          <w:rFonts w:ascii="Times New Roman" w:cs="Times New Roman" w:eastAsia="Times New Roman" w:hAnsi="Times New Roman"/>
          <w:sz w:val="16"/>
          <w:szCs w:val="16"/>
          <w:color w:val="auto"/>
        </w:rPr>
      </w:pPr>
    </w:p>
    <w:p>
      <w:pPr>
        <w:ind w:left="1980" w:hanging="264"/>
        <w:spacing w:after="0"/>
        <w:tabs>
          <w:tab w:leader="none" w:pos="1980" w:val="left"/>
        </w:tabs>
        <w:numPr>
          <w:ilvl w:val="1"/>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Fundamental Change Repurchase Price;</w:t>
      </w:r>
    </w:p>
    <w:p>
      <w:pPr>
        <w:spacing w:after="0" w:line="198" w:lineRule="exact"/>
        <w:rPr>
          <w:rFonts w:ascii="Times New Roman" w:cs="Times New Roman" w:eastAsia="Times New Roman" w:hAnsi="Times New Roman"/>
          <w:sz w:val="16"/>
          <w:szCs w:val="16"/>
          <w:color w:val="auto"/>
        </w:rPr>
      </w:pPr>
    </w:p>
    <w:p>
      <w:pPr>
        <w:ind w:left="1940" w:hanging="224"/>
        <w:spacing w:after="0"/>
        <w:tabs>
          <w:tab w:leader="none" w:pos="1940" w:val="left"/>
        </w:tabs>
        <w:numPr>
          <w:ilvl w:val="1"/>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Fundamental Change Repurchase Date;</w:t>
      </w:r>
    </w:p>
    <w:p>
      <w:pPr>
        <w:spacing w:after="0" w:line="198" w:lineRule="exact"/>
        <w:rPr>
          <w:rFonts w:ascii="Times New Roman" w:cs="Times New Roman" w:eastAsia="Times New Roman" w:hAnsi="Times New Roman"/>
          <w:sz w:val="16"/>
          <w:szCs w:val="16"/>
          <w:color w:val="auto"/>
        </w:rPr>
      </w:pPr>
    </w:p>
    <w:p>
      <w:pPr>
        <w:ind w:left="1980" w:hanging="264"/>
        <w:spacing w:after="0"/>
        <w:tabs>
          <w:tab w:leader="none" w:pos="1980" w:val="left"/>
        </w:tabs>
        <w:numPr>
          <w:ilvl w:val="1"/>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name and address of the Paying Agent and the Conversion Agent, if applicable;</w:t>
      </w:r>
    </w:p>
    <w:p>
      <w:pPr>
        <w:spacing w:after="0" w:line="198" w:lineRule="exact"/>
        <w:rPr>
          <w:rFonts w:ascii="Times New Roman" w:cs="Times New Roman" w:eastAsia="Times New Roman" w:hAnsi="Times New Roman"/>
          <w:sz w:val="16"/>
          <w:szCs w:val="16"/>
          <w:color w:val="auto"/>
        </w:rPr>
      </w:pPr>
    </w:p>
    <w:p>
      <w:pPr>
        <w:ind w:left="2040" w:hanging="324"/>
        <w:spacing w:after="0"/>
        <w:tabs>
          <w:tab w:leader="none" w:pos="2040" w:val="left"/>
        </w:tabs>
        <w:numPr>
          <w:ilvl w:val="1"/>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applicable, the Conversion Rate and any adjustments to the Conversion Rate as a result of a Fundamental Change (or related Make-Whole</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Fundamental Change);</w:t>
      </w:r>
    </w:p>
    <w:p>
      <w:pPr>
        <w:spacing w:after="0" w:line="181" w:lineRule="exact"/>
        <w:rPr>
          <w:rFonts w:ascii="Times New Roman" w:cs="Times New Roman" w:eastAsia="Times New Roman" w:hAnsi="Times New Roman"/>
          <w:sz w:val="16"/>
          <w:szCs w:val="16"/>
          <w:color w:val="auto"/>
        </w:rPr>
      </w:pPr>
    </w:p>
    <w:p>
      <w:pPr>
        <w:ind w:right="20" w:firstLine="1716"/>
        <w:spacing w:after="0" w:line="280" w:lineRule="auto"/>
        <w:tabs>
          <w:tab w:leader="none" w:pos="2079" w:val="left"/>
        </w:tabs>
        <w:numPr>
          <w:ilvl w:val="1"/>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the Notes with respect to which a Fundamental Change Repurchase Notice has been delivered by a Holder may be converted only if the Holder validly withdraws the Fundamental Change Repurchase Notice in accordance with the terms of this Indenture; and</w:t>
      </w:r>
    </w:p>
    <w:p>
      <w:pPr>
        <w:spacing w:after="0" w:line="144" w:lineRule="exact"/>
        <w:rPr>
          <w:rFonts w:ascii="Times New Roman" w:cs="Times New Roman" w:eastAsia="Times New Roman" w:hAnsi="Times New Roman"/>
          <w:sz w:val="16"/>
          <w:szCs w:val="16"/>
          <w:color w:val="auto"/>
        </w:rPr>
      </w:pPr>
    </w:p>
    <w:p>
      <w:pPr>
        <w:ind w:left="1980" w:hanging="264"/>
        <w:spacing w:after="0"/>
        <w:tabs>
          <w:tab w:leader="none" w:pos="1980" w:val="left"/>
        </w:tabs>
        <w:numPr>
          <w:ilvl w:val="1"/>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procedures that Holders must follow to require the Company to repurchase their Notes.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94" w:name="page95"/>
    <w:bookmarkEnd w:id="94"/>
    <w:p>
      <w:pPr>
        <w:jc w:val="both"/>
        <w:ind w:firstLine="382"/>
        <w:spacing w:after="0" w:line="280" w:lineRule="auto"/>
        <w:rPr>
          <w:sz w:val="20"/>
          <w:szCs w:val="20"/>
          <w:color w:val="auto"/>
        </w:rPr>
      </w:pPr>
      <w:r>
        <w:rPr>
          <w:rFonts w:ascii="Times New Roman" w:cs="Times New Roman" w:eastAsia="Times New Roman" w:hAnsi="Times New Roman"/>
          <w:sz w:val="16"/>
          <w:szCs w:val="16"/>
          <w:color w:val="auto"/>
        </w:rPr>
        <w:t>No failure of the Company to give the foregoing notices and no defect therein shall limit the Holders’ repurchase rights or affect the validity of the proceedings for the repurchase of the Notes pursuant to this Section 15.02.</w:t>
      </w:r>
    </w:p>
    <w:p>
      <w:pPr>
        <w:spacing w:after="0" w:line="142" w:lineRule="exact"/>
        <w:rPr>
          <w:sz w:val="20"/>
          <w:szCs w:val="20"/>
          <w:color w:val="auto"/>
        </w:rPr>
      </w:pPr>
    </w:p>
    <w:p>
      <w:pPr>
        <w:jc w:val="both"/>
        <w:ind w:firstLine="382"/>
        <w:spacing w:after="0" w:line="266" w:lineRule="auto"/>
        <w:rPr>
          <w:sz w:val="20"/>
          <w:szCs w:val="20"/>
          <w:color w:val="auto"/>
        </w:rPr>
      </w:pPr>
      <w:r>
        <w:rPr>
          <w:rFonts w:ascii="Times New Roman" w:cs="Times New Roman" w:eastAsia="Times New Roman" w:hAnsi="Times New Roman"/>
          <w:sz w:val="16"/>
          <w:szCs w:val="16"/>
          <w:color w:val="auto"/>
        </w:rPr>
        <w:t xml:space="preserve">At the Company’s written request, the Trustee shall give such notice in the Company’s name and at the Company’s expense;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in all cases, the text of such Fundamental Change Company Notice shall be prepared by the Company and delivered to the Trustee at least three Business Days prior (or such shorter period as shall be acceptable to the Trustee).</w:t>
      </w:r>
    </w:p>
    <w:p>
      <w:pPr>
        <w:spacing w:after="0" w:line="155" w:lineRule="exact"/>
        <w:rPr>
          <w:sz w:val="20"/>
          <w:szCs w:val="20"/>
          <w:color w:val="auto"/>
        </w:rPr>
      </w:pPr>
    </w:p>
    <w:p>
      <w:pPr>
        <w:jc w:val="both"/>
        <w:ind w:firstLine="1143"/>
        <w:spacing w:after="0" w:line="259" w:lineRule="auto"/>
        <w:tabs>
          <w:tab w:leader="none" w:pos="1373"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to the contrary in this Article 15, the Company shall not be required to repurchase, or to make an offer to repurchase, the Notes upon a Fundamental Change if a third party makes such an offer in the same manner, at the same time and otherwise in compliance with the requirements for an offer made by the Company as set forth in this Article 15 and such third party purchases all Notes properly surrendered and not validly withdrawn under its offer in the same manner, at the same time and otherwise in compliance with the requirements for an offer made by the Company as set forth above.</w:t>
      </w:r>
    </w:p>
    <w:p>
      <w:pPr>
        <w:spacing w:after="0" w:line="161" w:lineRule="exact"/>
        <w:rPr>
          <w:rFonts w:ascii="Times New Roman" w:cs="Times New Roman" w:eastAsia="Times New Roman" w:hAnsi="Times New Roman"/>
          <w:sz w:val="16"/>
          <w:szCs w:val="16"/>
          <w:color w:val="auto"/>
        </w:rPr>
      </w:pPr>
    </w:p>
    <w:p>
      <w:pPr>
        <w:jc w:val="both"/>
        <w:ind w:firstLine="1143"/>
        <w:spacing w:after="0" w:line="254" w:lineRule="auto"/>
        <w:tabs>
          <w:tab w:leader="none" w:pos="1364"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the foregoing, no Notes may be repurchased by the Company on any date at the option of the Holders upon a Fundamental Change if the principal amount of the Notes has been accelerated, and such acceleration has not been rescinded, on or prior to such date (except in the case of an acceleration resulting from a Default by the Company in the payment of the Fundamental Change Repurchase Price with respect to such Notes). The Paying Agent will promptly return to the respective Holders thereof any Physical Notes held by it during the acceleration of the Notes (except in the case of an acceleration resulting from a Default by the Company in the payment of the Fundamental Change Repurchase Price with respect to such Notes), or any instructions for book-entry transfer of the Notes in compliance with the applicable procedures of the Depositary shall be deemed to have been cancelled, and, upon such return or cancellation, as the case may be, the Fundamental Change Repurchase Notice with respect thereto shall be deemed to have been withdrawn.</w:t>
      </w:r>
    </w:p>
    <w:p>
      <w:pPr>
        <w:spacing w:after="0" w:line="165" w:lineRule="exact"/>
        <w:rPr>
          <w:sz w:val="20"/>
          <w:szCs w:val="20"/>
          <w:color w:val="auto"/>
        </w:rPr>
      </w:pPr>
    </w:p>
    <w:p>
      <w:pPr>
        <w:jc w:val="both"/>
        <w:ind w:right="20" w:firstLine="382"/>
        <w:spacing w:after="0" w:line="266" w:lineRule="auto"/>
        <w:rPr>
          <w:sz w:val="20"/>
          <w:szCs w:val="20"/>
          <w:color w:val="auto"/>
        </w:rPr>
      </w:pPr>
      <w:r>
        <w:rPr>
          <w:rFonts w:ascii="Times New Roman" w:cs="Times New Roman" w:eastAsia="Times New Roman" w:hAnsi="Times New Roman"/>
          <w:sz w:val="16"/>
          <w:szCs w:val="16"/>
          <w:color w:val="auto"/>
        </w:rPr>
        <w:t xml:space="preserve">Section 15.03. </w:t>
      </w:r>
      <w:r>
        <w:rPr>
          <w:rFonts w:ascii="Times New Roman" w:cs="Times New Roman" w:eastAsia="Times New Roman" w:hAnsi="Times New Roman"/>
          <w:sz w:val="16"/>
          <w:szCs w:val="16"/>
          <w:i w:val="1"/>
          <w:iCs w:val="1"/>
          <w:color w:val="auto"/>
        </w:rPr>
        <w:t>Withdrawal of Fundamental Change Repurchase Notice.</w:t>
      </w:r>
      <w:r>
        <w:rPr>
          <w:rFonts w:ascii="Times New Roman" w:cs="Times New Roman" w:eastAsia="Times New Roman" w:hAnsi="Times New Roman"/>
          <w:sz w:val="16"/>
          <w:szCs w:val="16"/>
          <w:color w:val="auto"/>
        </w:rPr>
        <w:t xml:space="preserve"> (a) A Fundamental Change Repurchase Notice may be withdrawn (in whole or in part) in respect of Physical Notes by means of a written notice of withdrawal received by the Corporate Trust Office of the Paying Agent in accordance with this Section 15.03 at any time prior to the close of business on the Business Day immediately preceding the Fundamental Change Repurchase Date, specifying:</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(i) the principal amount of the Notes with respect to which such notice of withdrawal is being submitted, which must be $1,000 or an integral</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multiple thereof,</w:t>
      </w:r>
    </w:p>
    <w:p>
      <w:pPr>
        <w:spacing w:after="0" w:line="182" w:lineRule="exact"/>
        <w:rPr>
          <w:sz w:val="20"/>
          <w:szCs w:val="20"/>
          <w:color w:val="auto"/>
        </w:rPr>
      </w:pPr>
    </w:p>
    <w:p>
      <w:pPr>
        <w:ind w:left="1960" w:hanging="244"/>
        <w:spacing w:after="0"/>
        <w:tabs>
          <w:tab w:leader="none" w:pos="1960"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certificate number of the Note in respect of which such notice of withdrawal is being submitted, and</w:t>
      </w:r>
    </w:p>
    <w:p>
      <w:pPr>
        <w:spacing w:after="0" w:line="198" w:lineRule="exact"/>
        <w:rPr>
          <w:rFonts w:ascii="Times New Roman" w:cs="Times New Roman" w:eastAsia="Times New Roman" w:hAnsi="Times New Roman"/>
          <w:sz w:val="16"/>
          <w:szCs w:val="16"/>
          <w:color w:val="auto"/>
        </w:rPr>
      </w:pPr>
    </w:p>
    <w:p>
      <w:pPr>
        <w:ind w:left="2000" w:hanging="284"/>
        <w:spacing w:after="0"/>
        <w:tabs>
          <w:tab w:leader="none" w:pos="2000"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principal amount, if any, of such Note that remains subject to the original Fundamental Change Repurchase Notice, which must be $1,000 or</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integral multiple thereof;</w:t>
      </w:r>
    </w:p>
    <w:p>
      <w:pPr>
        <w:spacing w:after="0" w:line="1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If the Notes are Global Notes, such notice of withdrawal must comply with applicable procedures of the Depositary.</w:t>
      </w:r>
    </w:p>
    <w:p>
      <w:pPr>
        <w:spacing w:after="0" w:line="196" w:lineRule="exact"/>
        <w:rPr>
          <w:sz w:val="20"/>
          <w:szCs w:val="20"/>
          <w:color w:val="auto"/>
        </w:rPr>
      </w:pPr>
    </w:p>
    <w:p>
      <w:pPr>
        <w:jc w:val="both"/>
        <w:ind w:firstLine="382"/>
        <w:spacing w:after="0" w:line="253" w:lineRule="auto"/>
        <w:rPr>
          <w:sz w:val="20"/>
          <w:szCs w:val="20"/>
          <w:color w:val="auto"/>
        </w:rPr>
      </w:pPr>
      <w:r>
        <w:rPr>
          <w:rFonts w:ascii="Times New Roman" w:cs="Times New Roman" w:eastAsia="Times New Roman" w:hAnsi="Times New Roman"/>
          <w:sz w:val="16"/>
          <w:szCs w:val="16"/>
          <w:color w:val="auto"/>
        </w:rPr>
        <w:t xml:space="preserve">Section 15.04. </w:t>
      </w:r>
      <w:r>
        <w:rPr>
          <w:rFonts w:ascii="Times New Roman" w:cs="Times New Roman" w:eastAsia="Times New Roman" w:hAnsi="Times New Roman"/>
          <w:sz w:val="16"/>
          <w:szCs w:val="16"/>
          <w:i w:val="1"/>
          <w:iCs w:val="1"/>
          <w:color w:val="auto"/>
        </w:rPr>
        <w:t>Deposit of Fundamental Change Repurchase Price.</w:t>
      </w:r>
      <w:r>
        <w:rPr>
          <w:rFonts w:ascii="Times New Roman" w:cs="Times New Roman" w:eastAsia="Times New Roman" w:hAnsi="Times New Roman"/>
          <w:sz w:val="16"/>
          <w:szCs w:val="16"/>
          <w:color w:val="auto"/>
        </w:rPr>
        <w:t xml:space="preserve"> (a) The Company will deposit with the Trustee (or other Paying Agent appointed by the Company, or if the Company is acting as its own Paying Agent, set aside, segregate and hold in trust as provided in Section 4.04) on or prior to 11:00 a.m., New York City time, on the Fundamental Change Repurchase Date an amount of money sufficient to repurchase all of the Notes to be repurchased at the appropriate Fundamental Change Repurchase Price. Subject to receipt of funds and/or Notes by the Trustee (or other Paying Agent appointed by the Company), payment for Notes surrendered for repurchase (and not validly withdrawn prior to the close of business on the Business Day immediately preceding the Fundamental Change Repurchase Date) will be made on the later of (i) the Fundamental Change Repurchase Date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the Holder has satisfied the conditions in Section 15.02) and (ii) the time of book-entry transfer or the delivery of such Note to the Trustee (or other Paying Agent appointed by the Company) by the Holder thereof in the manner required by Section 15.02 by mailing checks for the amount payable to the Holders of such Notes entitled thereto as they shall appear in the Note Register;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payments to the Depositary shall be made by wire transfer of immediately available funds to the account of the Depositary or its nominee. The Trustee shall, promptly after such payment and upon written demand by the Company, return to the Company any funds in excess of the Fundamental Change Repurchase Price.</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95" w:name="page96"/>
    <w:bookmarkEnd w:id="95"/>
    <w:p>
      <w:pPr>
        <w:jc w:val="both"/>
        <w:ind w:firstLine="1143"/>
        <w:spacing w:after="0" w:line="254" w:lineRule="auto"/>
        <w:tabs>
          <w:tab w:leader="none" w:pos="1373"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by 11:00 a.m. New York City time, on the Fundamental Change Repurchase Date, the Trustee (or other Paying Agent appointed by the Company) holds money sufficient to pay the Fundamental Change Repurchase Price (and, to the extent not included in the Fundamental Change Repurchase Price, accrued and unpaid interest, if applicable) of the Notes to be repurchased on such Fundamental Change Repurchase Date, then, with respect to the Notes that have been properly surrendered for repurchase and have not been validly withdrawn, (i) such Notes will cease to be outstanding, (ii) interest will cease to accrue on such Notes (whether or not book-entry transfer of the Notes has been made or whether or not the Notes have been delivered to the Trustee or Paying Agent) and (iii) all other rights of the Holders of such Notes will terminate (other than the right to receive the Fundamental Change Repurchase Price and, to the extent not included in the Fundamental Change Repurchase Price, accrued and unpaid interest, if applicable).</w:t>
      </w:r>
    </w:p>
    <w:p>
      <w:pPr>
        <w:spacing w:after="0" w:line="166" w:lineRule="exact"/>
        <w:rPr>
          <w:rFonts w:ascii="Times New Roman" w:cs="Times New Roman" w:eastAsia="Times New Roman" w:hAnsi="Times New Roman"/>
          <w:sz w:val="16"/>
          <w:szCs w:val="16"/>
          <w:color w:val="auto"/>
        </w:rPr>
      </w:pPr>
    </w:p>
    <w:p>
      <w:pPr>
        <w:ind w:right="20" w:firstLine="1143"/>
        <w:spacing w:after="0" w:line="280" w:lineRule="auto"/>
        <w:tabs>
          <w:tab w:leader="none" w:pos="1364"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surrender of a Note that is to be repurchased in part pursuant to Section 15.02, the Company shall execute, and the Trustee shall authenticate and deliver to the Holder, a new Note in an authorized denomination equal in principal amount to the unrepurchased portion of the Note surrendered.</w:t>
      </w:r>
    </w:p>
    <w:p>
      <w:pPr>
        <w:spacing w:after="0" w:line="142" w:lineRule="exact"/>
        <w:rPr>
          <w:sz w:val="20"/>
          <w:szCs w:val="20"/>
          <w:color w:val="auto"/>
        </w:rPr>
      </w:pPr>
    </w:p>
    <w:p>
      <w:pPr>
        <w:ind w:firstLine="382"/>
        <w:spacing w:after="0" w:line="283" w:lineRule="auto"/>
        <w:rPr>
          <w:sz w:val="20"/>
          <w:szCs w:val="20"/>
          <w:color w:val="auto"/>
        </w:rPr>
      </w:pPr>
      <w:r>
        <w:rPr>
          <w:rFonts w:ascii="Times New Roman" w:cs="Times New Roman" w:eastAsia="Times New Roman" w:hAnsi="Times New Roman"/>
          <w:sz w:val="16"/>
          <w:szCs w:val="16"/>
          <w:color w:val="auto"/>
        </w:rPr>
        <w:t xml:space="preserve">Section 15.05. </w:t>
      </w:r>
      <w:r>
        <w:rPr>
          <w:rFonts w:ascii="Times New Roman" w:cs="Times New Roman" w:eastAsia="Times New Roman" w:hAnsi="Times New Roman"/>
          <w:sz w:val="16"/>
          <w:szCs w:val="16"/>
          <w:i w:val="1"/>
          <w:iCs w:val="1"/>
          <w:color w:val="auto"/>
        </w:rPr>
        <w:t>Covenant to Comply with Applicable Laws Upon Repurchase of Notes.</w:t>
      </w:r>
      <w:r>
        <w:rPr>
          <w:rFonts w:ascii="Times New Roman" w:cs="Times New Roman" w:eastAsia="Times New Roman" w:hAnsi="Times New Roman"/>
          <w:sz w:val="16"/>
          <w:szCs w:val="16"/>
          <w:color w:val="auto"/>
        </w:rPr>
        <w:t xml:space="preserve"> In connection with any repurchase offer upon a Fundamental Change pursuant to this Article 15, the Company will, if required:</w:t>
      </w:r>
    </w:p>
    <w:p>
      <w:pPr>
        <w:spacing w:after="0" w:line="142" w:lineRule="exact"/>
        <w:rPr>
          <w:sz w:val="20"/>
          <w:szCs w:val="20"/>
          <w:color w:val="auto"/>
        </w:rPr>
      </w:pPr>
    </w:p>
    <w:p>
      <w:pPr>
        <w:ind w:left="1360" w:hanging="217"/>
        <w:spacing w:after="0"/>
        <w:tabs>
          <w:tab w:leader="none" w:pos="1360"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comply with the provisions of Rule 13e-4, Rule 14e-1 and any other tender offer rules under the Exchange Act that may then be applicable;</w:t>
      </w:r>
    </w:p>
    <w:p>
      <w:pPr>
        <w:spacing w:after="0" w:line="198"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 a Schedule TO or any other required schedule under the Exchange Act; and</w:t>
      </w:r>
    </w:p>
    <w:p>
      <w:pPr>
        <w:spacing w:after="0" w:line="198" w:lineRule="exact"/>
        <w:rPr>
          <w:rFonts w:ascii="Times New Roman" w:cs="Times New Roman" w:eastAsia="Times New Roman" w:hAnsi="Times New Roman"/>
          <w:sz w:val="16"/>
          <w:szCs w:val="16"/>
          <w:color w:val="auto"/>
        </w:rPr>
      </w:pPr>
    </w:p>
    <w:p>
      <w:pPr>
        <w:ind w:right="200" w:firstLine="1143"/>
        <w:spacing w:after="0" w:line="498" w:lineRule="auto"/>
        <w:tabs>
          <w:tab w:leader="none" w:pos="1364"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otherwise comply in all material respects with all federal and state securities laws in connection with any offer by the Company to repurchase the Notes; in each case, so as to permit the rights and obligations under this Article 15 to be exercised in the time and in the manner specified in this Article 15.</w:t>
      </w:r>
    </w:p>
    <w:p>
      <w:pPr>
        <w:spacing w:after="0" w:line="1" w:lineRule="exact"/>
        <w:rPr>
          <w:sz w:val="20"/>
          <w:szCs w:val="20"/>
          <w:color w:val="auto"/>
        </w:rPr>
      </w:pPr>
    </w:p>
    <w:p>
      <w:pPr>
        <w:jc w:val="both"/>
        <w:ind w:right="20" w:firstLine="382"/>
        <w:spacing w:after="0" w:line="265" w:lineRule="auto"/>
        <w:rPr>
          <w:sz w:val="20"/>
          <w:szCs w:val="20"/>
          <w:color w:val="auto"/>
        </w:rPr>
      </w:pPr>
      <w:r>
        <w:rPr>
          <w:rFonts w:ascii="Times New Roman" w:cs="Times New Roman" w:eastAsia="Times New Roman" w:hAnsi="Times New Roman"/>
          <w:sz w:val="16"/>
          <w:szCs w:val="16"/>
          <w:color w:val="auto"/>
        </w:rPr>
        <w:t>However, to the extent that the obligations of the Company to offer to repurchase and to repurchase Notes pursuant to the provisions described above conflict with any law or regulation adopted after the date of this Indenture and that is applicable to the Company, the Company’s compliance with such law or regulation shall not be considered to be a Default of those obligations.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16</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O</w:t>
      </w:r>
      <w:r>
        <w:rPr>
          <w:rFonts w:ascii="Times New Roman" w:cs="Times New Roman" w:eastAsia="Times New Roman" w:hAnsi="Times New Roman"/>
          <w:sz w:val="10"/>
          <w:szCs w:val="10"/>
          <w:color w:val="auto"/>
        </w:rPr>
        <w:t>ptional</w:t>
      </w:r>
      <w:r>
        <w:rPr>
          <w:rFonts w:ascii="Times New Roman" w:cs="Times New Roman" w:eastAsia="Times New Roman" w:hAnsi="Times New Roman"/>
          <w:sz w:val="16"/>
          <w:szCs w:val="16"/>
          <w:color w:val="auto"/>
        </w:rPr>
        <w:t xml:space="preserve"> R</w:t>
      </w:r>
      <w:r>
        <w:rPr>
          <w:rFonts w:ascii="Times New Roman" w:cs="Times New Roman" w:eastAsia="Times New Roman" w:hAnsi="Times New Roman"/>
          <w:sz w:val="10"/>
          <w:szCs w:val="10"/>
          <w:color w:val="auto"/>
        </w:rPr>
        <w:t>edemption</w:t>
      </w:r>
    </w:p>
    <w:p>
      <w:pPr>
        <w:spacing w:after="0" w:line="185" w:lineRule="exact"/>
        <w:rPr>
          <w:sz w:val="20"/>
          <w:szCs w:val="20"/>
          <w:color w:val="auto"/>
        </w:rPr>
      </w:pPr>
    </w:p>
    <w:p>
      <w:pPr>
        <w:jc w:val="both"/>
        <w:ind w:right="20" w:firstLine="382"/>
        <w:spacing w:after="0" w:line="229" w:lineRule="auto"/>
        <w:rPr>
          <w:sz w:val="20"/>
          <w:szCs w:val="20"/>
          <w:color w:val="auto"/>
        </w:rPr>
      </w:pPr>
      <w:r>
        <w:rPr>
          <w:rFonts w:ascii="Times New Roman" w:cs="Times New Roman" w:eastAsia="Times New Roman" w:hAnsi="Times New Roman"/>
          <w:sz w:val="16"/>
          <w:szCs w:val="16"/>
          <w:color w:val="auto"/>
        </w:rPr>
        <w:t xml:space="preserve">Section 16.01. </w:t>
      </w:r>
      <w:r>
        <w:rPr>
          <w:rFonts w:ascii="Times New Roman" w:cs="Times New Roman" w:eastAsia="Times New Roman" w:hAnsi="Times New Roman"/>
          <w:sz w:val="16"/>
          <w:szCs w:val="16"/>
          <w:i w:val="1"/>
          <w:iCs w:val="1"/>
          <w:color w:val="auto"/>
        </w:rPr>
        <w:t>Optional Redemption.</w:t>
      </w:r>
      <w:r>
        <w:rPr>
          <w:rFonts w:ascii="Times New Roman" w:cs="Times New Roman" w:eastAsia="Times New Roman" w:hAnsi="Times New Roman"/>
          <w:sz w:val="16"/>
          <w:szCs w:val="16"/>
          <w:color w:val="auto"/>
        </w:rPr>
        <w:t xml:space="preserve"> No sinking fund is provided for the Notes. On a Redemption Date occurring before the 21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6"/>
          <w:szCs w:val="16"/>
          <w:color w:val="auto"/>
        </w:rPr>
        <w:t xml:space="preserve"> Scheduled Trading Day before the Maturity Date, the Company may redeem (an “</w:t>
      </w:r>
      <w:r>
        <w:rPr>
          <w:rFonts w:ascii="Times New Roman" w:cs="Times New Roman" w:eastAsia="Times New Roman" w:hAnsi="Times New Roman"/>
          <w:sz w:val="16"/>
          <w:szCs w:val="16"/>
          <w:b w:val="1"/>
          <w:bCs w:val="1"/>
          <w:color w:val="auto"/>
        </w:rPr>
        <w:t>Optional Redemption</w:t>
      </w:r>
      <w:r>
        <w:rPr>
          <w:rFonts w:ascii="Times New Roman" w:cs="Times New Roman" w:eastAsia="Times New Roman" w:hAnsi="Times New Roman"/>
          <w:sz w:val="16"/>
          <w:szCs w:val="16"/>
          <w:color w:val="auto"/>
        </w:rPr>
        <w:t>”) for cash all or any part of the Notes, at a redemption price equal to 100% of the principal amount of the Notes plus the Applicable Premium as of, and accrued and unpaid interest to, the Redemption Date (subject to the right of Holders on the relevant Regular Record Date to receive interest due on the relevant Interest Payment Date).</w:t>
      </w:r>
    </w:p>
    <w:p>
      <w:pPr>
        <w:spacing w:after="0" w:line="174" w:lineRule="exact"/>
        <w:rPr>
          <w:sz w:val="20"/>
          <w:szCs w:val="20"/>
          <w:color w:val="auto"/>
        </w:rPr>
      </w:pPr>
    </w:p>
    <w:p>
      <w:pPr>
        <w:jc w:val="both"/>
        <w:ind w:firstLine="382"/>
        <w:spacing w:after="0" w:line="254" w:lineRule="auto"/>
        <w:rPr>
          <w:sz w:val="20"/>
          <w:szCs w:val="20"/>
          <w:color w:val="auto"/>
        </w:rPr>
      </w:pPr>
      <w:r>
        <w:rPr>
          <w:rFonts w:ascii="Times New Roman" w:cs="Times New Roman" w:eastAsia="Times New Roman" w:hAnsi="Times New Roman"/>
          <w:sz w:val="16"/>
          <w:szCs w:val="16"/>
          <w:color w:val="auto"/>
        </w:rPr>
        <w:t xml:space="preserve">Section 16.02. </w:t>
      </w:r>
      <w:r>
        <w:rPr>
          <w:rFonts w:ascii="Times New Roman" w:cs="Times New Roman" w:eastAsia="Times New Roman" w:hAnsi="Times New Roman"/>
          <w:sz w:val="16"/>
          <w:szCs w:val="16"/>
          <w:i w:val="1"/>
          <w:iCs w:val="1"/>
          <w:color w:val="auto"/>
        </w:rPr>
        <w:t>Notice of Optional Redemption; Selection of Notes</w:t>
      </w:r>
      <w:r>
        <w:rPr>
          <w:rFonts w:ascii="Times New Roman" w:cs="Times New Roman" w:eastAsia="Times New Roman" w:hAnsi="Times New Roman"/>
          <w:sz w:val="16"/>
          <w:szCs w:val="16"/>
          <w:color w:val="auto"/>
        </w:rPr>
        <w:t>. (a) In case the Company exercises its Optional Redemption right to redeem all or, as the case may be, any part of the Notes pursuant to Section 16.01, it shall fix a date for redemption (each, a “</w:t>
      </w:r>
      <w:r>
        <w:rPr>
          <w:rFonts w:ascii="Times New Roman" w:cs="Times New Roman" w:eastAsia="Times New Roman" w:hAnsi="Times New Roman"/>
          <w:sz w:val="16"/>
          <w:szCs w:val="16"/>
          <w:b w:val="1"/>
          <w:bCs w:val="1"/>
          <w:color w:val="auto"/>
        </w:rPr>
        <w:t>Redemption Date</w:t>
      </w:r>
      <w:r>
        <w:rPr>
          <w:rFonts w:ascii="Times New Roman" w:cs="Times New Roman" w:eastAsia="Times New Roman" w:hAnsi="Times New Roman"/>
          <w:sz w:val="16"/>
          <w:szCs w:val="16"/>
          <w:color w:val="auto"/>
        </w:rPr>
        <w:t>”) and it or, at its written request received by the Trustee not less than five Business Days prior to the Redemption Notice Date (or such shorter period of time as may be acceptable to the Trustee), the Trustee, in the name of and at the expense of the Company, shall deliver or cause to be delivered a written notice of such Optional Redemption (a “</w:t>
      </w:r>
      <w:r>
        <w:rPr>
          <w:rFonts w:ascii="Times New Roman" w:cs="Times New Roman" w:eastAsia="Times New Roman" w:hAnsi="Times New Roman"/>
          <w:sz w:val="16"/>
          <w:szCs w:val="16"/>
          <w:b w:val="1"/>
          <w:bCs w:val="1"/>
          <w:color w:val="auto"/>
        </w:rPr>
        <w:t>Notice of Redemption</w:t>
      </w:r>
      <w:r>
        <w:rPr>
          <w:rFonts w:ascii="Times New Roman" w:cs="Times New Roman" w:eastAsia="Times New Roman" w:hAnsi="Times New Roman"/>
          <w:sz w:val="16"/>
          <w:szCs w:val="16"/>
          <w:color w:val="auto"/>
        </w:rPr>
        <w:t xml:space="preserve">”) (in all cases, the text of such Notice of Redemption shall be prepared by the Company) not less than 35 nor more than 65 Scheduled Trading Days prior to the Redemption Date to each Holder of Notes so to be redeemed in whole or in part;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if the Company shall give such notice, it shall also give written notice of the Redemption Date to the Trustee, the Conversion Agent and the Paying Agent. In the case of any Optional Redemption in part, Holders of Notes not called for Optional Redemption will not be entitled to an increased Conversion Rate for such Notes in accordance with Section 14.03 and Section 16.02(c). The Redemption Date must be a Business Day.</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96" w:name="page97"/>
    <w:bookmarkEnd w:id="96"/>
    <w:p>
      <w:pPr>
        <w:jc w:val="both"/>
        <w:ind w:right="20" w:firstLine="1143"/>
        <w:spacing w:after="0" w:line="265" w:lineRule="auto"/>
        <w:tabs>
          <w:tab w:leader="none" w:pos="1373"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Notice of Redemption, if delivered in the manner herein provided, shall be conclusively presumed to have been duly given, whether or not the Holder receives such notice. In any case, failure to give such Notice of Redemption or any defect in the Notice of Redemption to the Holder of any Note designated for redemption as a whole or in part shall not affect the validity of the proceedings for the redemption of any other Note.</w:t>
      </w:r>
    </w:p>
    <w:p>
      <w:pPr>
        <w:spacing w:after="0" w:line="155"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Notice of Redemption shall specify:</w:t>
      </w:r>
    </w:p>
    <w:p>
      <w:pPr>
        <w:spacing w:after="0" w:line="198" w:lineRule="exact"/>
        <w:rPr>
          <w:rFonts w:ascii="Times New Roman" w:cs="Times New Roman" w:eastAsia="Times New Roman" w:hAnsi="Times New Roman"/>
          <w:sz w:val="16"/>
          <w:szCs w:val="16"/>
          <w:color w:val="auto"/>
        </w:rPr>
      </w:pPr>
    </w:p>
    <w:p>
      <w:pPr>
        <w:ind w:left="1900" w:hanging="184"/>
        <w:spacing w:after="0"/>
        <w:tabs>
          <w:tab w:leader="none" w:pos="1900"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Redemption Date (which must be a Business Day);</w:t>
      </w:r>
    </w:p>
    <w:p>
      <w:pPr>
        <w:spacing w:after="0" w:line="198" w:lineRule="exact"/>
        <w:rPr>
          <w:rFonts w:ascii="Times New Roman" w:cs="Times New Roman" w:eastAsia="Times New Roman" w:hAnsi="Times New Roman"/>
          <w:sz w:val="16"/>
          <w:szCs w:val="16"/>
          <w:color w:val="auto"/>
        </w:rPr>
      </w:pPr>
    </w:p>
    <w:p>
      <w:pPr>
        <w:ind w:left="1960" w:hanging="244"/>
        <w:spacing w:after="0"/>
        <w:tabs>
          <w:tab w:leader="none" w:pos="1960"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Redemption Price;</w:t>
      </w:r>
    </w:p>
    <w:p>
      <w:pPr>
        <w:spacing w:after="0" w:line="198" w:lineRule="exact"/>
        <w:rPr>
          <w:rFonts w:ascii="Times New Roman" w:cs="Times New Roman" w:eastAsia="Times New Roman" w:hAnsi="Times New Roman"/>
          <w:sz w:val="16"/>
          <w:szCs w:val="16"/>
          <w:color w:val="auto"/>
        </w:rPr>
      </w:pPr>
    </w:p>
    <w:p>
      <w:pPr>
        <w:ind w:right="20" w:firstLine="1716"/>
        <w:spacing w:after="0" w:line="280" w:lineRule="auto"/>
        <w:tabs>
          <w:tab w:leader="none" w:pos="1999"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on the Redemption Date, the Redemption Price will become due and payable upon each Note to be redeemed, and that interest thereon, if any, shall cease to accrue on and after the Redemption Date;</w:t>
      </w:r>
    </w:p>
    <w:p>
      <w:pPr>
        <w:spacing w:after="0" w:line="144" w:lineRule="exact"/>
        <w:rPr>
          <w:rFonts w:ascii="Times New Roman" w:cs="Times New Roman" w:eastAsia="Times New Roman" w:hAnsi="Times New Roman"/>
          <w:sz w:val="16"/>
          <w:szCs w:val="16"/>
          <w:color w:val="auto"/>
        </w:rPr>
      </w:pPr>
    </w:p>
    <w:p>
      <w:pPr>
        <w:ind w:left="1980" w:hanging="264"/>
        <w:spacing w:after="0"/>
        <w:tabs>
          <w:tab w:leader="none" w:pos="1980"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place or places where such Notes are to be surrendered for payment of the Redemption Price;</w:t>
      </w:r>
    </w:p>
    <w:p>
      <w:pPr>
        <w:spacing w:after="0" w:line="198" w:lineRule="exact"/>
        <w:rPr>
          <w:rFonts w:ascii="Times New Roman" w:cs="Times New Roman" w:eastAsia="Times New Roman" w:hAnsi="Times New Roman"/>
          <w:sz w:val="16"/>
          <w:szCs w:val="16"/>
          <w:color w:val="auto"/>
        </w:rPr>
      </w:pPr>
    </w:p>
    <w:p>
      <w:pPr>
        <w:ind w:firstLine="1716"/>
        <w:spacing w:after="0" w:line="280" w:lineRule="auto"/>
        <w:tabs>
          <w:tab w:leader="none" w:pos="1970"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Holders may surrender their Notes for conversion at any time prior to the close of business on the second Scheduled Trading Day immediately preceding the Redemption Date;</w:t>
      </w:r>
    </w:p>
    <w:p>
      <w:pPr>
        <w:spacing w:after="0" w:line="144" w:lineRule="exact"/>
        <w:rPr>
          <w:rFonts w:ascii="Times New Roman" w:cs="Times New Roman" w:eastAsia="Times New Roman" w:hAnsi="Times New Roman"/>
          <w:sz w:val="16"/>
          <w:szCs w:val="16"/>
          <w:color w:val="auto"/>
        </w:rPr>
      </w:pPr>
    </w:p>
    <w:p>
      <w:pPr>
        <w:ind w:left="1980" w:hanging="264"/>
        <w:spacing w:after="0"/>
        <w:tabs>
          <w:tab w:leader="none" w:pos="1980"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procedures a converting Holder must follow to convert its Notes and the forms and amounts of consideration payable by the Company upon</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conversion;</w:t>
      </w:r>
    </w:p>
    <w:p>
      <w:pPr>
        <w:spacing w:after="0" w:line="181" w:lineRule="exact"/>
        <w:rPr>
          <w:rFonts w:ascii="Times New Roman" w:cs="Times New Roman" w:eastAsia="Times New Roman" w:hAnsi="Times New Roman"/>
          <w:sz w:val="16"/>
          <w:szCs w:val="16"/>
          <w:color w:val="auto"/>
        </w:rPr>
      </w:pPr>
    </w:p>
    <w:p>
      <w:pPr>
        <w:ind w:left="2040" w:hanging="324"/>
        <w:spacing w:after="0"/>
        <w:tabs>
          <w:tab w:leader="none" w:pos="2040"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Conversion Rate and, if applicable, the number of Additional Shares added to the Conversion Rate in accordance with Section 14.03;</w:t>
      </w:r>
    </w:p>
    <w:p>
      <w:pPr>
        <w:spacing w:after="0" w:line="198" w:lineRule="exact"/>
        <w:rPr>
          <w:rFonts w:ascii="Times New Roman" w:cs="Times New Roman" w:eastAsia="Times New Roman" w:hAnsi="Times New Roman"/>
          <w:sz w:val="16"/>
          <w:szCs w:val="16"/>
          <w:color w:val="auto"/>
        </w:rPr>
      </w:pPr>
    </w:p>
    <w:p>
      <w:pPr>
        <w:ind w:left="2080" w:hanging="364"/>
        <w:spacing w:after="0"/>
        <w:tabs>
          <w:tab w:leader="none" w:pos="2080"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CUSIP, ISIN or other similar numbers, if any, assigned to such Notes; and</w:t>
      </w:r>
    </w:p>
    <w:p>
      <w:pPr>
        <w:spacing w:after="0" w:line="198" w:lineRule="exact"/>
        <w:rPr>
          <w:rFonts w:ascii="Times New Roman" w:cs="Times New Roman" w:eastAsia="Times New Roman" w:hAnsi="Times New Roman"/>
          <w:sz w:val="16"/>
          <w:szCs w:val="16"/>
          <w:color w:val="auto"/>
        </w:rPr>
      </w:pPr>
    </w:p>
    <w:p>
      <w:pPr>
        <w:jc w:val="both"/>
        <w:ind w:right="20" w:firstLine="1716"/>
        <w:spacing w:after="0" w:line="265" w:lineRule="auto"/>
        <w:tabs>
          <w:tab w:leader="none" w:pos="2002"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case any Note is to be redeemed in part only, the portion of the principal amount thereof to be redeemed and on and after the Redemption Date, upon surrender of such Note, a new Note in principal amount equal to the unredeemed portion thereof shall be issued, which principal amount must be $1.00 or an integral multiple of $1.00 in excess of $1.00.</w:t>
      </w:r>
    </w:p>
    <w:p>
      <w:pPr>
        <w:spacing w:after="0" w:line="15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A Notice of Redemption shall be irrevocable.</w:t>
      </w:r>
    </w:p>
    <w:p>
      <w:pPr>
        <w:spacing w:after="0" w:line="198" w:lineRule="exact"/>
        <w:rPr>
          <w:sz w:val="20"/>
          <w:szCs w:val="20"/>
          <w:color w:val="auto"/>
        </w:rPr>
      </w:pPr>
    </w:p>
    <w:p>
      <w:pPr>
        <w:jc w:val="both"/>
        <w:ind w:right="20" w:firstLine="1143"/>
        <w:spacing w:after="0" w:line="253" w:lineRule="auto"/>
        <w:tabs>
          <w:tab w:leader="none" w:pos="1379"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fewer than all of the outstanding Notes are to be redeemed and the Notes to be redeemed are Global Notes, the Notes to be redeemed shall be selected by the Depositary in accordance with the applicable rules and procedures of the Depositary. If fewer than all of the outstanding Notes are to be redeemed and the Notes to be redeemed are not Global Notes, the Trustee shall select the Notes or portions thereof to be redeemed (in principal amounts of $1,000 or multiples thereof) by lot, on a </w:t>
      </w:r>
      <w:r>
        <w:rPr>
          <w:rFonts w:ascii="Times New Roman" w:cs="Times New Roman" w:eastAsia="Times New Roman" w:hAnsi="Times New Roman"/>
          <w:sz w:val="16"/>
          <w:szCs w:val="16"/>
          <w:i w:val="1"/>
          <w:iCs w:val="1"/>
          <w:color w:val="auto"/>
        </w:rPr>
        <w:t>pro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rata </w:t>
      </w:r>
      <w:r>
        <w:rPr>
          <w:rFonts w:ascii="Times New Roman" w:cs="Times New Roman" w:eastAsia="Times New Roman" w:hAnsi="Times New Roman"/>
          <w:sz w:val="16"/>
          <w:szCs w:val="16"/>
          <w:color w:val="auto"/>
        </w:rPr>
        <w:t>basis or by another method the Trustee considers to be fair and appropriate. If any Note selected for partial redemption is submitted for conversion in part after such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selection, the portion of the Note submitted for conversion shall be deemed (so far as may be possible) to be the portion selected for redemption, subject, in the case of Notes represented by a Global Note, to the Depositary’s applicable procedures. If fewer than all of the outstanding Notes are to be redeemed and the Holder of any Note (or any owner</w:t>
      </w:r>
    </w:p>
    <w:p>
      <w:pPr>
        <w:jc w:val="both"/>
        <w:ind w:right="20"/>
        <w:spacing w:after="0" w:line="232" w:lineRule="auto"/>
        <w:rPr>
          <w:sz w:val="20"/>
          <w:szCs w:val="20"/>
          <w:color w:val="auto"/>
        </w:rPr>
      </w:pPr>
      <w:r>
        <w:rPr>
          <w:rFonts w:ascii="Times New Roman" w:cs="Times New Roman" w:eastAsia="Times New Roman" w:hAnsi="Times New Roman"/>
          <w:sz w:val="16"/>
          <w:szCs w:val="16"/>
          <w:color w:val="auto"/>
        </w:rPr>
        <w:t>of a beneficial interest in any Global Note) is reasonably not able to determine, before the close of business on the 45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scheduled Trading Day immediately before the relevant Redemption Date, whether such Note or beneficial interest, as applicable, is to be redeemed pursuant to such redemption, then such Holder or owner, as applicable, will be entitled to convert such Note or beneficial interest, as applicable, at any time before the close of business on the second Scheduled Trading Day prior to such Redemption Date, unless the Company defaults in the payment of the Redemption Price pursuant to Section 14.01(b)(v), in which case such Holder or owner, as applicable, will be entitled to convert such Note or beneficial interest, as applicable, until the Redemption Price has been paid or duly provided for, and each such conversion will be deemed to be of a Note called for redemption. The Trustee shall not be obligated to make any determination in connection with the foregoing.</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97" w:name="page98"/>
    <w:bookmarkEnd w:id="97"/>
    <w:p>
      <w:pPr>
        <w:jc w:val="both"/>
        <w:ind w:firstLine="382"/>
        <w:spacing w:after="0" w:line="266" w:lineRule="auto"/>
        <w:rPr>
          <w:sz w:val="20"/>
          <w:szCs w:val="20"/>
          <w:color w:val="auto"/>
        </w:rPr>
      </w:pPr>
      <w:r>
        <w:rPr>
          <w:rFonts w:ascii="Times New Roman" w:cs="Times New Roman" w:eastAsia="Times New Roman" w:hAnsi="Times New Roman"/>
          <w:sz w:val="16"/>
          <w:szCs w:val="16"/>
          <w:color w:val="auto"/>
        </w:rPr>
        <w:t xml:space="preserve">Section 16.03. </w:t>
      </w:r>
      <w:r>
        <w:rPr>
          <w:rFonts w:ascii="Times New Roman" w:cs="Times New Roman" w:eastAsia="Times New Roman" w:hAnsi="Times New Roman"/>
          <w:sz w:val="16"/>
          <w:szCs w:val="16"/>
          <w:i w:val="1"/>
          <w:iCs w:val="1"/>
          <w:color w:val="auto"/>
        </w:rPr>
        <w:t>Payment of Notes Called for Redemption</w:t>
      </w:r>
      <w:r>
        <w:rPr>
          <w:rFonts w:ascii="Times New Roman" w:cs="Times New Roman" w:eastAsia="Times New Roman" w:hAnsi="Times New Roman"/>
          <w:sz w:val="16"/>
          <w:szCs w:val="16"/>
          <w:color w:val="auto"/>
        </w:rPr>
        <w:t>. (a) If any Notice of Redemption has been given in respect of the Notes in accordance with Section 16.02, the Notes shall become due and payable on the Redemption Date at the place or places stated in the Notice of Redemption and at the applicable Redemption Price. On presentation and surrender of the Notes at the place or places stated in the Notice of Redemption, the Notes shall be paid and redeemed by the Company at the applicable Redemption Price.</w:t>
      </w:r>
    </w:p>
    <w:p>
      <w:pPr>
        <w:spacing w:after="0" w:line="155" w:lineRule="exact"/>
        <w:rPr>
          <w:sz w:val="20"/>
          <w:szCs w:val="20"/>
          <w:color w:val="auto"/>
        </w:rPr>
      </w:pPr>
    </w:p>
    <w:p>
      <w:pPr>
        <w:jc w:val="both"/>
        <w:ind w:firstLine="1143"/>
        <w:spacing w:after="0" w:line="257" w:lineRule="auto"/>
        <w:tabs>
          <w:tab w:leader="none" w:pos="1373"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11:00 a.m. New York City time on the Redemption Date, the Company shall deposit with the Paying Agent or, if the Company or a Subsidiary of the Company is acting as the Paying Agent, shall segregate and hold in trust as provided in Section 7.05 an amount of cash (in immediately available funds if deposited on the Redemption Date), sufficient to pay the Redemption Price of all of the Notes to be redeemed on such Redemption Date. Subject to receipt of funds by the Paying Agent, payment for the Notes to be redeemed shall be made on the Redemption Date for such Notes. The Paying Agent shall, promptly after such payment and upon written demand by the Company, return to the Company any funds in excess of the Redemption Price.</w:t>
      </w:r>
    </w:p>
    <w:p>
      <w:pPr>
        <w:spacing w:after="0" w:line="160" w:lineRule="exact"/>
        <w:rPr>
          <w:sz w:val="20"/>
          <w:szCs w:val="20"/>
          <w:color w:val="auto"/>
        </w:rPr>
      </w:pPr>
    </w:p>
    <w:p>
      <w:pPr>
        <w:jc w:val="both"/>
        <w:ind w:firstLine="382"/>
        <w:spacing w:after="0" w:line="266" w:lineRule="auto"/>
        <w:rPr>
          <w:sz w:val="20"/>
          <w:szCs w:val="20"/>
          <w:color w:val="auto"/>
        </w:rPr>
      </w:pPr>
      <w:r>
        <w:rPr>
          <w:rFonts w:ascii="Times New Roman" w:cs="Times New Roman" w:eastAsia="Times New Roman" w:hAnsi="Times New Roman"/>
          <w:sz w:val="16"/>
          <w:szCs w:val="16"/>
          <w:color w:val="auto"/>
        </w:rPr>
        <w:t xml:space="preserve">Section 16.04. </w:t>
      </w:r>
      <w:r>
        <w:rPr>
          <w:rFonts w:ascii="Times New Roman" w:cs="Times New Roman" w:eastAsia="Times New Roman" w:hAnsi="Times New Roman"/>
          <w:sz w:val="16"/>
          <w:szCs w:val="16"/>
          <w:i w:val="1"/>
          <w:iCs w:val="1"/>
          <w:color w:val="auto"/>
        </w:rPr>
        <w:t>Restrictions on Redemption.</w:t>
      </w:r>
      <w:r>
        <w:rPr>
          <w:rFonts w:ascii="Times New Roman" w:cs="Times New Roman" w:eastAsia="Times New Roman" w:hAnsi="Times New Roman"/>
          <w:sz w:val="16"/>
          <w:szCs w:val="16"/>
          <w:color w:val="auto"/>
        </w:rPr>
        <w:t xml:space="preserve"> No Notes may be redeemed on any date if the principal amount of the Notes has been accelerated in accordance with the terms of this Indenture, and such acceleration has not been rescinded, on or prior to the Redemption Date (except in the case of an acceleration resulting from a Default by the Company in the payment of the Redemption Price with respect to such Notes).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17 G</w:t>
      </w:r>
      <w:r>
        <w:rPr>
          <w:rFonts w:ascii="Times New Roman" w:cs="Times New Roman" w:eastAsia="Times New Roman" w:hAnsi="Times New Roman"/>
          <w:sz w:val="10"/>
          <w:szCs w:val="10"/>
          <w:color w:val="auto"/>
        </w:rPr>
        <w:t>uarantee</w:t>
      </w:r>
    </w:p>
    <w:p>
      <w:pPr>
        <w:spacing w:after="0" w:line="1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17.01. </w:t>
      </w:r>
      <w:r>
        <w:rPr>
          <w:rFonts w:ascii="Times New Roman" w:cs="Times New Roman" w:eastAsia="Times New Roman" w:hAnsi="Times New Roman"/>
          <w:sz w:val="16"/>
          <w:szCs w:val="16"/>
          <w:i w:val="1"/>
          <w:iCs w:val="1"/>
          <w:color w:val="auto"/>
        </w:rPr>
        <w:t>Guarantee</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jc w:val="both"/>
        <w:ind w:firstLine="382"/>
        <w:spacing w:after="0" w:line="253" w:lineRule="auto"/>
        <w:rPr>
          <w:sz w:val="20"/>
          <w:szCs w:val="20"/>
          <w:color w:val="auto"/>
        </w:rPr>
      </w:pPr>
      <w:r>
        <w:rPr>
          <w:rFonts w:ascii="Times New Roman" w:cs="Times New Roman" w:eastAsia="Times New Roman" w:hAnsi="Times New Roman"/>
          <w:sz w:val="16"/>
          <w:szCs w:val="16"/>
          <w:color w:val="auto"/>
        </w:rPr>
        <w:t>Subject to this Article 17, each of the Guarantors hereby, jointly and severally, unconditionally guarantees to each Holder of a Note authenticated and delivered by the Trustee and to the Trustee and its successors and assigns the Notes or the obligations of the Company hereunder or thereunder, that: (a) the principal of, premium (if any) and interest on the Notes will be promptly paid in full when due, whether at the Maturity Date, by acceleration, or otherwise, and interest on the overdue principal of and interest on the Notes, if any, if lawful, and all other obligations of the Company to the Holders or the Trustee hereunder or thereunder will be promptly paid in full or performed, all in accordance with the terms hereof and thereof; and (b) in case of any extension of time of payment or renewal of any Notes or any of such other obligations, that same will be promptly paid in full when due or performed in accordance with the terms of the extension or renewal, whether at the Maturity Date, by acceleration or otherwise. Failing payment when due of any amount so guaranteed or any performance so guaranteed for whatever reason, the Guarantors shall be jointly and severally obligated to pay the same immediately. Each Guarantor agrees that this is a guarantee of payment and not a guarantee of collection.</w:t>
      </w:r>
    </w:p>
    <w:p>
      <w:pPr>
        <w:spacing w:after="0" w:line="169" w:lineRule="exact"/>
        <w:rPr>
          <w:sz w:val="20"/>
          <w:szCs w:val="20"/>
          <w:color w:val="auto"/>
        </w:rPr>
      </w:pPr>
    </w:p>
    <w:p>
      <w:pPr>
        <w:jc w:val="both"/>
        <w:ind w:firstLine="382"/>
        <w:spacing w:after="0" w:line="255" w:lineRule="auto"/>
        <w:rPr>
          <w:sz w:val="20"/>
          <w:szCs w:val="20"/>
          <w:color w:val="auto"/>
        </w:rPr>
      </w:pPr>
      <w:r>
        <w:rPr>
          <w:rFonts w:ascii="Times New Roman" w:cs="Times New Roman" w:eastAsia="Times New Roman" w:hAnsi="Times New Roman"/>
          <w:sz w:val="16"/>
          <w:szCs w:val="16"/>
          <w:color w:val="auto"/>
        </w:rPr>
        <w:t>The Guarantors hereby agree that their obligations hereunder shall be unconditional, irrespective of the validity, regularity or enforceability of the Notes or this Indenture, the absence of any action to enforce the same, any waiver or consent by any Holder of the Notes with respect to any provisions hereof or thereof, the recovery of any judgment against the Company, any action to enforce the same or any other circumstance which might otherwise constitute a legal or equitable discharge or defense of a Guarantor. Each Guarantor hereby waives, to the extent permitted by applicable law, diligence, presentment, demand of payment, filing of claims with a court in the event of insolvency or bankruptcy of the Company, any right to require a proceeding first against the Company, protest, notice and all demands whatsoever and covenant that this Guarantee shall not be discharged except by complete performance of the obligations contained in the Notes and this Indenture.</w:t>
      </w:r>
    </w:p>
    <w:p>
      <w:pPr>
        <w:spacing w:after="0" w:line="165" w:lineRule="exact"/>
        <w:rPr>
          <w:sz w:val="20"/>
          <w:szCs w:val="20"/>
          <w:color w:val="auto"/>
        </w:rPr>
      </w:pPr>
    </w:p>
    <w:p>
      <w:pPr>
        <w:jc w:val="both"/>
        <w:ind w:firstLine="382"/>
        <w:spacing w:after="0" w:line="265" w:lineRule="auto"/>
        <w:rPr>
          <w:sz w:val="20"/>
          <w:szCs w:val="20"/>
          <w:color w:val="auto"/>
        </w:rPr>
      </w:pPr>
      <w:r>
        <w:rPr>
          <w:rFonts w:ascii="Times New Roman" w:cs="Times New Roman" w:eastAsia="Times New Roman" w:hAnsi="Times New Roman"/>
          <w:sz w:val="16"/>
          <w:szCs w:val="16"/>
          <w:color w:val="auto"/>
        </w:rPr>
        <w:t>If any Holder or the Trustee is required by any court or otherwise to return to the Company, the Guarantors or any custodian, trustee, liquidator or other similar official acting in relation to either the Company or the Guarantors, any amount paid by either to the Trustee or such Holder, this Guarantee, to the extent theretofore discharged, shall be reinstated in full force and effect.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98" w:name="page99"/>
    <w:bookmarkEnd w:id="98"/>
    <w:p>
      <w:pPr>
        <w:jc w:val="both"/>
        <w:ind w:firstLine="382"/>
        <w:spacing w:after="0" w:line="278" w:lineRule="auto"/>
        <w:rPr>
          <w:sz w:val="20"/>
          <w:szCs w:val="20"/>
          <w:color w:val="auto"/>
        </w:rPr>
      </w:pPr>
      <w:r>
        <w:rPr>
          <w:rFonts w:ascii="Times New Roman" w:cs="Times New Roman" w:eastAsia="Times New Roman" w:hAnsi="Times New Roman"/>
          <w:sz w:val="15"/>
          <w:szCs w:val="15"/>
          <w:color w:val="auto"/>
        </w:rPr>
        <w:t>Each Guarantor agrees that it shall not be entitled to any right of subrogation in relation to the Holders in respect of any obligations guaranteed hereby until payment in full of all obligations guaranteed hereby. Each Guarantor further agrees that, as between the Guarantors, on the one hand, and the Holders and the Trustee, on the other hand, (x) the maturity of the obligations guaranteed hereby may be accelerated as provided in Article Six hereof for the purposes of this Guarantee, notwithstanding any stay, injunction or other prohibition preventing such acceleration in respect of the obligations guaranteed hereby, and (y) in the event of any declaration of acceleration of such obligations as provided in Article Six hereof, such obligations (whether or not due and payable) shall forthwith become due and payable by the Guarantors for the purpose of this Guarantee.</w:t>
      </w:r>
    </w:p>
    <w:p>
      <w:pPr>
        <w:spacing w:after="0" w:line="148" w:lineRule="exact"/>
        <w:rPr>
          <w:sz w:val="20"/>
          <w:szCs w:val="20"/>
          <w:color w:val="auto"/>
        </w:rPr>
      </w:pPr>
    </w:p>
    <w:p>
      <w:pPr>
        <w:jc w:val="both"/>
        <w:ind w:firstLine="382"/>
        <w:spacing w:after="0" w:line="280" w:lineRule="auto"/>
        <w:rPr>
          <w:sz w:val="20"/>
          <w:szCs w:val="20"/>
          <w:color w:val="auto"/>
        </w:rPr>
      </w:pPr>
      <w:r>
        <w:rPr>
          <w:rFonts w:ascii="Times New Roman" w:cs="Times New Roman" w:eastAsia="Times New Roman" w:hAnsi="Times New Roman"/>
          <w:sz w:val="16"/>
          <w:szCs w:val="16"/>
          <w:color w:val="auto"/>
        </w:rPr>
        <w:t>If an Officer of a Guarantor whose signature is on this Indenture no longer holds that office at the time the Trustee authenticates any Note hereunder, this Guarantee shall be valid nevertheless.</w:t>
      </w:r>
    </w:p>
    <w:p>
      <w:pPr>
        <w:spacing w:after="0" w:line="144" w:lineRule="exact"/>
        <w:rPr>
          <w:sz w:val="20"/>
          <w:szCs w:val="20"/>
          <w:color w:val="auto"/>
        </w:rPr>
      </w:pPr>
    </w:p>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The delivery of any Note by the Trustee, after the authentication thereof hereunder, shall constitute due delivery of the Guarantee set forth in this Indenture on behalf of the Guarantors.</w:t>
      </w:r>
    </w:p>
    <w:p>
      <w:pPr>
        <w:spacing w:after="0" w:line="14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17.02. </w:t>
      </w:r>
      <w:r>
        <w:rPr>
          <w:rFonts w:ascii="Times New Roman" w:cs="Times New Roman" w:eastAsia="Times New Roman" w:hAnsi="Times New Roman"/>
          <w:sz w:val="16"/>
          <w:szCs w:val="16"/>
          <w:i w:val="1"/>
          <w:iCs w:val="1"/>
          <w:color w:val="auto"/>
        </w:rPr>
        <w:t>Limitation on Guarantor Liability</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jc w:val="both"/>
        <w:ind w:firstLine="382"/>
        <w:spacing w:after="0" w:line="253" w:lineRule="auto"/>
        <w:rPr>
          <w:sz w:val="20"/>
          <w:szCs w:val="20"/>
          <w:color w:val="auto"/>
        </w:rPr>
      </w:pPr>
      <w:r>
        <w:rPr>
          <w:rFonts w:ascii="Times New Roman" w:cs="Times New Roman" w:eastAsia="Times New Roman" w:hAnsi="Times New Roman"/>
          <w:sz w:val="16"/>
          <w:szCs w:val="16"/>
          <w:color w:val="auto"/>
        </w:rPr>
        <w:t>Each Guarantor, and by its acceptance of Notes, each Holder, hereby confirms that it is the intention of all such parties that the Guarantee of such Guarantor not constitute a fraudulent transfer or conveyance for purposes of Bankruptcy Law, the Uniform Fraudulent Conveyance Act, the Uniform Fraudulent Transfer Act or any similar federal or state law to the extent applicable to any Guarantee. To effectuate the foregoing intention, the Trustee, the Holders and the Guarantors hereby irrevocably agree that the obligations of such Guarantor will, after giving effect to such maximum amount and all other contingent and fixed liabilities of such Guarantor that are relevant under such laws, and after giving effect to any collections from, rights to receive contribution from or payments made by or on behalf of any other Guarantor in respect of the obligations of such other Guarantor under this Article Ten, result in the obligations of such Guarantor under its Guarantee not constituting a fraudulent transfer or conveyance. Each Guarantor that makes a payment for distribution under its Guarantee is entitled to a contribution from each other Guarantor in a pro rata amount based on the adjusted net assets of each Guarantor.</w:t>
      </w:r>
    </w:p>
    <w:p>
      <w:pPr>
        <w:spacing w:after="0" w:line="1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17.03. </w:t>
      </w:r>
      <w:r>
        <w:rPr>
          <w:rFonts w:ascii="Times New Roman" w:cs="Times New Roman" w:eastAsia="Times New Roman" w:hAnsi="Times New Roman"/>
          <w:sz w:val="16"/>
          <w:szCs w:val="16"/>
          <w:i w:val="1"/>
          <w:iCs w:val="1"/>
          <w:color w:val="auto"/>
        </w:rPr>
        <w:t>Release of Guarantees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Any Guarantee by a Subsidiary of the Notes shall provide by its terms that it (and all Liens securing such Guarantee) shall be automatically and unconditionally released and discharged, without any further action required on the part of the Trustee or any Holder, upon:</w:t>
      </w:r>
    </w:p>
    <w:p>
      <w:pPr>
        <w:spacing w:after="0" w:line="144" w:lineRule="exact"/>
        <w:rPr>
          <w:sz w:val="20"/>
          <w:szCs w:val="20"/>
          <w:color w:val="auto"/>
        </w:rPr>
      </w:pPr>
    </w:p>
    <w:p>
      <w:pPr>
        <w:ind w:left="1080" w:hanging="224"/>
        <w:spacing w:after="0"/>
        <w:tabs>
          <w:tab w:leader="none" w:pos="1080"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obligations under this Indenture being discharged in accordance with the terms of this Indenture; or</w:t>
      </w:r>
    </w:p>
    <w:p>
      <w:pPr>
        <w:spacing w:after="0" w:line="198" w:lineRule="exact"/>
        <w:rPr>
          <w:rFonts w:ascii="Times New Roman" w:cs="Times New Roman" w:eastAsia="Times New Roman" w:hAnsi="Times New Roman"/>
          <w:sz w:val="16"/>
          <w:szCs w:val="16"/>
          <w:color w:val="auto"/>
        </w:rPr>
      </w:pPr>
    </w:p>
    <w:p>
      <w:pPr>
        <w:jc w:val="both"/>
        <w:ind w:firstLine="856"/>
        <w:spacing w:after="0" w:line="265" w:lineRule="auto"/>
        <w:tabs>
          <w:tab w:leader="none" w:pos="1097"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sale, issuance or other disposition (by merger or otherwise) to any Person which is not a Subsidiary of the Company of (i) all or substantially all of the assets of such Subsidiary or (ii) Capital Stock of a Subsidiary such that such Subsidiary ceases to be a Subsidiary;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such sale or disposition of such Capital Stock is otherwise permitted by the terms of this Indenture.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18</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M</w:t>
      </w:r>
      <w:r>
        <w:rPr>
          <w:rFonts w:ascii="Times New Roman" w:cs="Times New Roman" w:eastAsia="Times New Roman" w:hAnsi="Times New Roman"/>
          <w:sz w:val="10"/>
          <w:szCs w:val="10"/>
          <w:color w:val="auto"/>
        </w:rPr>
        <w:t>iscellaneous</w:t>
      </w:r>
      <w:r>
        <w:rPr>
          <w:rFonts w:ascii="Times New Roman" w:cs="Times New Roman" w:eastAsia="Times New Roman" w:hAnsi="Times New Roman"/>
          <w:sz w:val="16"/>
          <w:szCs w:val="16"/>
          <w:color w:val="auto"/>
        </w:rPr>
        <w:t xml:space="preserve"> P</w:t>
      </w:r>
      <w:r>
        <w:rPr>
          <w:rFonts w:ascii="Times New Roman" w:cs="Times New Roman" w:eastAsia="Times New Roman" w:hAnsi="Times New Roman"/>
          <w:sz w:val="10"/>
          <w:szCs w:val="10"/>
          <w:color w:val="auto"/>
        </w:rPr>
        <w:t>rovisions</w:t>
      </w:r>
    </w:p>
    <w:p>
      <w:pPr>
        <w:spacing w:after="0" w:line="180" w:lineRule="exact"/>
        <w:rPr>
          <w:sz w:val="20"/>
          <w:szCs w:val="20"/>
          <w:color w:val="auto"/>
        </w:rPr>
      </w:pPr>
    </w:p>
    <w:p>
      <w:pPr>
        <w:jc w:val="both"/>
        <w:ind w:right="20" w:firstLine="382"/>
        <w:spacing w:after="0" w:line="283" w:lineRule="auto"/>
        <w:rPr>
          <w:sz w:val="20"/>
          <w:szCs w:val="20"/>
          <w:color w:val="auto"/>
        </w:rPr>
      </w:pPr>
      <w:r>
        <w:rPr>
          <w:rFonts w:ascii="Times New Roman" w:cs="Times New Roman" w:eastAsia="Times New Roman" w:hAnsi="Times New Roman"/>
          <w:sz w:val="16"/>
          <w:szCs w:val="16"/>
          <w:color w:val="auto"/>
        </w:rPr>
        <w:t xml:space="preserve">Section 18.01. </w:t>
      </w:r>
      <w:r>
        <w:rPr>
          <w:rFonts w:ascii="Times New Roman" w:cs="Times New Roman" w:eastAsia="Times New Roman" w:hAnsi="Times New Roman"/>
          <w:sz w:val="16"/>
          <w:szCs w:val="16"/>
          <w:i w:val="1"/>
          <w:iCs w:val="1"/>
          <w:color w:val="auto"/>
        </w:rPr>
        <w:t>Provisions Binding on Company’s Successors.</w:t>
      </w:r>
      <w:r>
        <w:rPr>
          <w:rFonts w:ascii="Times New Roman" w:cs="Times New Roman" w:eastAsia="Times New Roman" w:hAnsi="Times New Roman"/>
          <w:sz w:val="16"/>
          <w:szCs w:val="16"/>
          <w:color w:val="auto"/>
        </w:rPr>
        <w:t xml:space="preserve"> All the covenants, stipulations, promises and agreements of the Company contained in this Indenture shall bind its successors and assigns whether so expressed or not.</w:t>
      </w:r>
    </w:p>
    <w:p>
      <w:pPr>
        <w:spacing w:after="0" w:line="140" w:lineRule="exact"/>
        <w:rPr>
          <w:sz w:val="20"/>
          <w:szCs w:val="20"/>
          <w:color w:val="auto"/>
        </w:rPr>
      </w:pPr>
    </w:p>
    <w:p>
      <w:pPr>
        <w:jc w:val="both"/>
        <w:ind w:right="20" w:firstLine="382"/>
        <w:spacing w:after="0" w:line="266" w:lineRule="auto"/>
        <w:rPr>
          <w:sz w:val="20"/>
          <w:szCs w:val="20"/>
          <w:color w:val="auto"/>
        </w:rPr>
      </w:pPr>
      <w:r>
        <w:rPr>
          <w:rFonts w:ascii="Times New Roman" w:cs="Times New Roman" w:eastAsia="Times New Roman" w:hAnsi="Times New Roman"/>
          <w:sz w:val="16"/>
          <w:szCs w:val="16"/>
          <w:color w:val="auto"/>
        </w:rPr>
        <w:t xml:space="preserve">Section 18.02. </w:t>
      </w:r>
      <w:r>
        <w:rPr>
          <w:rFonts w:ascii="Times New Roman" w:cs="Times New Roman" w:eastAsia="Times New Roman" w:hAnsi="Times New Roman"/>
          <w:sz w:val="16"/>
          <w:szCs w:val="16"/>
          <w:i w:val="1"/>
          <w:iCs w:val="1"/>
          <w:color w:val="auto"/>
        </w:rPr>
        <w:t>Official Acts by Successor Corporation.</w:t>
      </w:r>
      <w:r>
        <w:rPr>
          <w:rFonts w:ascii="Times New Roman" w:cs="Times New Roman" w:eastAsia="Times New Roman" w:hAnsi="Times New Roman"/>
          <w:sz w:val="16"/>
          <w:szCs w:val="16"/>
          <w:color w:val="auto"/>
        </w:rPr>
        <w:t xml:space="preserve"> Any act or proceeding by any provision of this Indenture authorized or required to be done or performed by any board, committee or Officer of the Company shall and may be done and performed with like force and effect by the like board, committee or officer of any corporation or other entity that shall at the time be the lawful sole successor of the Company.</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99" w:name="page100"/>
    <w:bookmarkEnd w:id="99"/>
    <w:p>
      <w:pPr>
        <w:jc w:val="both"/>
        <w:ind w:right="20" w:firstLine="382"/>
        <w:spacing w:after="0" w:line="261" w:lineRule="auto"/>
        <w:rPr>
          <w:sz w:val="20"/>
          <w:szCs w:val="20"/>
          <w:color w:val="auto"/>
        </w:rPr>
      </w:pPr>
      <w:r>
        <w:rPr>
          <w:rFonts w:ascii="Times New Roman" w:cs="Times New Roman" w:eastAsia="Times New Roman" w:hAnsi="Times New Roman"/>
          <w:sz w:val="16"/>
          <w:szCs w:val="16"/>
          <w:color w:val="auto"/>
        </w:rPr>
        <w:t xml:space="preserve">Section 18.03. </w:t>
      </w:r>
      <w:r>
        <w:rPr>
          <w:rFonts w:ascii="Times New Roman" w:cs="Times New Roman" w:eastAsia="Times New Roman" w:hAnsi="Times New Roman"/>
          <w:sz w:val="16"/>
          <w:szCs w:val="16"/>
          <w:i w:val="1"/>
          <w:iCs w:val="1"/>
          <w:color w:val="auto"/>
        </w:rPr>
        <w:t>Addresses for Notices, Etc.</w:t>
      </w:r>
      <w:r>
        <w:rPr>
          <w:rFonts w:ascii="Times New Roman" w:cs="Times New Roman" w:eastAsia="Times New Roman" w:hAnsi="Times New Roman"/>
          <w:sz w:val="16"/>
          <w:szCs w:val="16"/>
          <w:color w:val="auto"/>
        </w:rPr>
        <w:t xml:space="preserve"> Any notice or demand that by any provision of this Indenture is required or permitted to be given or served by the Trustee or by the Holders on the Company shall be deemed to have been sufficiently given or made, for all purposes if given or served by overnight courier or by being deposited postage</w:t>
      </w:r>
    </w:p>
    <w:p>
      <w:pPr>
        <w:spacing w:after="0" w:line="1" w:lineRule="exact"/>
        <w:rPr>
          <w:sz w:val="20"/>
          <w:szCs w:val="20"/>
          <w:color w:val="auto"/>
        </w:rPr>
      </w:pPr>
    </w:p>
    <w:p>
      <w:pPr>
        <w:jc w:val="both"/>
        <w:ind w:right="20"/>
        <w:spacing w:after="0" w:line="230" w:lineRule="auto"/>
        <w:rPr>
          <w:sz w:val="20"/>
          <w:szCs w:val="20"/>
          <w:color w:val="auto"/>
        </w:rPr>
      </w:pPr>
      <w:r>
        <w:rPr>
          <w:rFonts w:ascii="Times New Roman" w:cs="Times New Roman" w:eastAsia="Times New Roman" w:hAnsi="Times New Roman"/>
          <w:sz w:val="16"/>
          <w:szCs w:val="16"/>
          <w:color w:val="auto"/>
        </w:rPr>
        <w:t>prepaid by registered or certified mail in a post office letter box addressed (until another address is filed by the Company with the Trustee) to [●]</w:t>
      </w:r>
      <w:r>
        <w:rPr>
          <w:rFonts w:ascii="Times New Roman" w:cs="Times New Roman" w:eastAsia="Times New Roman" w:hAnsi="Times New Roman"/>
          <w:sz w:val="26"/>
          <w:szCs w:val="26"/>
          <w:color w:val="auto"/>
          <w:vertAlign w:val="superscript"/>
        </w:rPr>
        <w:t>14</w:t>
      </w:r>
      <w:r>
        <w:rPr>
          <w:rFonts w:ascii="Times New Roman" w:cs="Times New Roman" w:eastAsia="Times New Roman" w:hAnsi="Times New Roman"/>
          <w:sz w:val="16"/>
          <w:szCs w:val="16"/>
          <w:color w:val="auto"/>
        </w:rPr>
        <w:t>, Attention: [●], Email: [●], with a copy to Colin Diamond, White &amp; Case LLP, 1221 Avenue of the Americas, New York, NY 10020 and Laura Katherine Mann, White &amp; Case LLP, 609 Main Street, Houston, TX, 77002. Any notice, direction, request or demand hereunder to or upon the Trustee shall be deemed to have been sufficiently given or made, for all purposes, if given or served by being deposited postage prepaid by registered or certified mail in a post office letter box addressed to the Corporate Trust Office or sent electronically in PDF format, whether by mail or electronically, upon actual receipt by the Trustee.</w:t>
      </w:r>
    </w:p>
    <w:p>
      <w:pPr>
        <w:spacing w:after="0" w:line="1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The Trustee, by notice to the Company, may designate additional or different addresses for subsequent notices or communications.</w:t>
      </w:r>
    </w:p>
    <w:p>
      <w:pPr>
        <w:spacing w:after="0" w:line="198" w:lineRule="exact"/>
        <w:rPr>
          <w:sz w:val="20"/>
          <w:szCs w:val="20"/>
          <w:color w:val="auto"/>
        </w:rPr>
      </w:pPr>
    </w:p>
    <w:p>
      <w:pPr>
        <w:jc w:val="both"/>
        <w:ind w:firstLine="382"/>
        <w:spacing w:after="0" w:line="255" w:lineRule="auto"/>
        <w:rPr>
          <w:sz w:val="20"/>
          <w:szCs w:val="20"/>
          <w:color w:val="auto"/>
        </w:rPr>
      </w:pPr>
      <w:r>
        <w:rPr>
          <w:rFonts w:ascii="Times New Roman" w:cs="Times New Roman" w:eastAsia="Times New Roman" w:hAnsi="Times New Roman"/>
          <w:sz w:val="16"/>
          <w:szCs w:val="16"/>
          <w:color w:val="auto"/>
        </w:rPr>
        <w:t>Any notice or communication delivered or to be delivered to a Holder of Physical Notes shall be mailed to it by first class mail, postage prepaid, at its address as it appears on the Note Register and shall be sufficiently given to it if so mailed within the time prescribed. Any notice or communication delivered or to be delivered to a Holder of Global Notes shall be delivered in accordance with the applicable procedures of the Depositary and shall be sufficiently given to it if so delivered within the time prescribed. Notwithstanding any other provision of this Indenture or any Note, where this Indenture or any Note provides for notice of any event (including any Fundamental Change Company Notice) to a Holder of a Global Note (whether by mail or otherwise), such notice shall be sufficiently given if given to the Depositary (or its designee) pursuant to the standing instructions from the Depositary or its designee, including by electronic mail in accordance with the Depositary’s applicable procedures.</w:t>
      </w:r>
    </w:p>
    <w:p>
      <w:pPr>
        <w:spacing w:after="0" w:line="165" w:lineRule="exact"/>
        <w:rPr>
          <w:sz w:val="20"/>
          <w:szCs w:val="20"/>
          <w:color w:val="auto"/>
        </w:rPr>
      </w:pPr>
    </w:p>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Failure to mail or deliver a notice or communication to a Holder or any defect in it shall not affect its sufficiency with respect to other Holders. If a notice or communication is mailed or delivered, as the case may be, in the manner provided above, it is duly given, whether or not the addressee receives it.</w:t>
      </w:r>
    </w:p>
    <w:p>
      <w:pPr>
        <w:spacing w:after="0" w:line="144" w:lineRule="exact"/>
        <w:rPr>
          <w:sz w:val="20"/>
          <w:szCs w:val="20"/>
          <w:color w:val="auto"/>
        </w:rPr>
      </w:pPr>
    </w:p>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In case by reason of the suspension of regular mail service or by reason of any other cause it shall be impracticable to give such notice to Holders by mail, then such notification as shall be made with the approval of the Trustee shall constitute a sufficient notification for every purpose hereunder.</w:t>
      </w:r>
    </w:p>
    <w:p>
      <w:pPr>
        <w:spacing w:after="0" w:line="142" w:lineRule="exact"/>
        <w:rPr>
          <w:sz w:val="20"/>
          <w:szCs w:val="20"/>
          <w:color w:val="auto"/>
        </w:rPr>
      </w:pPr>
    </w:p>
    <w:p>
      <w:pPr>
        <w:jc w:val="both"/>
        <w:ind w:firstLine="382"/>
        <w:spacing w:after="0" w:line="266" w:lineRule="auto"/>
        <w:rPr>
          <w:sz w:val="20"/>
          <w:szCs w:val="20"/>
          <w:color w:val="auto"/>
        </w:rPr>
      </w:pPr>
      <w:r>
        <w:rPr>
          <w:rFonts w:ascii="Times New Roman" w:cs="Times New Roman" w:eastAsia="Times New Roman" w:hAnsi="Times New Roman"/>
          <w:sz w:val="16"/>
          <w:szCs w:val="16"/>
          <w:color w:val="auto"/>
        </w:rPr>
        <w:t xml:space="preserve">Section 18.04. </w:t>
      </w:r>
      <w:r>
        <w:rPr>
          <w:rFonts w:ascii="Times New Roman" w:cs="Times New Roman" w:eastAsia="Times New Roman" w:hAnsi="Times New Roman"/>
          <w:sz w:val="16"/>
          <w:szCs w:val="16"/>
          <w:i w:val="1"/>
          <w:iCs w:val="1"/>
          <w:color w:val="auto"/>
        </w:rPr>
        <w:t>Governing Law; Jurisdiction.</w:t>
      </w:r>
      <w:r>
        <w:rPr>
          <w:rFonts w:ascii="Times New Roman" w:cs="Times New Roman" w:eastAsia="Times New Roman" w:hAnsi="Times New Roman"/>
          <w:sz w:val="16"/>
          <w:szCs w:val="16"/>
          <w:color w:val="auto"/>
        </w:rPr>
        <w:t xml:space="preserve"> THIS INDENTURE AND EACH NOTE, AND ANY CLAIM, CONTROVERSY OR DISPUTE ARISING UNDER OR RELATED TO THIS INDENTURE AND EACH NOTE, SHALL BE GOVERNED BY, AND CONSTRUED IN ACCORDANCE WITH, THE LAWS OF THE STATE OF NEW YORK.</w:t>
      </w:r>
    </w:p>
    <w:p>
      <w:pPr>
        <w:spacing w:after="0" w:line="155" w:lineRule="exact"/>
        <w:rPr>
          <w:sz w:val="20"/>
          <w:szCs w:val="20"/>
          <w:color w:val="auto"/>
        </w:rPr>
      </w:pPr>
    </w:p>
    <w:p>
      <w:pPr>
        <w:jc w:val="both"/>
        <w:ind w:right="20" w:firstLine="382"/>
        <w:spacing w:after="0" w:line="257" w:lineRule="auto"/>
        <w:rPr>
          <w:sz w:val="20"/>
          <w:szCs w:val="20"/>
          <w:color w:val="auto"/>
        </w:rPr>
      </w:pPr>
      <w:r>
        <w:rPr>
          <w:rFonts w:ascii="Times New Roman" w:cs="Times New Roman" w:eastAsia="Times New Roman" w:hAnsi="Times New Roman"/>
          <w:sz w:val="16"/>
          <w:szCs w:val="16"/>
          <w:color w:val="auto"/>
        </w:rPr>
        <w:t xml:space="preserve">The Company irrevocably consents and agrees, for the benefit of the Holders from time to time of the Notes and the Trustee, that any legal action, suit or proceeding against it with respect to obligations, liabilities or any other matter arising out of or in connection with this Indenture or the Notes may be brought in the courts of the State of New York or the courts of the United States located in the Borough of Manhattan, New York City, New York and, until amounts due and to become due in respect of the Notes have been paid, hereby irrevocably consents and submits to the non-exclusive jurisdiction of each such court </w:t>
      </w:r>
      <w:r>
        <w:rPr>
          <w:rFonts w:ascii="Times New Roman" w:cs="Times New Roman" w:eastAsia="Times New Roman" w:hAnsi="Times New Roman"/>
          <w:sz w:val="16"/>
          <w:szCs w:val="16"/>
          <w:i w:val="1"/>
          <w:iCs w:val="1"/>
          <w:color w:val="auto"/>
        </w:rPr>
        <w:t>in personam</w:t>
      </w:r>
      <w:r>
        <w:rPr>
          <w:rFonts w:ascii="Times New Roman" w:cs="Times New Roman" w:eastAsia="Times New Roman" w:hAnsi="Times New Roman"/>
          <w:sz w:val="16"/>
          <w:szCs w:val="16"/>
          <w:color w:val="auto"/>
        </w:rPr>
        <w:t>, generally and unconditionally with respect to any action, suit or proceeding for itself in respect of its properties, assets and revenues.</w:t>
      </w:r>
    </w:p>
    <w:p>
      <w:pPr>
        <w:spacing w:after="0" w:line="162"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6"/>
          <w:szCs w:val="16"/>
          <w:color w:val="auto"/>
        </w:rPr>
        <w:t>The Company irrevocably and unconditionally waives, to the fullest extent permitted by law, any objection which it may now or hereafter have to the laying of venue of any of the aforesaid actions, suits or proceedings arising out of or in connection with this Indenture brought in the courts of the State of New York or the courts of the United States located in the Borough of Manhattan, New York City, New York and hereby further irrevocably and unconditionally waives and agrees not to plead or claim in any such court that any such action, suit or proceeding brought in any such court has been brought in an inconvenient forum.</w:t>
      </w:r>
    </w:p>
    <w:p>
      <w:pPr>
        <w:spacing w:after="0" w:line="160" w:lineRule="exact"/>
        <w:rPr>
          <w:sz w:val="20"/>
          <w:szCs w:val="20"/>
          <w:color w:val="auto"/>
        </w:rPr>
      </w:pPr>
    </w:p>
    <w:p>
      <w:pPr>
        <w:jc w:val="both"/>
        <w:ind w:right="20" w:firstLine="382"/>
        <w:spacing w:after="0" w:line="266" w:lineRule="auto"/>
        <w:rPr>
          <w:sz w:val="20"/>
          <w:szCs w:val="20"/>
          <w:color w:val="auto"/>
        </w:rPr>
      </w:pPr>
      <w:r>
        <w:rPr>
          <w:rFonts w:ascii="Times New Roman" w:cs="Times New Roman" w:eastAsia="Times New Roman" w:hAnsi="Times New Roman"/>
          <w:sz w:val="16"/>
          <w:szCs w:val="16"/>
          <w:color w:val="auto"/>
        </w:rPr>
        <w:t xml:space="preserve">Section 18.05. </w:t>
      </w:r>
      <w:r>
        <w:rPr>
          <w:rFonts w:ascii="Times New Roman" w:cs="Times New Roman" w:eastAsia="Times New Roman" w:hAnsi="Times New Roman"/>
          <w:sz w:val="16"/>
          <w:szCs w:val="16"/>
          <w:i w:val="1"/>
          <w:iCs w:val="1"/>
          <w:color w:val="auto"/>
        </w:rPr>
        <w:t>Evidence of Compliance with Conditions Precedent; Certificates and Opinions of Counsel to Trustee.</w:t>
      </w:r>
      <w:r>
        <w:rPr>
          <w:rFonts w:ascii="Times New Roman" w:cs="Times New Roman" w:eastAsia="Times New Roman" w:hAnsi="Times New Roman"/>
          <w:sz w:val="16"/>
          <w:szCs w:val="16"/>
          <w:color w:val="auto"/>
        </w:rPr>
        <w:t xml:space="preserve"> Upon any application or demand by the Company to the Trustee to take any action under any of the provisions of this Indenture, the Company shall furnish to the Trustee an Officer’s Certificate and an Opinion of Counsel stating that such action is permitted by the terms of this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109220</wp:posOffset>
            </wp:positionV>
            <wp:extent cx="1790700" cy="152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171"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color w:val="auto"/>
        </w:rPr>
        <w:t>14</w:t>
      </w:r>
      <w:r>
        <w:rPr>
          <w:sz w:val="20"/>
          <w:szCs w:val="20"/>
          <w:color w:val="auto"/>
        </w:rPr>
        <w:tab/>
      </w:r>
      <w:r>
        <w:rPr>
          <w:rFonts w:ascii="Times New Roman" w:cs="Times New Roman" w:eastAsia="Times New Roman" w:hAnsi="Times New Roman"/>
          <w:sz w:val="15"/>
          <w:szCs w:val="15"/>
          <w:color w:val="auto"/>
        </w:rPr>
        <w:t>Note to Draft: Company to provide.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00" w:name="page101"/>
    <w:bookmarkEnd w:id="100"/>
    <w:p>
      <w:pPr>
        <w:jc w:val="both"/>
        <w:ind w:right="20" w:firstLine="382"/>
        <w:spacing w:after="0" w:line="252" w:lineRule="auto"/>
        <w:rPr>
          <w:sz w:val="20"/>
          <w:szCs w:val="20"/>
          <w:color w:val="auto"/>
        </w:rPr>
      </w:pPr>
      <w:r>
        <w:rPr>
          <w:rFonts w:ascii="Times New Roman" w:cs="Times New Roman" w:eastAsia="Times New Roman" w:hAnsi="Times New Roman"/>
          <w:sz w:val="16"/>
          <w:szCs w:val="16"/>
          <w:color w:val="auto"/>
        </w:rPr>
        <w:t xml:space="preserve">Each Officer’s Certificate and Opinion of Counsel provided for, by or on behalf of the Company in this Indenture and delivered to the Trustee with respect to compliance with this Indenture (other than the Officer’s Certificates provided for in Section 4.08) shall include (a) a statement that the person signing such certificate is familiar with the requested action and this Indenture; (b) a brief statement as to the nature and scope of the examination or investigation upon which the statement contained in such certificate is based; (c) a statement that, in the judgment of such person, he or she has made such examination or investigation as is necessary to enable him or her to express an informed judgment as to whether or not such action is permitted by this Indenture; and (d) a statement as to whether or not, in the judgment of such person, such action is permitted by this Indenture and that all conditions precedent to such action have been complied with;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 Opinion of Counsel shall be required to be delivered in connection with (1) the original issuance of Notes on the date hereof under this Indenture, (2) the mandatory exchange of the restricted CUSIP of the Restricted Securities to an unrestricted CUSIP pursuant to the applicable procedures of the Depositary upon the Notes becoming freely tradable by non-Affiliates of the Company under Rule 144 and the removal of the restrictive legends in connection therewith unless a new Note is to be authenticated, or (3) a request by the Company that the Trustee deliver a notice to Holders under this Indenture where the Trustee receives an Officer’s Certificate with respect to such notice. With respect to matters of fact, an Opinion of Counsel may rely on an Officer’s Certificate or certificates of public officials.</w:t>
      </w:r>
    </w:p>
    <w:p>
      <w:pPr>
        <w:spacing w:after="0" w:line="169" w:lineRule="exact"/>
        <w:rPr>
          <w:sz w:val="20"/>
          <w:szCs w:val="20"/>
          <w:color w:val="auto"/>
        </w:rPr>
      </w:pPr>
    </w:p>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Notwithstanding anything to the contrary in this Section 18.05, if any provision in this Indenture specifically provides that the Trustee shall or may receive an Opinion of Counsel in connection with any action to be taken by the Trustee or the Company hereunder, the Trustee shall be entitled to such Opinion of Counsel.</w:t>
      </w:r>
    </w:p>
    <w:p>
      <w:pPr>
        <w:spacing w:after="0" w:line="142" w:lineRule="exact"/>
        <w:rPr>
          <w:sz w:val="20"/>
          <w:szCs w:val="20"/>
          <w:color w:val="auto"/>
        </w:rPr>
      </w:pPr>
    </w:p>
    <w:p>
      <w:pPr>
        <w:jc w:val="both"/>
        <w:ind w:right="20" w:firstLine="382"/>
        <w:spacing w:after="0" w:line="266" w:lineRule="auto"/>
        <w:rPr>
          <w:sz w:val="20"/>
          <w:szCs w:val="20"/>
          <w:color w:val="auto"/>
        </w:rPr>
      </w:pPr>
      <w:r>
        <w:rPr>
          <w:rFonts w:ascii="Times New Roman" w:cs="Times New Roman" w:eastAsia="Times New Roman" w:hAnsi="Times New Roman"/>
          <w:sz w:val="16"/>
          <w:szCs w:val="16"/>
          <w:color w:val="auto"/>
        </w:rPr>
        <w:t xml:space="preserve">Section 18.06. </w:t>
      </w:r>
      <w:r>
        <w:rPr>
          <w:rFonts w:ascii="Times New Roman" w:cs="Times New Roman" w:eastAsia="Times New Roman" w:hAnsi="Times New Roman"/>
          <w:sz w:val="16"/>
          <w:szCs w:val="16"/>
          <w:i w:val="1"/>
          <w:iCs w:val="1"/>
          <w:color w:val="auto"/>
        </w:rPr>
        <w:t>Legal Holidays.</w:t>
      </w:r>
      <w:r>
        <w:rPr>
          <w:rFonts w:ascii="Times New Roman" w:cs="Times New Roman" w:eastAsia="Times New Roman" w:hAnsi="Times New Roman"/>
          <w:sz w:val="16"/>
          <w:szCs w:val="16"/>
          <w:color w:val="auto"/>
        </w:rPr>
        <w:t xml:space="preserve"> In any case where any Interest Payment Date, any Fundamental Change Repurchase Date, any Redemption Date or the Maturity Date is not a Business Day, then any action to be taken on such date need not be taken on such date, but may be taken on the next succeeding Business Day with the same force and effect as if taken on such date, and no interest shall accrue in respect of the delay.</w:t>
      </w:r>
    </w:p>
    <w:p>
      <w:pPr>
        <w:spacing w:after="0" w:line="153" w:lineRule="exact"/>
        <w:rPr>
          <w:sz w:val="20"/>
          <w:szCs w:val="20"/>
          <w:color w:val="auto"/>
        </w:rPr>
      </w:pPr>
    </w:p>
    <w:p>
      <w:pPr>
        <w:jc w:val="both"/>
        <w:ind w:right="20" w:firstLine="382"/>
        <w:spacing w:after="0" w:line="283" w:lineRule="auto"/>
        <w:rPr>
          <w:sz w:val="20"/>
          <w:szCs w:val="20"/>
          <w:color w:val="auto"/>
        </w:rPr>
      </w:pPr>
      <w:r>
        <w:rPr>
          <w:rFonts w:ascii="Times New Roman" w:cs="Times New Roman" w:eastAsia="Times New Roman" w:hAnsi="Times New Roman"/>
          <w:sz w:val="16"/>
          <w:szCs w:val="16"/>
          <w:color w:val="auto"/>
        </w:rPr>
        <w:t xml:space="preserve">Section 18.07. </w:t>
      </w:r>
      <w:r>
        <w:rPr>
          <w:rFonts w:ascii="Times New Roman" w:cs="Times New Roman" w:eastAsia="Times New Roman" w:hAnsi="Times New Roman"/>
          <w:sz w:val="16"/>
          <w:szCs w:val="16"/>
          <w:i w:val="1"/>
          <w:iCs w:val="1"/>
          <w:color w:val="auto"/>
        </w:rPr>
        <w:t>No Security Interest Created.</w:t>
      </w:r>
      <w:r>
        <w:rPr>
          <w:rFonts w:ascii="Times New Roman" w:cs="Times New Roman" w:eastAsia="Times New Roman" w:hAnsi="Times New Roman"/>
          <w:sz w:val="16"/>
          <w:szCs w:val="16"/>
          <w:color w:val="auto"/>
        </w:rPr>
        <w:t xml:space="preserve"> Nothing in this Indenture or in the Notes, expressed or implied, shall be construed to constitute a security interest under the Uniform Commercial Code or similar legislation, as now or hereafter enacted and in effect, in any jurisdiction.</w:t>
      </w:r>
    </w:p>
    <w:p>
      <w:pPr>
        <w:spacing w:after="0" w:line="140" w:lineRule="exact"/>
        <w:rPr>
          <w:sz w:val="20"/>
          <w:szCs w:val="20"/>
          <w:color w:val="auto"/>
        </w:rPr>
      </w:pPr>
    </w:p>
    <w:p>
      <w:pPr>
        <w:jc w:val="both"/>
        <w:ind w:right="20" w:firstLine="382"/>
        <w:spacing w:after="0" w:line="266" w:lineRule="auto"/>
        <w:rPr>
          <w:sz w:val="20"/>
          <w:szCs w:val="20"/>
          <w:color w:val="auto"/>
        </w:rPr>
      </w:pPr>
      <w:r>
        <w:rPr>
          <w:rFonts w:ascii="Times New Roman" w:cs="Times New Roman" w:eastAsia="Times New Roman" w:hAnsi="Times New Roman"/>
          <w:sz w:val="16"/>
          <w:szCs w:val="16"/>
          <w:color w:val="auto"/>
        </w:rPr>
        <w:t xml:space="preserve">Section 18.08. </w:t>
      </w:r>
      <w:r>
        <w:rPr>
          <w:rFonts w:ascii="Times New Roman" w:cs="Times New Roman" w:eastAsia="Times New Roman" w:hAnsi="Times New Roman"/>
          <w:sz w:val="16"/>
          <w:szCs w:val="16"/>
          <w:i w:val="1"/>
          <w:iCs w:val="1"/>
          <w:color w:val="auto"/>
        </w:rPr>
        <w:t>Benefits of Indenture.</w:t>
      </w:r>
      <w:r>
        <w:rPr>
          <w:rFonts w:ascii="Times New Roman" w:cs="Times New Roman" w:eastAsia="Times New Roman" w:hAnsi="Times New Roman"/>
          <w:sz w:val="16"/>
          <w:szCs w:val="16"/>
          <w:color w:val="auto"/>
        </w:rPr>
        <w:t xml:space="preserve"> Nothing in this Indenture or in the Notes, expressed or implied, shall give to any Person, other than the Holders, the parties hereto, any Paying Agent, any Conversion Agent, any Custodian, any authenticating agent, any Note Registrar and their successors hereunder, any benefit or any legal or equitable right, remedy or claim under this Indenture.</w:t>
      </w:r>
    </w:p>
    <w:p>
      <w:pPr>
        <w:spacing w:after="0" w:line="153" w:lineRule="exact"/>
        <w:rPr>
          <w:sz w:val="20"/>
          <w:szCs w:val="20"/>
          <w:color w:val="auto"/>
        </w:rPr>
      </w:pPr>
    </w:p>
    <w:p>
      <w:pPr>
        <w:jc w:val="both"/>
        <w:ind w:right="20" w:firstLine="382"/>
        <w:spacing w:after="0" w:line="283" w:lineRule="auto"/>
        <w:rPr>
          <w:sz w:val="20"/>
          <w:szCs w:val="20"/>
          <w:color w:val="auto"/>
        </w:rPr>
      </w:pPr>
      <w:r>
        <w:rPr>
          <w:rFonts w:ascii="Times New Roman" w:cs="Times New Roman" w:eastAsia="Times New Roman" w:hAnsi="Times New Roman"/>
          <w:sz w:val="16"/>
          <w:szCs w:val="16"/>
          <w:color w:val="auto"/>
        </w:rPr>
        <w:t xml:space="preserve">Section 18.09. </w:t>
      </w:r>
      <w:r>
        <w:rPr>
          <w:rFonts w:ascii="Times New Roman" w:cs="Times New Roman" w:eastAsia="Times New Roman" w:hAnsi="Times New Roman"/>
          <w:sz w:val="16"/>
          <w:szCs w:val="16"/>
          <w:i w:val="1"/>
          <w:iCs w:val="1"/>
          <w:color w:val="auto"/>
        </w:rPr>
        <w:t>Table of Contents, Headings, Etc.</w:t>
      </w:r>
      <w:r>
        <w:rPr>
          <w:rFonts w:ascii="Times New Roman" w:cs="Times New Roman" w:eastAsia="Times New Roman" w:hAnsi="Times New Roman"/>
          <w:sz w:val="16"/>
          <w:szCs w:val="16"/>
          <w:color w:val="auto"/>
        </w:rPr>
        <w:t xml:space="preserve"> The table of contents and the titles and headings of the articles and sections of this Indenture have been inserted for convenience of reference only, are not to be considered a part hereof, and shall in no way modify or restrict any of the terms or provisions hereof.</w:t>
      </w:r>
    </w:p>
    <w:p>
      <w:pPr>
        <w:spacing w:after="0" w:line="140" w:lineRule="exact"/>
        <w:rPr>
          <w:sz w:val="20"/>
          <w:szCs w:val="20"/>
          <w:color w:val="auto"/>
        </w:rPr>
      </w:pPr>
    </w:p>
    <w:p>
      <w:pPr>
        <w:jc w:val="both"/>
        <w:ind w:firstLine="382"/>
        <w:spacing w:after="0" w:line="255" w:lineRule="auto"/>
        <w:rPr>
          <w:sz w:val="20"/>
          <w:szCs w:val="20"/>
          <w:color w:val="auto"/>
        </w:rPr>
      </w:pPr>
      <w:r>
        <w:rPr>
          <w:rFonts w:ascii="Times New Roman" w:cs="Times New Roman" w:eastAsia="Times New Roman" w:hAnsi="Times New Roman"/>
          <w:sz w:val="16"/>
          <w:szCs w:val="16"/>
          <w:color w:val="auto"/>
        </w:rPr>
        <w:t xml:space="preserve">Section 18.10. </w:t>
      </w:r>
      <w:r>
        <w:rPr>
          <w:rFonts w:ascii="Times New Roman" w:cs="Times New Roman" w:eastAsia="Times New Roman" w:hAnsi="Times New Roman"/>
          <w:sz w:val="16"/>
          <w:szCs w:val="16"/>
          <w:i w:val="1"/>
          <w:iCs w:val="1"/>
          <w:color w:val="auto"/>
        </w:rPr>
        <w:t>Authenticating Agent.</w:t>
      </w:r>
      <w:r>
        <w:rPr>
          <w:rFonts w:ascii="Times New Roman" w:cs="Times New Roman" w:eastAsia="Times New Roman" w:hAnsi="Times New Roman"/>
          <w:sz w:val="16"/>
          <w:szCs w:val="16"/>
          <w:color w:val="auto"/>
        </w:rPr>
        <w:t xml:space="preserve"> The Trustee may appoint an authenticating agent that shall be authorized to act on its behalf and subject to its direction in the authentication and delivery of Notes in connection with the original issuance thereof and transfers and exchanges of Notes hereunder, including under Section 2.04, Section 2.05, Section 2.06, Section 2.07, Section 10.04 and Section 15.04 as fully to all intents and purposes as though the authenticating agent had been expressly authorized by this Indenture and those Sections to authenticate and deliver Notes. For all purposes of this Indenture, the authentication and delivery of Notes by the authenticating agent shall be deemed to be authentication and delivery of such Notes “by the Trustee” and a certificate of authentication executed on behalf of the Trustee by an authenticating agent shall be deemed to satisfy any requirement hereunder or in the Notes for the Trustee’s certificate of authentication. Such authenticating agent shall at all times be a Person eligible to serve as trustee hereunder pursuant to Section 7.08.</w:t>
      </w:r>
    </w:p>
    <w:p>
      <w:pPr>
        <w:spacing w:after="0" w:line="163"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6"/>
          <w:szCs w:val="16"/>
          <w:color w:val="auto"/>
        </w:rPr>
        <w:t>Any corporation or other entity into which any authenticating agent may be merged or converted or with which it may be consolidated, or any corporation or other entity resulting from any merger, consolidation or conversion to which any authenticating agent shall be a party, or any corporation or other entity succeeding to the corporate trust business of any authenticating agent, shall be the successor of the authenticating agent hereunder, if such successor corporation or other entity is otherwise eligible under this Section 18.10, without the execution or filing of any paper or any further act on the part of the parties hereto or the authenticating agent or such successor corporation or other entity.</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01" w:name="page102"/>
    <w:bookmarkEnd w:id="101"/>
    <w:p>
      <w:pPr>
        <w:jc w:val="both"/>
        <w:ind w:right="20" w:firstLine="382"/>
        <w:spacing w:after="0" w:line="259" w:lineRule="auto"/>
        <w:rPr>
          <w:sz w:val="20"/>
          <w:szCs w:val="20"/>
          <w:color w:val="auto"/>
        </w:rPr>
      </w:pPr>
      <w:r>
        <w:rPr>
          <w:rFonts w:ascii="Times New Roman" w:cs="Times New Roman" w:eastAsia="Times New Roman" w:hAnsi="Times New Roman"/>
          <w:sz w:val="16"/>
          <w:szCs w:val="16"/>
          <w:color w:val="auto"/>
        </w:rPr>
        <w:t>Any authenticating agent may at any time resign by giving written notice of resignation to the Trustee and to the Company. The Trustee may at any time terminate the agency of any authenticating agent by giving written notice of termination to such authenticating agent and to the Company. Upon receiving such a notice of resignation or upon such a termination, or in case at any time any authenticating agent shall cease to be eligible under this Section, the Trustee may appoint a successor authenticating agent (which may be the Trustee), shall give written notice of such appointment to the Company and shall deliver notice of such appointment to all Holders.</w:t>
      </w:r>
    </w:p>
    <w:p>
      <w:pPr>
        <w:spacing w:after="0" w:line="162" w:lineRule="exact"/>
        <w:rPr>
          <w:sz w:val="20"/>
          <w:szCs w:val="20"/>
          <w:color w:val="auto"/>
        </w:rPr>
      </w:pPr>
    </w:p>
    <w:p>
      <w:pPr>
        <w:jc w:val="both"/>
        <w:ind w:firstLine="382"/>
        <w:spacing w:after="0" w:line="280" w:lineRule="auto"/>
        <w:rPr>
          <w:sz w:val="20"/>
          <w:szCs w:val="20"/>
          <w:color w:val="auto"/>
        </w:rPr>
      </w:pPr>
      <w:r>
        <w:rPr>
          <w:rFonts w:ascii="Times New Roman" w:cs="Times New Roman" w:eastAsia="Times New Roman" w:hAnsi="Times New Roman"/>
          <w:sz w:val="16"/>
          <w:szCs w:val="16"/>
          <w:color w:val="auto"/>
        </w:rPr>
        <w:t>The Company agrees to pay to the authenticating agent from time to time reasonable compensation for its services although the Company may terminate the authenticating agent, if it determines such agent’s fees to be unreasonable.</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The provisions of Section 7.02, Section 7.03, Section 7.04, Section 8.03 and this Section 18.10 shall be applicable to any authenticating agent.</w:t>
      </w:r>
    </w:p>
    <w:p>
      <w:pPr>
        <w:spacing w:after="0" w:line="198" w:lineRule="exact"/>
        <w:rPr>
          <w:sz w:val="20"/>
          <w:szCs w:val="20"/>
          <w:color w:val="auto"/>
        </w:rPr>
      </w:pPr>
    </w:p>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If an authenticating agent is appointed pursuant to this Section 18.10, the Notes may have endorsed thereon, in addition to the Trustee’s certificate of authentication, an alternative certificate of authentication in the following form: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Authenticating Agent, certifies that this is one of the Notes described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the within-named Indenture.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______________________________________________</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Authorized Signatory</w:t>
      </w:r>
    </w:p>
    <w:p>
      <w:pPr>
        <w:spacing w:after="0" w:line="180"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6"/>
          <w:szCs w:val="16"/>
          <w:color w:val="auto"/>
        </w:rPr>
        <w:t xml:space="preserve">Section 18.11. </w:t>
      </w:r>
      <w:r>
        <w:rPr>
          <w:rFonts w:ascii="Times New Roman" w:cs="Times New Roman" w:eastAsia="Times New Roman" w:hAnsi="Times New Roman"/>
          <w:sz w:val="16"/>
          <w:szCs w:val="16"/>
          <w:i w:val="1"/>
          <w:iCs w:val="1"/>
          <w:color w:val="auto"/>
        </w:rPr>
        <w:t>Execution in Counterparts.</w:t>
      </w:r>
      <w:r>
        <w:rPr>
          <w:rFonts w:ascii="Times New Roman" w:cs="Times New Roman" w:eastAsia="Times New Roman" w:hAnsi="Times New Roman"/>
          <w:sz w:val="16"/>
          <w:szCs w:val="16"/>
          <w:color w:val="auto"/>
        </w:rPr>
        <w:t xml:space="preserve"> This Indenture may be executed in any number of counterparts, each of which shall be an original, but such counterparts shall together constitute but one and the same instrument. The exchange of copies of this Indenture and of signature pages by facsimile, PDF or other electronic transmission shall constitute effective execution and delivery of this Indenture as to the parties hereto and may be used in lieu of the original Indenture for all purposes. Signatures of the parties hereto transmitted by facsimile, PDF or other electronic transmission shall constitute effective execution and delivery of this Indenture as to the other parties hereto shall be deemed to be their original signatures for all purposes.</w:t>
      </w:r>
    </w:p>
    <w:p>
      <w:pPr>
        <w:spacing w:after="0" w:line="164" w:lineRule="exact"/>
        <w:rPr>
          <w:sz w:val="20"/>
          <w:szCs w:val="20"/>
          <w:color w:val="auto"/>
        </w:rPr>
      </w:pPr>
    </w:p>
    <w:p>
      <w:pPr>
        <w:jc w:val="both"/>
        <w:ind w:right="20" w:firstLine="382"/>
        <w:spacing w:after="0" w:line="257" w:lineRule="auto"/>
        <w:rPr>
          <w:sz w:val="20"/>
          <w:szCs w:val="20"/>
          <w:color w:val="auto"/>
        </w:rPr>
      </w:pPr>
      <w:r>
        <w:rPr>
          <w:rFonts w:ascii="Times New Roman" w:cs="Times New Roman" w:eastAsia="Times New Roman" w:hAnsi="Times New Roman"/>
          <w:sz w:val="16"/>
          <w:szCs w:val="16"/>
          <w:color w:val="auto"/>
        </w:rPr>
        <w:t>All notices, approvals, consents, requests and any communications hereunder must be in writing (provided that any communication sent to Trustee hereunder that is required to be signed must be in the form of a document that is signed manually or by way of a digital signature provided by DocuSign (or such other digital signature provider as specified in writing to Trustee by the Company)), in English. The Company agrees to assume all risks arising out of the use of digital signatures and electronic methods to submit communications to Trustee, including, without limitation, the risk of the Trustee acting on unauthorized instructions, and the risk of interception and misuse by third parties.</w:t>
      </w:r>
    </w:p>
    <w:p>
      <w:pPr>
        <w:spacing w:after="0" w:line="160" w:lineRule="exact"/>
        <w:rPr>
          <w:sz w:val="20"/>
          <w:szCs w:val="20"/>
          <w:color w:val="auto"/>
        </w:rPr>
      </w:pPr>
    </w:p>
    <w:p>
      <w:pPr>
        <w:jc w:val="both"/>
        <w:ind w:firstLine="382"/>
        <w:spacing w:after="0" w:line="283" w:lineRule="auto"/>
        <w:rPr>
          <w:sz w:val="20"/>
          <w:szCs w:val="20"/>
          <w:color w:val="auto"/>
        </w:rPr>
      </w:pPr>
      <w:r>
        <w:rPr>
          <w:rFonts w:ascii="Times New Roman" w:cs="Times New Roman" w:eastAsia="Times New Roman" w:hAnsi="Times New Roman"/>
          <w:sz w:val="16"/>
          <w:szCs w:val="16"/>
          <w:color w:val="auto"/>
        </w:rPr>
        <w:t xml:space="preserve">Section 18.12. </w:t>
      </w:r>
      <w:r>
        <w:rPr>
          <w:rFonts w:ascii="Times New Roman" w:cs="Times New Roman" w:eastAsia="Times New Roman" w:hAnsi="Times New Roman"/>
          <w:sz w:val="16"/>
          <w:szCs w:val="16"/>
          <w:i w:val="1"/>
          <w:iCs w:val="1"/>
          <w:color w:val="auto"/>
        </w:rPr>
        <w:t>Severability.</w:t>
      </w:r>
      <w:r>
        <w:rPr>
          <w:rFonts w:ascii="Times New Roman" w:cs="Times New Roman" w:eastAsia="Times New Roman" w:hAnsi="Times New Roman"/>
          <w:sz w:val="16"/>
          <w:szCs w:val="16"/>
          <w:color w:val="auto"/>
        </w:rPr>
        <w:t xml:space="preserve"> In the event any provision of this Indenture or in the Notes shall be invalid, illegal or unenforceable, then (to the extent permitted by law) the validity, legality or enforceability of the remaining provisions shall not in any way be affected or impaired.</w:t>
      </w:r>
    </w:p>
    <w:p>
      <w:pPr>
        <w:spacing w:after="0" w:line="140" w:lineRule="exact"/>
        <w:rPr>
          <w:sz w:val="20"/>
          <w:szCs w:val="20"/>
          <w:color w:val="auto"/>
        </w:rPr>
      </w:pPr>
    </w:p>
    <w:p>
      <w:pPr>
        <w:jc w:val="both"/>
        <w:ind w:right="20" w:firstLine="382"/>
        <w:spacing w:after="0" w:line="266" w:lineRule="auto"/>
        <w:rPr>
          <w:sz w:val="20"/>
          <w:szCs w:val="20"/>
          <w:color w:val="auto"/>
        </w:rPr>
      </w:pPr>
      <w:r>
        <w:rPr>
          <w:rFonts w:ascii="Times New Roman" w:cs="Times New Roman" w:eastAsia="Times New Roman" w:hAnsi="Times New Roman"/>
          <w:sz w:val="16"/>
          <w:szCs w:val="16"/>
          <w:color w:val="auto"/>
        </w:rPr>
        <w:t xml:space="preserve">Section 18.13. </w:t>
      </w:r>
      <w:r>
        <w:rPr>
          <w:rFonts w:ascii="Times New Roman" w:cs="Times New Roman" w:eastAsia="Times New Roman" w:hAnsi="Times New Roman"/>
          <w:sz w:val="16"/>
          <w:szCs w:val="16"/>
          <w:i w:val="1"/>
          <w:iCs w:val="1"/>
          <w:color w:val="auto"/>
        </w:rPr>
        <w:t>Waiver of Jury Trial.</w:t>
      </w:r>
      <w:r>
        <w:rPr>
          <w:rFonts w:ascii="Times New Roman" w:cs="Times New Roman" w:eastAsia="Times New Roman" w:hAnsi="Times New Roman"/>
          <w:sz w:val="16"/>
          <w:szCs w:val="16"/>
          <w:color w:val="auto"/>
        </w:rPr>
        <w:t xml:space="preserve"> EACH OF THE COMPANY AND THE TRUSTEE HEREBY IRREVOCABLY WAIVES, TO THE FULLEST EXTENT PERMITTED BY APPLICABLE LAW, ANY AND ALL RIGHT TO TRIAL BY JURY IN ANY LEGAL PROCEEDING ARISING OUT OF OR RELATING TO THIS INDENTURE, THE NOTES OR THE TRANSACTIONS CONTEMPLATED HEREBY.</w:t>
      </w:r>
    </w:p>
    <w:p>
      <w:pPr>
        <w:spacing w:after="0" w:line="153" w:lineRule="exact"/>
        <w:rPr>
          <w:sz w:val="20"/>
          <w:szCs w:val="20"/>
          <w:color w:val="auto"/>
        </w:rPr>
      </w:pPr>
    </w:p>
    <w:p>
      <w:pPr>
        <w:jc w:val="both"/>
        <w:ind w:right="20" w:firstLine="382"/>
        <w:spacing w:after="0" w:line="257" w:lineRule="auto"/>
        <w:rPr>
          <w:sz w:val="20"/>
          <w:szCs w:val="20"/>
          <w:color w:val="auto"/>
        </w:rPr>
      </w:pPr>
      <w:r>
        <w:rPr>
          <w:rFonts w:ascii="Times New Roman" w:cs="Times New Roman" w:eastAsia="Times New Roman" w:hAnsi="Times New Roman"/>
          <w:sz w:val="16"/>
          <w:szCs w:val="16"/>
          <w:color w:val="auto"/>
        </w:rPr>
        <w:t xml:space="preserve">Section 18.14. </w:t>
      </w:r>
      <w:r>
        <w:rPr>
          <w:rFonts w:ascii="Times New Roman" w:cs="Times New Roman" w:eastAsia="Times New Roman" w:hAnsi="Times New Roman"/>
          <w:sz w:val="16"/>
          <w:szCs w:val="16"/>
          <w:i w:val="1"/>
          <w:iCs w:val="1"/>
          <w:color w:val="auto"/>
        </w:rPr>
        <w:t>Force Majeure.</w:t>
      </w:r>
      <w:r>
        <w:rPr>
          <w:rFonts w:ascii="Times New Roman" w:cs="Times New Roman" w:eastAsia="Times New Roman" w:hAnsi="Times New Roman"/>
          <w:sz w:val="16"/>
          <w:szCs w:val="16"/>
          <w:color w:val="auto"/>
        </w:rPr>
        <w:t xml:space="preserve"> In no event shall the Trustee be responsible or liable for any failure or delay in the performance of its obligations hereunder arising out of or caused by, directly or indirectly, forces beyond its control, including, without limitation, strikes, work stoppages, accidents, epidemics, pandemics,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that are consistent with accepted practices in the banking industry to resume performance as soon as practicable under the circumstances.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02" w:name="page103"/>
    <w:bookmarkEnd w:id="102"/>
    <w:p>
      <w:pPr>
        <w:jc w:val="both"/>
        <w:ind w:firstLine="382"/>
        <w:spacing w:after="0" w:line="255" w:lineRule="auto"/>
        <w:rPr>
          <w:sz w:val="20"/>
          <w:szCs w:val="20"/>
          <w:color w:val="auto"/>
        </w:rPr>
      </w:pPr>
      <w:r>
        <w:rPr>
          <w:rFonts w:ascii="Times New Roman" w:cs="Times New Roman" w:eastAsia="Times New Roman" w:hAnsi="Times New Roman"/>
          <w:sz w:val="16"/>
          <w:szCs w:val="16"/>
          <w:color w:val="auto"/>
        </w:rPr>
        <w:t xml:space="preserve">Section 18.15. </w:t>
      </w:r>
      <w:r>
        <w:rPr>
          <w:rFonts w:ascii="Times New Roman" w:cs="Times New Roman" w:eastAsia="Times New Roman" w:hAnsi="Times New Roman"/>
          <w:sz w:val="16"/>
          <w:szCs w:val="16"/>
          <w:i w:val="1"/>
          <w:iCs w:val="1"/>
          <w:color w:val="auto"/>
        </w:rPr>
        <w:t>Calculations.</w:t>
      </w:r>
      <w:r>
        <w:rPr>
          <w:rFonts w:ascii="Times New Roman" w:cs="Times New Roman" w:eastAsia="Times New Roman" w:hAnsi="Times New Roman"/>
          <w:sz w:val="16"/>
          <w:szCs w:val="16"/>
          <w:color w:val="auto"/>
        </w:rPr>
        <w:t xml:space="preserve"> Except as otherwise provided herein, the Company shall be responsible for making all calculations called for under the Notes. These calculations include, but are not limited to, determinations of the Redemption Price, Last Reported Sale Prices of the Common Stock, the Daily VWAPs, the Daily Conversion Values, the Daily Settlement Amounts, accrued interest payable on the Notes, any Additional Interest payable on the Notes, the Conversion Rate of the Notes, and the Trading Price of the Notes for purposes of determining whether the Notes are convertible as described in this Indenture. The Company shall make all of these calculations in good faith and, absent manifest error, the Company’s calculations shall be final and binding on Holders of Notes. The Company shall provide a schedule of its calculations to each of the Trustee and the Conversion Agent, and each of the Trustee and Conversion Agent is entitled to rely conclusively upon the accuracy of the Company’s calculations without independent verification. The Company will forward its calculations to any Holder of Notes upon the written request of that Holder.</w:t>
      </w:r>
    </w:p>
    <w:p>
      <w:pPr>
        <w:spacing w:after="0" w:line="161" w:lineRule="exact"/>
        <w:rPr>
          <w:sz w:val="20"/>
          <w:szCs w:val="20"/>
          <w:color w:val="auto"/>
        </w:rPr>
      </w:pPr>
    </w:p>
    <w:p>
      <w:pPr>
        <w:jc w:val="both"/>
        <w:ind w:right="20" w:firstLine="382"/>
        <w:spacing w:after="0" w:line="260" w:lineRule="auto"/>
        <w:rPr>
          <w:sz w:val="20"/>
          <w:szCs w:val="20"/>
          <w:color w:val="auto"/>
        </w:rPr>
      </w:pPr>
      <w:r>
        <w:rPr>
          <w:rFonts w:ascii="Times New Roman" w:cs="Times New Roman" w:eastAsia="Times New Roman" w:hAnsi="Times New Roman"/>
          <w:sz w:val="16"/>
          <w:szCs w:val="16"/>
          <w:color w:val="auto"/>
        </w:rPr>
        <w:t xml:space="preserve">Section 18.16. </w:t>
      </w:r>
      <w:r>
        <w:rPr>
          <w:rFonts w:ascii="Times New Roman" w:cs="Times New Roman" w:eastAsia="Times New Roman" w:hAnsi="Times New Roman"/>
          <w:sz w:val="16"/>
          <w:szCs w:val="16"/>
          <w:i w:val="1"/>
          <w:iCs w:val="1"/>
          <w:color w:val="auto"/>
        </w:rPr>
        <w:t>USA PATRIOT Act.</w:t>
      </w:r>
      <w:r>
        <w:rPr>
          <w:rFonts w:ascii="Times New Roman" w:cs="Times New Roman" w:eastAsia="Times New Roman" w:hAnsi="Times New Roman"/>
          <w:sz w:val="16"/>
          <w:szCs w:val="16"/>
          <w:color w:val="auto"/>
        </w:rPr>
        <w:t xml:space="preserve"> 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Remainder of page intentionally left blank</w:t>
      </w:r>
      <w:r>
        <w:rPr>
          <w:rFonts w:ascii="Times New Roman" w:cs="Times New Roman" w:eastAsia="Times New Roman" w:hAnsi="Times New Roman"/>
          <w:sz w:val="16"/>
          <w:szCs w:val="16"/>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6"/>
          <w:szCs w:val="16"/>
          <w:color w:val="auto"/>
        </w:rPr>
        <w:t>IN WITNESS WHEREOF, the parties hereto have caused this Indenture to be duly executed as of the date first written above.</w:t>
      </w:r>
    </w:p>
    <w:p>
      <w:pPr>
        <w:spacing w:after="0" w:line="198"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4407535</wp:posOffset>
            </wp:positionH>
            <wp:positionV relativeFrom="paragraph">
              <wp:posOffset>7620</wp:posOffset>
            </wp:positionV>
            <wp:extent cx="2496820" cy="152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4" w:lineRule="exact"/>
        <w:rPr>
          <w:sz w:val="20"/>
          <w:szCs w:val="20"/>
          <w:color w:val="auto"/>
        </w:rPr>
      </w:pPr>
    </w:p>
    <w:p>
      <w:pPr>
        <w:ind w:left="6380"/>
        <w:spacing w:after="0"/>
        <w:tabs>
          <w:tab w:leader="none" w:pos="692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[Rajat Suri]</w:t>
      </w:r>
    </w:p>
    <w:p>
      <w:pPr>
        <w:spacing w:after="0" w:line="19" w:lineRule="exact"/>
        <w:rPr>
          <w:sz w:val="20"/>
          <w:szCs w:val="20"/>
          <w:color w:val="auto"/>
        </w:rPr>
      </w:pPr>
    </w:p>
    <w:p>
      <w:pPr>
        <w:ind w:left="6380"/>
        <w:spacing w:after="0"/>
        <w:tabs>
          <w:tab w:leader="none" w:pos="6920" w:val="left"/>
        </w:tabs>
        <w:rPr>
          <w:sz w:val="20"/>
          <w:szCs w:val="20"/>
          <w:color w:val="auto"/>
        </w:rPr>
      </w:pPr>
      <w:r>
        <w:rPr>
          <w:rFonts w:ascii="Times New Roman" w:cs="Times New Roman" w:eastAsia="Times New Roman" w:hAnsi="Times New Roman"/>
          <w:sz w:val="16"/>
          <w:szCs w:val="16"/>
          <w:color w:val="auto"/>
        </w:rPr>
        <w:t>Title:</w:t>
        <w:tab/>
        <w:t>[Chief Executive Officer]</w:t>
      </w:r>
    </w:p>
    <w:p>
      <w:pPr>
        <w:spacing w:after="0" w:line="182"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5"/>
          <w:szCs w:val="15"/>
          <w:color w:val="auto"/>
        </w:rPr>
        <w:t>U.S. Bank National Association, as</w:t>
      </w:r>
    </w:p>
    <w:p>
      <w:pPr>
        <w:spacing w:after="0" w:line="35"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Trustee</w:t>
      </w:r>
    </w:p>
    <w:p>
      <w:pPr>
        <w:spacing w:after="0" w:line="110"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4407535</wp:posOffset>
            </wp:positionH>
            <wp:positionV relativeFrom="paragraph">
              <wp:posOffset>15240</wp:posOffset>
            </wp:positionV>
            <wp:extent cx="2496820" cy="152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4"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Name:</w:t>
      </w:r>
    </w:p>
    <w:p>
      <w:pPr>
        <w:spacing w:after="0" w:line="19"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Title:</w:t>
      </w:r>
    </w:p>
    <w:p>
      <w:pPr>
        <w:spacing w:after="0" w:line="38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15240</wp:posOffset>
            </wp:positionV>
            <wp:extent cx="7148195" cy="152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759"/>
          </w:cols>
          <w:pgMar w:left="700" w:top="816" w:right="1440" w:bottom="1440" w:gutter="0" w:footer="0" w:header="0"/>
        </w:sectPr>
      </w:pPr>
    </w:p>
    <w:bookmarkStart w:id="104" w:name="page105"/>
    <w:bookmarkEnd w:id="104"/>
    <w:p>
      <w:pPr>
        <w:ind w:left="10424"/>
        <w:spacing w:after="0"/>
        <w:rPr>
          <w:sz w:val="20"/>
          <w:szCs w:val="20"/>
          <w:color w:val="auto"/>
        </w:rPr>
      </w:pPr>
      <w:r>
        <w:rPr>
          <w:rFonts w:ascii="Times New Roman" w:cs="Times New Roman" w:eastAsia="Times New Roman" w:hAnsi="Times New Roman"/>
          <w:sz w:val="15"/>
          <w:szCs w:val="15"/>
          <w:b w:val="1"/>
          <w:bCs w:val="1"/>
          <w:color w:val="auto"/>
        </w:rPr>
        <w:t>EXHIBIT A</w:t>
      </w:r>
    </w:p>
    <w:p>
      <w:pPr>
        <w:spacing w:after="0" w:line="2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[FORM OF FACE OF NOTE]</w:t>
      </w:r>
    </w:p>
    <w:p>
      <w:pPr>
        <w:spacing w:after="0" w:line="19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[INCLUDE FOLLOWING LEGEND IF A GLOBAL NOTE]</w:t>
      </w:r>
    </w:p>
    <w:p>
      <w:pPr>
        <w:spacing w:after="0" w:line="198" w:lineRule="exact"/>
        <w:rPr>
          <w:sz w:val="20"/>
          <w:szCs w:val="20"/>
          <w:color w:val="auto"/>
        </w:rPr>
      </w:pPr>
    </w:p>
    <w:p>
      <w:pPr>
        <w:jc w:val="both"/>
        <w:ind w:left="4" w:right="20"/>
        <w:spacing w:after="0" w:line="255" w:lineRule="auto"/>
        <w:rPr>
          <w:sz w:val="20"/>
          <w:szCs w:val="20"/>
          <w:color w:val="auto"/>
        </w:rPr>
      </w:pPr>
      <w:r>
        <w:rPr>
          <w:rFonts w:ascii="Times New Roman" w:cs="Times New Roman" w:eastAsia="Times New Roman" w:hAnsi="Times New Roman"/>
          <w:sz w:val="16"/>
          <w:szCs w:val="16"/>
          <w:color w:val="auto"/>
        </w:rPr>
        <w:t>[UNLESS THIS CERTIFICATE IS PRESENTED BY AN AUTHORIZED REPRESENTATIVE OF THE DEPOSITORY TRUST COMPANY, A NEW YORK CORPORATION (“DTC”), TO THE COMPANY OR ITS AGENT FOR REGISTRATION OF TRANSFER, EXCHANGE, OR PAYMENT, AND ANY CERTIFICATE ISSUED IS REGISTERED IN THE NAME OF CEDE &amp; CO. OR IN SUCH OTHER NAME AS IS REQUESTED BY AN AUTHORIZED REPRESENTATIVE OF DTC (AND ANY PAYMENT HEREUNDER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6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[INCLUDE FOLLOWING LEGEND IF A RESTRICTED SECURITY]</w:t>
      </w:r>
    </w:p>
    <w:p>
      <w:pPr>
        <w:spacing w:after="0" w:line="198" w:lineRule="exact"/>
        <w:rPr>
          <w:sz w:val="20"/>
          <w:szCs w:val="20"/>
          <w:color w:val="auto"/>
        </w:rPr>
      </w:pPr>
    </w:p>
    <w:p>
      <w:pPr>
        <w:jc w:val="both"/>
        <w:ind w:left="4"/>
        <w:spacing w:after="0" w:line="290" w:lineRule="auto"/>
        <w:rPr>
          <w:sz w:val="20"/>
          <w:szCs w:val="20"/>
          <w:color w:val="auto"/>
        </w:rPr>
      </w:pPr>
      <w:r>
        <w:rPr>
          <w:rFonts w:ascii="Times New Roman" w:cs="Times New Roman" w:eastAsia="Times New Roman" w:hAnsi="Times New Roman"/>
          <w:sz w:val="15"/>
          <w:szCs w:val="15"/>
          <w:color w:val="auto"/>
        </w:rPr>
        <w:t>[THIS SECURITY AND THE COMMON STOCK, IF ANY, ISSUABLE UPON CONVERSION OF THIS SECURITY HAVE NOT BEEN REGISTERED UNDER THE SECURITIES ACT OF 1933, AS AMENDED (THE “SECURITIES ACT”), AND MAY NOT BE OFFERED, SOLD, PLEDGED OR OTHERWISE TRANSFERRED EXCEPT IN ACCORDANCE WITH THE FOLLOWING SENTENCE. BY ITS ACQUISITION HEREOF OR OF A BENEFICIAL INTEREST HEREIN, THE ACQUIRER:</w:t>
      </w:r>
    </w:p>
    <w:p>
      <w:pPr>
        <w:spacing w:after="0" w:line="140" w:lineRule="exact"/>
        <w:rPr>
          <w:sz w:val="20"/>
          <w:szCs w:val="20"/>
          <w:color w:val="auto"/>
        </w:rPr>
      </w:pPr>
    </w:p>
    <w:p>
      <w:pPr>
        <w:jc w:val="both"/>
        <w:ind w:left="564" w:right="20"/>
        <w:spacing w:after="0" w:line="259" w:lineRule="auto"/>
        <w:rPr>
          <w:sz w:val="20"/>
          <w:szCs w:val="20"/>
          <w:color w:val="auto"/>
        </w:rPr>
      </w:pPr>
      <w:r>
        <w:rPr>
          <w:rFonts w:ascii="Times New Roman" w:cs="Times New Roman" w:eastAsia="Times New Roman" w:hAnsi="Times New Roman"/>
          <w:sz w:val="16"/>
          <w:szCs w:val="16"/>
          <w:color w:val="auto"/>
        </w:rPr>
        <w:t>AGREES FOR THE BENEFIT OF [●] (THE “COMPANY”) THAT IT WILL NOT OFFER, SELL, PLEDGE OR OTHERWISE TRANSFER THIS SECURITY OR ANY BENEFICIAL INTEREST HEREIN PRIOR TO THE DATE THAT IS THE LATER OF (X) ONE YEAR AFTER THE LAST ORIGINAL ISSUE DATE HEREOF OR SUCH SHORTER PERIOD OF TIME AS PERMITTED BY RULE 144 UNDER THE SECURITIES ACT OR ANY SUCCESSOR PROVISION THERETO AND (Y) SUCH LATER DATE, IF ANY, AS MAY BE REQUIRED BY APPLICABLE LAW, EXCEPT:</w:t>
      </w:r>
    </w:p>
    <w:p>
      <w:pPr>
        <w:spacing w:after="0" w:line="162" w:lineRule="exact"/>
        <w:rPr>
          <w:sz w:val="20"/>
          <w:szCs w:val="20"/>
          <w:color w:val="auto"/>
        </w:rPr>
      </w:pPr>
    </w:p>
    <w:p>
      <w:pPr>
        <w:ind w:left="864" w:hanging="291"/>
        <w:spacing w:after="0"/>
        <w:tabs>
          <w:tab w:leader="none" w:pos="864"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COMPANY OR ANY SUBSIDIARY THEREOF, OR</w:t>
      </w:r>
    </w:p>
    <w:p>
      <w:pPr>
        <w:spacing w:after="0" w:line="198" w:lineRule="exact"/>
        <w:rPr>
          <w:rFonts w:ascii="Times New Roman" w:cs="Times New Roman" w:eastAsia="Times New Roman" w:hAnsi="Times New Roman"/>
          <w:sz w:val="16"/>
          <w:szCs w:val="16"/>
          <w:color w:val="auto"/>
        </w:rPr>
      </w:pPr>
    </w:p>
    <w:p>
      <w:pPr>
        <w:ind w:left="864" w:right="360" w:hanging="291"/>
        <w:spacing w:after="0" w:line="280" w:lineRule="auto"/>
        <w:tabs>
          <w:tab w:leader="none" w:pos="864"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A REGISTRATION STATEMENT THAT HAS BECOME EFFECTIVE UNDER THE SECURITIES ACT AND IS EFFECTIVE AT THE TIME OF SUCH TRANSFER, OR</w:t>
      </w:r>
    </w:p>
    <w:p>
      <w:pPr>
        <w:spacing w:after="0" w:line="144" w:lineRule="exact"/>
        <w:rPr>
          <w:rFonts w:ascii="Times New Roman" w:cs="Times New Roman" w:eastAsia="Times New Roman" w:hAnsi="Times New Roman"/>
          <w:sz w:val="16"/>
          <w:szCs w:val="16"/>
          <w:color w:val="auto"/>
        </w:rPr>
      </w:pPr>
    </w:p>
    <w:p>
      <w:pPr>
        <w:ind w:left="864" w:right="580" w:hanging="291"/>
        <w:spacing w:after="0" w:line="280" w:lineRule="auto"/>
        <w:tabs>
          <w:tab w:leader="none" w:pos="864"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 PERSON REASONABLY BELIEVED TO BE A QUALIFIED INSTITUTIONAL BUYER IN COMPLIANCE WITH RULE 144A UNDER THE SECURITIES ACT, OR</w:t>
      </w:r>
    </w:p>
    <w:p>
      <w:pPr>
        <w:spacing w:after="0" w:line="144" w:lineRule="exact"/>
        <w:rPr>
          <w:rFonts w:ascii="Times New Roman" w:cs="Times New Roman" w:eastAsia="Times New Roman" w:hAnsi="Times New Roman"/>
          <w:sz w:val="16"/>
          <w:szCs w:val="16"/>
          <w:color w:val="auto"/>
        </w:rPr>
      </w:pPr>
    </w:p>
    <w:p>
      <w:pPr>
        <w:ind w:left="864" w:right="200" w:hanging="291"/>
        <w:spacing w:after="0" w:line="280" w:lineRule="auto"/>
        <w:tabs>
          <w:tab w:leader="none" w:pos="864"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AN EXEMPTION FROM REGISTRATION PROVIDED BY RULE 144 UNDER THE SECURITIES ACT OR ANY OTHER AVAILABLE EXEMPTION FROM THE REGISTRATION REQUIREMENTS OF THE SECURITIES ACT.</w:t>
      </w:r>
    </w:p>
    <w:p>
      <w:pPr>
        <w:spacing w:after="0" w:line="144" w:lineRule="exact"/>
        <w:rPr>
          <w:sz w:val="20"/>
          <w:szCs w:val="20"/>
          <w:color w:val="auto"/>
        </w:rPr>
      </w:pPr>
    </w:p>
    <w:p>
      <w:pPr>
        <w:jc w:val="both"/>
        <w:ind w:left="4" w:firstLine="382"/>
        <w:spacing w:after="0" w:line="257" w:lineRule="auto"/>
        <w:rPr>
          <w:sz w:val="20"/>
          <w:szCs w:val="20"/>
          <w:color w:val="auto"/>
        </w:rPr>
      </w:pPr>
      <w:r>
        <w:rPr>
          <w:rFonts w:ascii="Times New Roman" w:cs="Times New Roman" w:eastAsia="Times New Roman" w:hAnsi="Times New Roman"/>
          <w:sz w:val="16"/>
          <w:szCs w:val="16"/>
          <w:color w:val="auto"/>
        </w:rPr>
        <w:t>PRIOR TO THE REGISTRATION OF ANY TRANSFER IN ACCORDANCE WITH CLAUSE (2)(D) ABOVE, THE COMPANY AND THE TRUSTEE RESERVE THE RIGHT TO REQUIRE THE DELIVERY OF SUCH LEGAL OPINIONS, CERTIFICATIONS OR OTHER EVIDENCE AS MAY REASONABLY BE REQUIRED IN ORDER FOR THE COMPANY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62" w:lineRule="exact"/>
        <w:rPr>
          <w:sz w:val="20"/>
          <w:szCs w:val="20"/>
          <w:color w:val="auto"/>
        </w:rPr>
      </w:pPr>
    </w:p>
    <w:p>
      <w:pPr>
        <w:jc w:val="both"/>
        <w:ind w:left="4" w:right="20"/>
        <w:spacing w:after="0" w:line="274" w:lineRule="auto"/>
        <w:rPr>
          <w:sz w:val="20"/>
          <w:szCs w:val="20"/>
          <w:color w:val="auto"/>
        </w:rPr>
      </w:pPr>
      <w:r>
        <w:rPr>
          <w:rFonts w:ascii="Times New Roman" w:cs="Times New Roman" w:eastAsia="Times New Roman" w:hAnsi="Times New Roman"/>
          <w:sz w:val="16"/>
          <w:szCs w:val="16"/>
          <w:color w:val="auto"/>
        </w:rPr>
        <w:t>NO AFFILIATE (AS DEFINED IN RULE 144 UNDER THE SECURITIES ACT) OF [●] OR PERSON THAT HAS BEEN AN AFFILIATE (AS DEFINED IN RULE 144 UNDER THE SECURITIES ACT) OF [●] DURING THE PRECEDING THREE MONTHS MAY PURCHASE, OTHERWISE ACQUIRE OR HOLD THIS SECURITY OR A BENEFICIAL INTEREST HEREIN.]</w:t>
      </w:r>
      <w:r>
        <w:rPr>
          <w:rFonts w:ascii="Times New Roman" w:cs="Times New Roman" w:eastAsia="Times New Roman" w:hAnsi="Times New Roman"/>
          <w:sz w:val="26"/>
          <w:szCs w:val="26"/>
          <w:color w:val="auto"/>
          <w:vertAlign w:val="superscript"/>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35560</wp:posOffset>
            </wp:positionV>
            <wp:extent cx="1790700" cy="152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55" w:lineRule="exact"/>
        <w:rPr>
          <w:sz w:val="20"/>
          <w:szCs w:val="20"/>
          <w:color w:val="auto"/>
        </w:rPr>
      </w:pPr>
    </w:p>
    <w:p>
      <w:pPr>
        <w:ind w:left="284" w:hanging="284"/>
        <w:spacing w:after="0" w:line="280" w:lineRule="auto"/>
        <w:tabs>
          <w:tab w:leader="none" w:pos="284"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Restrictive Legend shall be deemed removed from the face of this Note without further action by the Company, Trustee or the Holders of this Note at such time and in the manner provided under Section 2.05 of the Indenture.</w:t>
      </w:r>
    </w:p>
    <w:p>
      <w:pPr>
        <w:spacing w:after="0" w:line="33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4" w:right="319" w:bottom="1440" w:gutter="0" w:footer="0" w:header="0"/>
        </w:sectPr>
      </w:pPr>
    </w:p>
    <w:bookmarkStart w:id="105" w:name="page106"/>
    <w:bookmarkEnd w:id="105"/>
    <w:p>
      <w:pPr>
        <w:jc w:val="center"/>
        <w:ind w:right="-3"/>
        <w:spacing w:after="0"/>
        <w:rPr>
          <w:sz w:val="20"/>
          <w:szCs w:val="20"/>
          <w:color w:val="auto"/>
        </w:rPr>
      </w:pP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15.0% Cash + 5.0% PIK Convertible Senior Notes due 2026</w:t>
      </w:r>
    </w:p>
    <w:p>
      <w:pPr>
        <w:spacing w:after="0" w:line="20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No. [_] [Initially]</w:t>
      </w:r>
      <w:r>
        <w:rPr>
          <w:rFonts w:ascii="Times New Roman" w:cs="Times New Roman" w:eastAsia="Times New Roman" w:hAnsi="Times New Roman"/>
          <w:sz w:val="26"/>
          <w:szCs w:val="26"/>
          <w:color w:val="auto"/>
          <w:vertAlign w:val="superscript"/>
        </w:rPr>
        <w:t>16</w:t>
      </w:r>
      <w:r>
        <w:rPr>
          <w:rFonts w:ascii="Times New Roman" w:cs="Times New Roman" w:eastAsia="Times New Roman" w:hAnsi="Times New Roman"/>
          <w:sz w:val="16"/>
          <w:szCs w:val="16"/>
          <w:color w:val="auto"/>
        </w:rPr>
        <w:t xml:space="preserve"> $[_]</w:t>
      </w:r>
      <w:r>
        <w:rPr>
          <w:rFonts w:ascii="Times New Roman" w:cs="Times New Roman" w:eastAsia="Times New Roman" w:hAnsi="Times New Roman"/>
          <w:sz w:val="26"/>
          <w:szCs w:val="26"/>
          <w:color w:val="auto"/>
          <w:vertAlign w:val="superscript"/>
        </w:rPr>
        <w:t>17</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CUSIP No. [_]</w:t>
      </w:r>
      <w:r>
        <w:rPr>
          <w:rFonts w:ascii="Times New Roman" w:cs="Times New Roman" w:eastAsia="Times New Roman" w:hAnsi="Times New Roman"/>
          <w:sz w:val="26"/>
          <w:szCs w:val="26"/>
          <w:color w:val="auto"/>
          <w:vertAlign w:val="superscript"/>
        </w:rPr>
        <w:t>18</w:t>
      </w:r>
    </w:p>
    <w:p>
      <w:pPr>
        <w:spacing w:after="0" w:line="114" w:lineRule="exact"/>
        <w:rPr>
          <w:sz w:val="20"/>
          <w:szCs w:val="20"/>
          <w:color w:val="auto"/>
        </w:rPr>
      </w:pPr>
    </w:p>
    <w:p>
      <w:pPr>
        <w:jc w:val="both"/>
        <w:ind w:left="4"/>
        <w:spacing w:after="0" w:line="228" w:lineRule="auto"/>
        <w:rPr>
          <w:sz w:val="20"/>
          <w:szCs w:val="20"/>
          <w:color w:val="auto"/>
        </w:rPr>
      </w:pPr>
      <w:r>
        <w:rPr>
          <w:rFonts w:ascii="Times New Roman" w:cs="Times New Roman" w:eastAsia="Times New Roman" w:hAnsi="Times New Roman"/>
          <w:sz w:val="15"/>
          <w:szCs w:val="15"/>
          <w:color w:val="auto"/>
        </w:rPr>
        <w:t>[●], a corporation duly organized and validly existing under the laws of the State of Delaware (the “</w:t>
      </w:r>
      <w:r>
        <w:rPr>
          <w:rFonts w:ascii="Times New Roman" w:cs="Times New Roman" w:eastAsia="Times New Roman" w:hAnsi="Times New Roman"/>
          <w:sz w:val="15"/>
          <w:szCs w:val="15"/>
          <w:b w:val="1"/>
          <w:bCs w:val="1"/>
          <w:color w:val="auto"/>
        </w:rPr>
        <w:t>Company</w:t>
      </w:r>
      <w:r>
        <w:rPr>
          <w:rFonts w:ascii="Times New Roman" w:cs="Times New Roman" w:eastAsia="Times New Roman" w:hAnsi="Times New Roman"/>
          <w:sz w:val="15"/>
          <w:szCs w:val="15"/>
          <w:color w:val="auto"/>
        </w:rPr>
        <w:t>,” which term includes any successor corporation or other entity under the Indenture referred to on the reverse hereof), for value received hereby promises to pay to [CEDE &amp; CO.]</w:t>
      </w:r>
      <w:r>
        <w:rPr>
          <w:rFonts w:ascii="Times New Roman" w:cs="Times New Roman" w:eastAsia="Times New Roman" w:hAnsi="Times New Roman"/>
          <w:sz w:val="25"/>
          <w:szCs w:val="25"/>
          <w:color w:val="auto"/>
          <w:vertAlign w:val="superscript"/>
        </w:rPr>
        <w:t>19</w:t>
      </w:r>
      <w:r>
        <w:rPr>
          <w:rFonts w:ascii="Times New Roman" w:cs="Times New Roman" w:eastAsia="Times New Roman" w:hAnsi="Times New Roman"/>
          <w:sz w:val="15"/>
          <w:szCs w:val="15"/>
          <w:color w:val="auto"/>
        </w:rPr>
        <w:t xml:space="preserve"> [_]</w:t>
      </w:r>
      <w:r>
        <w:rPr>
          <w:rFonts w:ascii="Times New Roman" w:cs="Times New Roman" w:eastAsia="Times New Roman" w:hAnsi="Times New Roman"/>
          <w:sz w:val="25"/>
          <w:szCs w:val="25"/>
          <w:color w:val="auto"/>
          <w:vertAlign w:val="superscript"/>
        </w:rPr>
        <w:t>20</w:t>
      </w:r>
      <w:r>
        <w:rPr>
          <w:rFonts w:ascii="Times New Roman" w:cs="Times New Roman" w:eastAsia="Times New Roman" w:hAnsi="Times New Roman"/>
          <w:sz w:val="15"/>
          <w:szCs w:val="15"/>
          <w:color w:val="auto"/>
        </w:rPr>
        <w:t>, or registered assigns, the principal sum [as set forth</w:t>
      </w:r>
    </w:p>
    <w:p>
      <w:pPr>
        <w:spacing w:after="0" w:line="1" w:lineRule="exact"/>
        <w:rPr>
          <w:sz w:val="20"/>
          <w:szCs w:val="20"/>
          <w:color w:val="auto"/>
        </w:rPr>
      </w:pPr>
    </w:p>
    <w:p>
      <w:pPr>
        <w:jc w:val="both"/>
        <w:ind w:left="4"/>
        <w:spacing w:after="0" w:line="218" w:lineRule="auto"/>
        <w:rPr>
          <w:sz w:val="20"/>
          <w:szCs w:val="20"/>
          <w:color w:val="auto"/>
        </w:rPr>
      </w:pPr>
      <w:r>
        <w:rPr>
          <w:rFonts w:ascii="Times New Roman" w:cs="Times New Roman" w:eastAsia="Times New Roman" w:hAnsi="Times New Roman"/>
          <w:sz w:val="16"/>
          <w:szCs w:val="16"/>
          <w:color w:val="auto"/>
        </w:rPr>
        <w:t>in the “Schedule of Exchanges of Notes” attached hereto]</w:t>
      </w:r>
      <w:r>
        <w:rPr>
          <w:rFonts w:ascii="Times New Roman" w:cs="Times New Roman" w:eastAsia="Times New Roman" w:hAnsi="Times New Roman"/>
          <w:sz w:val="26"/>
          <w:szCs w:val="26"/>
          <w:color w:val="auto"/>
          <w:vertAlign w:val="superscript"/>
        </w:rPr>
        <w:t>21</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u w:val="single" w:color="auto"/>
          <w:color w:val="auto"/>
        </w:rPr>
        <w:t>_</w:t>
      </w:r>
      <w:r>
        <w:rPr>
          <w:rFonts w:ascii="Times New Roman" w:cs="Times New Roman" w:eastAsia="Times New Roman" w:hAnsi="Times New Roman"/>
          <w:sz w:val="16"/>
          <w:szCs w:val="16"/>
          <w:color w:val="auto"/>
        </w:rPr>
        <w:t>]]</w:t>
      </w:r>
      <w:r>
        <w:rPr>
          <w:rFonts w:ascii="Times New Roman" w:cs="Times New Roman" w:eastAsia="Times New Roman" w:hAnsi="Times New Roman"/>
          <w:sz w:val="26"/>
          <w:szCs w:val="26"/>
          <w:color w:val="auto"/>
          <w:vertAlign w:val="superscript"/>
        </w:rPr>
        <w:t>22</w:t>
      </w:r>
      <w:r>
        <w:rPr>
          <w:rFonts w:ascii="Times New Roman" w:cs="Times New Roman" w:eastAsia="Times New Roman" w:hAnsi="Times New Roman"/>
          <w:sz w:val="16"/>
          <w:szCs w:val="16"/>
          <w:color w:val="auto"/>
        </w:rPr>
        <w:t>, which amount, taken together with the principal amounts of all other outstanding Notes, shall not, unless permitted by the Indenture, exceed $25,000,000 (excluding PIK Notes), in accordance with the rules and applicable procedures of the Depositary, on [●], 2026, and interest thereon as set forth below.</w:t>
      </w:r>
    </w:p>
    <w:p>
      <w:pPr>
        <w:spacing w:after="0" w:line="177" w:lineRule="exact"/>
        <w:rPr>
          <w:sz w:val="20"/>
          <w:szCs w:val="20"/>
          <w:color w:val="auto"/>
        </w:rPr>
      </w:pPr>
    </w:p>
    <w:p>
      <w:pPr>
        <w:jc w:val="both"/>
        <w:ind w:left="4"/>
        <w:spacing w:after="0" w:line="252" w:lineRule="auto"/>
        <w:rPr>
          <w:sz w:val="20"/>
          <w:szCs w:val="20"/>
          <w:color w:val="auto"/>
        </w:rPr>
      </w:pPr>
      <w:r>
        <w:rPr>
          <w:rFonts w:ascii="Times New Roman" w:cs="Times New Roman" w:eastAsia="Times New Roman" w:hAnsi="Times New Roman"/>
          <w:sz w:val="16"/>
          <w:szCs w:val="16"/>
          <w:color w:val="auto"/>
        </w:rPr>
        <w:t>The Company shall pay Cash Interest and PIK Interest on each Interest Payment Date at an interest rate of 20.0% per annum on the principal amount of this Note from [●], 2022 until maturity. Cash Interest on this Note shall accrue at the rate of 15.0% per annum and shall be payable in cash. PIK Interest on this Note shall accrue, compounding on each Interest Payment Date, at the rate of 5.0% per annum and shall be payable either (x) by increasing the principal amount of the outstanding Note by an amount equal to the amount of PIK Interest for the applicable interest period (rounded up to the nearest $1.00) or (y) if the Notes are no longer held as Global Notes, by issuing PIK Notes in certificated form in an aggregate principal amount equal to the amount of PIK Interest for the period (rounded up to the nearest $1.00), and the Trustee will, at the request of the Company, authenticate and deliver such PIK Notes in certificated form for original issuance to the Holders on the relevant Regular Record Date, as shown by the records of the register of Holders. Following an increase in the principal amount of the outstanding Global Notes as a result of a PIK Payment, the Global Notes will bear interest on such increased principal amount from and after the date of such PIK Payment. All Notes issued pursuant to a PIK Payment will mature on the Maturity Date and will be governed by, and subject to the terms, provisions and conditions of, the Indenture and shall have the same rights and benefits as Notes issued on the Last Original Issue Date. Any certificated PIK Notes will be issued with the description “PIK” on the face of such PIK Note. Unless the context requires otherwise, references to Notes or the “principal” or the “principal amount” of Notes including for any purpose includes any increase in the principal amount of the Notes as a result of a PIK Payment.</w:t>
      </w:r>
    </w:p>
    <w:p>
      <w:pPr>
        <w:spacing w:after="0" w:line="169" w:lineRule="exact"/>
        <w:rPr>
          <w:sz w:val="20"/>
          <w:szCs w:val="20"/>
          <w:color w:val="auto"/>
        </w:rPr>
      </w:pPr>
    </w:p>
    <w:p>
      <w:pPr>
        <w:jc w:val="both"/>
        <w:ind w:left="4"/>
        <w:spacing w:after="0" w:line="257" w:lineRule="auto"/>
        <w:rPr>
          <w:sz w:val="20"/>
          <w:szCs w:val="20"/>
          <w:color w:val="auto"/>
        </w:rPr>
      </w:pPr>
      <w:r>
        <w:rPr>
          <w:rFonts w:ascii="Times New Roman" w:cs="Times New Roman" w:eastAsia="Times New Roman" w:hAnsi="Times New Roman"/>
          <w:sz w:val="16"/>
          <w:szCs w:val="16"/>
          <w:color w:val="auto"/>
        </w:rPr>
        <w:t>Interest is payable quarterly in arrears on each March 15, June 15, September 15 and December 15, commencing on [●], 2022, to Holders of record at the close of business on the preceding March 1, June 1, September 1 and December 1 (whether or not such day is a Business Day), respectively. Additional Interest will be payable as set forth in Section 4.06(d) and Section 6.03 of the within-mentioned Indenture, and any reference to interest on, or in respect of, any Note therein shall be deemed to include Additional Interest if, in such context, Additional Interest is, was or would be payable pursuant to any of such Section 4.06(d) or Section 6.03, and any express mention of the payment of Additional Interest in any provision therein shall not be construed as excluding Additional Interest in those provisions thereof where such express mention is not made.</w:t>
      </w:r>
    </w:p>
    <w:p>
      <w:pPr>
        <w:spacing w:after="0" w:line="162" w:lineRule="exact"/>
        <w:rPr>
          <w:sz w:val="20"/>
          <w:szCs w:val="20"/>
          <w:color w:val="auto"/>
        </w:rPr>
      </w:pPr>
    </w:p>
    <w:p>
      <w:pPr>
        <w:jc w:val="both"/>
        <w:ind w:left="4"/>
        <w:spacing w:after="0" w:line="265" w:lineRule="auto"/>
        <w:rPr>
          <w:sz w:val="20"/>
          <w:szCs w:val="20"/>
          <w:color w:val="auto"/>
        </w:rPr>
      </w:pPr>
      <w:r>
        <w:rPr>
          <w:rFonts w:ascii="Times New Roman" w:cs="Times New Roman" w:eastAsia="Times New Roman" w:hAnsi="Times New Roman"/>
          <w:sz w:val="16"/>
          <w:szCs w:val="16"/>
          <w:color w:val="auto"/>
        </w:rPr>
        <w:t>Any Defaulted Amounts shall accrue interest per annum at the rate borne by the Notes, subject to the enforceability thereof under applicable law, from, and including, the relevant payment date to, but excluding, the date on which such Defaulted Amounts shall have been paid in cash by the Company, at its election, in accordance with Section 2.03(c) of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230505</wp:posOffset>
            </wp:positionV>
            <wp:extent cx="1790700" cy="152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362" w:lineRule="exact"/>
        <w:rPr>
          <w:sz w:val="20"/>
          <w:szCs w:val="20"/>
          <w:color w:val="auto"/>
        </w:rPr>
      </w:pPr>
    </w:p>
    <w:p>
      <w:pPr>
        <w:ind w:left="284" w:hanging="284"/>
        <w:spacing w:after="0"/>
        <w:tabs>
          <w:tab w:leader="none" w:pos="284"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 if a global note.</w:t>
      </w:r>
    </w:p>
    <w:p>
      <w:pPr>
        <w:spacing w:after="0" w:line="23" w:lineRule="exact"/>
        <w:rPr>
          <w:rFonts w:ascii="Times New Roman" w:cs="Times New Roman" w:eastAsia="Times New Roman" w:hAnsi="Times New Roman"/>
          <w:sz w:val="16"/>
          <w:szCs w:val="16"/>
          <w:color w:val="auto"/>
        </w:rPr>
      </w:pPr>
    </w:p>
    <w:p>
      <w:pPr>
        <w:ind w:left="284" w:hanging="284"/>
        <w:spacing w:after="0"/>
        <w:tabs>
          <w:tab w:leader="none" w:pos="284"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be broken into multiple global notes.</w:t>
      </w:r>
    </w:p>
    <w:p>
      <w:pPr>
        <w:spacing w:after="0" w:line="7" w:lineRule="exact"/>
        <w:rPr>
          <w:rFonts w:ascii="Times New Roman" w:cs="Times New Roman" w:eastAsia="Times New Roman" w:hAnsi="Times New Roman"/>
          <w:sz w:val="16"/>
          <w:szCs w:val="16"/>
          <w:color w:val="auto"/>
        </w:rPr>
      </w:pPr>
    </w:p>
    <w:p>
      <w:pPr>
        <w:jc w:val="both"/>
        <w:ind w:left="284" w:hanging="284"/>
        <w:spacing w:after="0" w:line="249" w:lineRule="auto"/>
        <w:tabs>
          <w:tab w:leader="none" w:pos="284"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Note will be deemed to be identified by CUSIP No. [_] from and after such time when (i) the Company delivers, pursuant to Section 2.05(c) of the within-mentioned Indenture, written notice to the Trustee of the occurrence of the Resale Restriction Termination Date and the removal of the restrictive legend affixed to this Note and (ii) this Note is identified by such CUSIP number in accordance with the applicable procedures of the Depositary.</w:t>
      </w:r>
    </w:p>
    <w:p>
      <w:pPr>
        <w:ind w:left="284" w:hanging="284"/>
        <w:spacing w:after="0"/>
        <w:tabs>
          <w:tab w:leader="none" w:pos="284"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 if a global note.</w:t>
      </w:r>
    </w:p>
    <w:p>
      <w:pPr>
        <w:spacing w:after="0" w:line="7" w:lineRule="exact"/>
        <w:rPr>
          <w:rFonts w:ascii="Times New Roman" w:cs="Times New Roman" w:eastAsia="Times New Roman" w:hAnsi="Times New Roman"/>
          <w:sz w:val="16"/>
          <w:szCs w:val="16"/>
          <w:color w:val="auto"/>
        </w:rPr>
      </w:pPr>
    </w:p>
    <w:p>
      <w:pPr>
        <w:ind w:left="284" w:hanging="284"/>
        <w:spacing w:after="0"/>
        <w:tabs>
          <w:tab w:leader="none" w:pos="284"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 if a physical note.</w:t>
      </w:r>
    </w:p>
    <w:p>
      <w:pPr>
        <w:spacing w:after="0" w:line="7" w:lineRule="exact"/>
        <w:rPr>
          <w:rFonts w:ascii="Times New Roman" w:cs="Times New Roman" w:eastAsia="Times New Roman" w:hAnsi="Times New Roman"/>
          <w:sz w:val="16"/>
          <w:szCs w:val="16"/>
          <w:color w:val="auto"/>
        </w:rPr>
      </w:pPr>
    </w:p>
    <w:p>
      <w:pPr>
        <w:ind w:left="284" w:hanging="284"/>
        <w:spacing w:after="0"/>
        <w:tabs>
          <w:tab w:leader="none" w:pos="284"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 if a global note.</w:t>
      </w:r>
    </w:p>
    <w:p>
      <w:pPr>
        <w:spacing w:after="0" w:line="7" w:lineRule="exact"/>
        <w:rPr>
          <w:rFonts w:ascii="Times New Roman" w:cs="Times New Roman" w:eastAsia="Times New Roman" w:hAnsi="Times New Roman"/>
          <w:sz w:val="16"/>
          <w:szCs w:val="16"/>
          <w:color w:val="auto"/>
        </w:rPr>
      </w:pPr>
    </w:p>
    <w:p>
      <w:pPr>
        <w:ind w:left="284" w:hanging="284"/>
        <w:spacing w:after="0"/>
        <w:tabs>
          <w:tab w:leader="none" w:pos="284"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 if a physical note.</w:t>
      </w:r>
    </w:p>
    <w:p>
      <w:pPr>
        <w:spacing w:after="0" w:line="37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4"/>
          </w:cols>
          <w:pgMar w:left="316" w:top="816" w:right="339" w:bottom="1440" w:gutter="0" w:footer="0" w:header="0"/>
        </w:sectPr>
      </w:pPr>
    </w:p>
    <w:bookmarkStart w:id="106" w:name="page107"/>
    <w:bookmarkEnd w:id="106"/>
    <w:p>
      <w:pPr>
        <w:jc w:val="both"/>
        <w:spacing w:after="0" w:line="257" w:lineRule="auto"/>
        <w:rPr>
          <w:sz w:val="20"/>
          <w:szCs w:val="20"/>
          <w:color w:val="auto"/>
        </w:rPr>
      </w:pPr>
      <w:r>
        <w:rPr>
          <w:rFonts w:ascii="Times New Roman" w:cs="Times New Roman" w:eastAsia="Times New Roman" w:hAnsi="Times New Roman"/>
          <w:sz w:val="16"/>
          <w:szCs w:val="16"/>
          <w:color w:val="auto"/>
        </w:rPr>
        <w:t>The Company shall pay the principal of, premium (if any) and any Cash Interest and Applicable Premium on each Note, if and so long as such Note is a Global Note, in immediately available funds to the Depositary or its nominee, as the case may be, as the registered Holder of such Note. The Company shall also pay PIK Interest as described above. As provided in and subject to the provisions of the Indenture, the Company shall pay the principal of and premium (if any) on any Notes (other than Notes that are Global Notes) at the office or agency designated by the Company for that purpose. The Company has initially designated the Trustee as its Paying Agent and Note Registrar in respect of the Notes and its agency in the United States, as a place where Notes may be presented for payment or for registration of transfer and exchange.</w:t>
      </w:r>
    </w:p>
    <w:p>
      <w:pPr>
        <w:spacing w:after="0" w:line="162"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Reference is made to the further provisions of this Note set forth on the reverse hereof, including, without limitation, provisions giving the Holder of this Note the right to convert this Note into cash, shares of Common Stock or a combination of cash and shares of Common Stock, as applicable, on the terms and subject to the limitations set forth in the Indenture. Such further provisions shall for all purposes have the same effect as though fully set forth at this place.</w:t>
      </w:r>
    </w:p>
    <w:p>
      <w:pPr>
        <w:spacing w:after="0" w:line="153"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b w:val="1"/>
          <w:bCs w:val="1"/>
          <w:color w:val="auto"/>
        </w:rPr>
        <w:t>This Note, and any claim, controversy or dispute arising under or related to this Note, shall be construed in accordance with and governed by the laws of the State of New York.</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the case of any conflict between this Note and the Indenture, the provisions of the Indenture shall control and govern.</w:t>
      </w:r>
    </w:p>
    <w:p>
      <w:pPr>
        <w:spacing w:after="0" w:line="198"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This Note shall not be valid or become obligatory for any purpose until the certificate of authentication hereon shall have been signed manually by the Trustee or a duly authorized authenticating agent under the Indenture.</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Remainder of page intentionally left blank</w:t>
      </w:r>
      <w:r>
        <w:rPr>
          <w:rFonts w:ascii="Times New Roman" w:cs="Times New Roman" w:eastAsia="Times New Roman" w:hAnsi="Times New Roman"/>
          <w:sz w:val="16"/>
          <w:szCs w:val="16"/>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07" w:name="page108"/>
    <w:bookmarkEnd w:id="107"/>
    <w:p>
      <w:pPr>
        <w:ind w:left="380"/>
        <w:spacing w:after="0"/>
        <w:rPr>
          <w:sz w:val="20"/>
          <w:szCs w:val="20"/>
          <w:color w:val="auto"/>
        </w:rPr>
      </w:pPr>
      <w:r>
        <w:rPr>
          <w:rFonts w:ascii="Times New Roman" w:cs="Times New Roman" w:eastAsia="Times New Roman" w:hAnsi="Times New Roman"/>
          <w:sz w:val="16"/>
          <w:szCs w:val="16"/>
          <w:color w:val="auto"/>
        </w:rPr>
        <w:t>IN WITNESS WHEREOF, the Company has caused this Note to be duly executed.</w:t>
      </w:r>
    </w:p>
    <w:p>
      <w:pPr>
        <w:spacing w:after="0" w:line="19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4648835</wp:posOffset>
            </wp:positionH>
            <wp:positionV relativeFrom="paragraph">
              <wp:posOffset>15240</wp:posOffset>
            </wp:positionV>
            <wp:extent cx="2496820" cy="152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5"/>
          <w:szCs w:val="15"/>
          <w:color w:val="auto"/>
        </w:rPr>
        <w:t>Name:</w:t>
      </w:r>
    </w:p>
    <w:p>
      <w:pPr>
        <w:spacing w:after="0" w:line="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Title: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TRUSTEE’S CERTIFICATE OF</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AUTHENTICATION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 Bank National Association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Trustee, certifies that this is one of the Notes described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the within-named Indenture.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__________________________________</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Authorized Signatory</w:t>
      </w:r>
    </w:p>
    <w:p>
      <w:pPr>
        <w:spacing w:after="0" w:line="3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39"/>
          </w:cols>
          <w:pgMar w:left="320" w:top="816" w:right="1440"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6"/>
          <w:szCs w:val="16"/>
          <w:color w:val="auto"/>
        </w:rPr>
        <w:t>[FORM OF REVERSE OF NOTE]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15.0% Cash + 5.0% PIK Convertible Senior Notes due 2026</w:t>
      </w:r>
    </w:p>
    <w:p>
      <w:pPr>
        <w:spacing w:after="0" w:line="180"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This Note is one of a duly authorized issue of Notes of the Company, designated as its 15.0% Cash + 5.0% PIK Convertible Senior Notes due 2026 (the “</w:t>
      </w:r>
      <w:r>
        <w:rPr>
          <w:rFonts w:ascii="Times New Roman" w:cs="Times New Roman" w:eastAsia="Times New Roman" w:hAnsi="Times New Roman"/>
          <w:sz w:val="16"/>
          <w:szCs w:val="16"/>
          <w:b w:val="1"/>
          <w:bCs w:val="1"/>
          <w:color w:val="auto"/>
        </w:rPr>
        <w:t>Notes</w:t>
      </w:r>
      <w:r>
        <w:rPr>
          <w:rFonts w:ascii="Times New Roman" w:cs="Times New Roman" w:eastAsia="Times New Roman" w:hAnsi="Times New Roman"/>
          <w:sz w:val="16"/>
          <w:szCs w:val="16"/>
          <w:color w:val="auto"/>
        </w:rPr>
        <w:t>”), limited to the aggregate principal amount of $25,000,000 (excluding PIK Notes), all issued under and pursuant to an Indenture dated as of [●], 2022 (the “</w:t>
      </w:r>
      <w:r>
        <w:rPr>
          <w:rFonts w:ascii="Times New Roman" w:cs="Times New Roman" w:eastAsia="Times New Roman" w:hAnsi="Times New Roman"/>
          <w:sz w:val="16"/>
          <w:szCs w:val="16"/>
          <w:b w:val="1"/>
          <w:bCs w:val="1"/>
          <w:color w:val="auto"/>
        </w:rPr>
        <w:t>Indenture</w:t>
      </w:r>
      <w:r>
        <w:rPr>
          <w:rFonts w:ascii="Times New Roman" w:cs="Times New Roman" w:eastAsia="Times New Roman" w:hAnsi="Times New Roman"/>
          <w:sz w:val="16"/>
          <w:szCs w:val="16"/>
          <w:color w:val="auto"/>
        </w:rPr>
        <w:t>”), between the Company and U.S. Bank National Association (the “</w:t>
      </w:r>
      <w:r>
        <w:rPr>
          <w:rFonts w:ascii="Times New Roman" w:cs="Times New Roman" w:eastAsia="Times New Roman" w:hAnsi="Times New Roman"/>
          <w:sz w:val="16"/>
          <w:szCs w:val="16"/>
          <w:b w:val="1"/>
          <w:bCs w:val="1"/>
          <w:color w:val="auto"/>
        </w:rPr>
        <w:t>Trustee</w:t>
      </w:r>
      <w:r>
        <w:rPr>
          <w:rFonts w:ascii="Times New Roman" w:cs="Times New Roman" w:eastAsia="Times New Roman" w:hAnsi="Times New Roman"/>
          <w:sz w:val="16"/>
          <w:szCs w:val="16"/>
          <w:color w:val="auto"/>
        </w:rPr>
        <w:t>”), to which Indenture and all indentures supplemental thereto reference is hereby made for a description of the rights, limitations of rights, obligations, duties and immunities thereunder of the Trustee, the Company and the Holders of the Notes. Additional Notes may be issued in an aggregate principal amount not to exceed $25,000,000, subject to certain conditions specified in the Indenture. Capitalized terms used in this Note and not defined in this Note shall have the respective meanings set forth in the Indenture.</w:t>
      </w:r>
    </w:p>
    <w:p>
      <w:pPr>
        <w:spacing w:after="0" w:line="163"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In case certain Events of Default shall have occurred and be continuing, the principal of, and interest on, all Notes may be declared, by either the Trustee or Holders of at least 25% in aggregate principal amount of Notes then outstanding, and upon said declaration shall become, due and payable, in the manner, with the effect and subject to the conditions and certain exceptions set forth in the Indenture.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will pay cash amounts in money of the United States that at the time of payment is legal tender for payment of public and private debts.</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The Indenture contains provisions permitting the Company and the Trustee in certain circumstances, without the consent of the Holders of the Notes, and in certain other circumstances, with the consent of the Holders of not less than a majority in aggregate principal amount of the Notes at the time outstanding (including, without limitation, additional Notes and PIK Notes), evidenced as in the Indenture provided, to execute supplemental indentures modifying the terms of the Indenture and the Notes as described therein. It is also provided in the Indenture that, subject to certain exceptions, the Holders of a majority in aggregate principal amount of the Notes at the time outstanding (including, without limitation, additional Notes and PIK Notes) may on behalf of the Holders of all of the Notes waive any past Default or Event of Default under the Indenture and its consequences.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Each Holder shall have the right to receive payment or delivery as described in the Indenture.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09" w:name="page110"/>
    <w:bookmarkEnd w:id="109"/>
    <w:p>
      <w:pPr>
        <w:jc w:val="both"/>
        <w:ind w:right="20"/>
        <w:spacing w:after="0" w:line="254" w:lineRule="auto"/>
        <w:rPr>
          <w:sz w:val="20"/>
          <w:szCs w:val="20"/>
          <w:color w:val="auto"/>
        </w:rPr>
      </w:pPr>
      <w:r>
        <w:rPr>
          <w:rFonts w:ascii="Times New Roman" w:cs="Times New Roman" w:eastAsia="Times New Roman" w:hAnsi="Times New Roman"/>
          <w:sz w:val="16"/>
          <w:szCs w:val="16"/>
          <w:color w:val="auto"/>
        </w:rPr>
        <w:t>The Notes are issuable in registered form without coupons in denominations of $1,000 principal amount and integral multiples thereof, subject to the issuance of PIK Notes or the increase in the principal amount of a Global Note in order to evidence PIK Payments, which PIK Notes or increased principal amount of a Global Note will be in denominations of $1.00 and integral multiples of $1.00 in excess thereof. At the office or agency of the Company referred to on the face hereof, and in the manner and subject to the limitations provided in the Indenture, Notes may be exchanged for a like aggregate principal amount of Notes of other authorized denominations, without payment of any service charge but, if required by the Company or Trustee, with payment of a sum sufficient to cover any transfer or similar tax that may be imposed in connection therewith as a result of the name of the Holder of the new Notes issued upon such exchange of Notes being different from the name of the Holder of the old Notes surrendered for such exchange.</w:t>
      </w:r>
    </w:p>
    <w:p>
      <w:pPr>
        <w:spacing w:after="0" w:line="16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Notes shall be redeemable at the Company’s option in accordance with the terms and subject to the conditions specified in the Indenture. No sinking fund is provided for the Notes.</w:t>
      </w:r>
    </w:p>
    <w:p>
      <w:pPr>
        <w:spacing w:after="0" w:line="14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Upon the occurrence of a Fundamental Change, the Holder has the right, at such Holder’s option, to require the Company to repurchase for cash all of such Holder’s Notes or any portion thereof (in principal amounts of $1,000 or integral multiples thereof) on the Fundamental Change Repurchase Date at a price equal to the Fundamental Change Repurchase Price.</w:t>
      </w:r>
    </w:p>
    <w:p>
      <w:pPr>
        <w:spacing w:after="0" w:line="155"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The Company is, subject to certain conditions and exceptions, obligated to make a Net Proceeds Offer to all Holders to purchase that amount of Notes equal to Excess Proceeds at a price equal to 100% of their principal amount, plus accrued and unpaid interest thereon, if any, to but not including the date of purchase, with Excess Proceeds, in each case, of certain sales or other dispositions of assets in accordance with the Indenture.</w:t>
      </w:r>
    </w:p>
    <w:p>
      <w:pPr>
        <w:spacing w:after="0" w:line="155"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Subject to the provisions of the Indenture, the Holder hereof has the right, at its option, during certain periods and upon the occurrence of certain conditions specified in the Indenture, prior to the close of business on the second Scheduled Trading Day immediately preceding the Maturity Date, to convert any Notes or portion thereof that is $1,000 or an integral multiple thereof, into cash, shares of Common Stock or a combination of cash and shares of Common Stock, as applicable, at the Conversion Rate specified in the Indenture, as adjusted from time to time as provided in the Indenture.</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6"/>
          <w:szCs w:val="16"/>
          <w:color w:val="auto"/>
        </w:rPr>
        <w:t>ABBREVIATIONS</w:t>
      </w:r>
    </w:p>
    <w:p>
      <w:pPr>
        <w:spacing w:after="0" w:line="198"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The following abbreviations, when used in the inscription of the face of this Note, shall be construed as though they were written out in full according to applicable laws or regulations: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TEN COM = as tenants in common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UNIF GIFT MIN ACT = Uniform Gifts to Minors Act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CUST = Custodian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TEN ENT = as tenants by the entireties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JT TEN = joint tenants with right of survivorship and not as tenants in common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Additional abbreviations may also be used though not in the above list.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6"/>
          <w:szCs w:val="16"/>
          <w:b w:val="1"/>
          <w:bCs w:val="1"/>
          <w:color w:val="auto"/>
        </w:rPr>
        <w:t>SCHEDULE A</w:t>
      </w:r>
      <w:r>
        <w:rPr>
          <w:rFonts w:ascii="Times New Roman" w:cs="Times New Roman" w:eastAsia="Times New Roman" w:hAnsi="Times New Roman"/>
          <w:sz w:val="26"/>
          <w:szCs w:val="26"/>
          <w:b w:val="1"/>
          <w:bCs w:val="1"/>
          <w:color w:val="auto"/>
          <w:vertAlign w:val="superscript"/>
        </w:rPr>
        <w:t>23</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SCHEDULE OF EXCHANGES OF NOTES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15.0% Cash + 5.0% PIK Convertible Senior Notes due 2026</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initial principal amount of this Global Note is DOLLARS ($[__]). The following increases (including for PIK Interest) or decreases in this Global Note have been made:</w:t>
      </w:r>
    </w:p>
    <w:p>
      <w:pPr>
        <w:sectPr>
          <w:pgSz w:w="11900" w:h="16838" w:orient="portrait"/>
          <w:cols w:equalWidth="0" w:num="1">
            <w:col w:w="11260"/>
          </w:cols>
          <w:pgMar w:left="320" w:top="818"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Date of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3650615</wp:posOffset>
            </wp:positionV>
            <wp:extent cx="1790700" cy="152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Amount of decrease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 principal amount</w:t>
      </w:r>
    </w:p>
    <w:p>
      <w:pPr>
        <w:spacing w:after="0" w:line="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of this Global Note</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2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Principal amount of</w:t>
            </w:r>
          </w:p>
        </w:tc>
        <w:tc>
          <w:tcPr>
            <w:tcW w:w="2260" w:type="dxa"/>
            <w:vAlign w:val="bottom"/>
          </w:tcPr>
          <w:p>
            <w:pPr>
              <w:spacing w:after="0"/>
              <w:rPr>
                <w:sz w:val="16"/>
                <w:szCs w:val="16"/>
                <w:color w:val="auto"/>
              </w:rPr>
            </w:pPr>
          </w:p>
        </w:tc>
      </w:tr>
      <w:tr>
        <w:trPr>
          <w:trHeight w:val="191"/>
        </w:trPr>
        <w:tc>
          <w:tcPr>
            <w:tcW w:w="2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Amount of increase</w:t>
            </w: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this Global Note</w:t>
            </w: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Signature of</w:t>
            </w:r>
          </w:p>
        </w:tc>
      </w:tr>
      <w:tr>
        <w:trPr>
          <w:trHeight w:val="191"/>
        </w:trPr>
        <w:tc>
          <w:tcPr>
            <w:tcW w:w="2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in principal amount</w:t>
            </w: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following such</w:t>
            </w: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authorized signatory</w:t>
            </w:r>
          </w:p>
        </w:tc>
      </w:tr>
      <w:tr>
        <w:trPr>
          <w:trHeight w:val="214"/>
        </w:trPr>
        <w:tc>
          <w:tcPr>
            <w:tcW w:w="22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of this Global Note</w:t>
            </w: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decrease or increase</w:t>
            </w: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of Trustee or Custodian</w:t>
            </w:r>
          </w:p>
        </w:tc>
      </w:tr>
      <w:tr>
        <w:trPr>
          <w:trHeight w:val="219"/>
        </w:trPr>
        <w:tc>
          <w:tcPr>
            <w:tcW w:w="202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60" w:type="dxa"/>
            <w:vAlign w:val="bottom"/>
            <w:tcBorders>
              <w:top w:val="single" w:sz="8" w:color="auto"/>
              <w:bottom w:val="single" w:sz="8" w:color="auto"/>
            </w:tcBorders>
          </w:tcPr>
          <w:p>
            <w:pPr>
              <w:spacing w:after="0"/>
              <w:rPr>
                <w:sz w:val="19"/>
                <w:szCs w:val="19"/>
                <w:color w:val="auto"/>
              </w:rPr>
            </w:pPr>
          </w:p>
        </w:tc>
      </w:tr>
      <w:tr>
        <w:trPr>
          <w:trHeight w:val="219"/>
        </w:trPr>
        <w:tc>
          <w:tcPr>
            <w:tcW w:w="20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r>
      <w:tr>
        <w:trPr>
          <w:trHeight w:val="219"/>
        </w:trPr>
        <w:tc>
          <w:tcPr>
            <w:tcW w:w="20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r>
      <w:tr>
        <w:trPr>
          <w:trHeight w:val="219"/>
        </w:trPr>
        <w:tc>
          <w:tcPr>
            <w:tcW w:w="20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r>
      <w:tr>
        <w:trPr>
          <w:trHeight w:val="219"/>
        </w:trPr>
        <w:tc>
          <w:tcPr>
            <w:tcW w:w="20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r>
      <w:tr>
        <w:trPr>
          <w:trHeight w:val="219"/>
        </w:trPr>
        <w:tc>
          <w:tcPr>
            <w:tcW w:w="20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r>
      <w:tr>
        <w:trPr>
          <w:trHeight w:val="219"/>
        </w:trPr>
        <w:tc>
          <w:tcPr>
            <w:tcW w:w="20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r>
      <w:tr>
        <w:trPr>
          <w:trHeight w:val="219"/>
        </w:trPr>
        <w:tc>
          <w:tcPr>
            <w:tcW w:w="20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r>
      <w:tr>
        <w:trPr>
          <w:trHeight w:val="219"/>
        </w:trPr>
        <w:tc>
          <w:tcPr>
            <w:tcW w:w="20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r>
      <w:tr>
        <w:trPr>
          <w:trHeight w:val="219"/>
        </w:trPr>
        <w:tc>
          <w:tcPr>
            <w:tcW w:w="20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r>
      <w:tr>
        <w:trPr>
          <w:trHeight w:val="219"/>
        </w:trPr>
        <w:tc>
          <w:tcPr>
            <w:tcW w:w="20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r>
      <w:tr>
        <w:trPr>
          <w:trHeight w:val="219"/>
        </w:trPr>
        <w:tc>
          <w:tcPr>
            <w:tcW w:w="20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r>
      <w:tr>
        <w:trPr>
          <w:trHeight w:val="219"/>
        </w:trPr>
        <w:tc>
          <w:tcPr>
            <w:tcW w:w="20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r>
      <w:tr>
        <w:trPr>
          <w:trHeight w:val="219"/>
        </w:trPr>
        <w:tc>
          <w:tcPr>
            <w:tcW w:w="20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r>
      <w:tr>
        <w:trPr>
          <w:trHeight w:val="219"/>
        </w:trPr>
        <w:tc>
          <w:tcPr>
            <w:tcW w:w="20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r>
      <w:tr>
        <w:trPr>
          <w:trHeight w:val="219"/>
        </w:trPr>
        <w:tc>
          <w:tcPr>
            <w:tcW w:w="20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r>
      <w:tr>
        <w:trPr>
          <w:trHeight w:val="219"/>
        </w:trPr>
        <w:tc>
          <w:tcPr>
            <w:tcW w:w="20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r>
      <w:tr>
        <w:trPr>
          <w:trHeight w:val="219"/>
        </w:trPr>
        <w:tc>
          <w:tcPr>
            <w:tcW w:w="20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r>
      <w:tr>
        <w:trPr>
          <w:trHeight w:val="219"/>
        </w:trPr>
        <w:tc>
          <w:tcPr>
            <w:tcW w:w="20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r>
      <w:tr>
        <w:trPr>
          <w:trHeight w:val="219"/>
        </w:trPr>
        <w:tc>
          <w:tcPr>
            <w:tcW w:w="20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r>
      <w:tr>
        <w:trPr>
          <w:trHeight w:val="219"/>
        </w:trPr>
        <w:tc>
          <w:tcPr>
            <w:tcW w:w="20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r>
      <w:tr>
        <w:trPr>
          <w:trHeight w:val="219"/>
        </w:trPr>
        <w:tc>
          <w:tcPr>
            <w:tcW w:w="20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r>
      <w:tr>
        <w:trPr>
          <w:trHeight w:val="219"/>
        </w:trPr>
        <w:tc>
          <w:tcPr>
            <w:tcW w:w="20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-2872105</wp:posOffset>
            </wp:positionH>
            <wp:positionV relativeFrom="paragraph">
              <wp:posOffset>-166370</wp:posOffset>
            </wp:positionV>
            <wp:extent cx="7148195" cy="1670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8195" cy="167005"/>
                    </a:xfrm>
                    <a:prstGeom prst="rect">
                      <a:avLst/>
                    </a:prstGeom>
                    <a:noFill/>
                  </pic:spPr>
                </pic:pic>
              </a:graphicData>
            </a:graphic>
          </wp:anchor>
        </w:drawing>
        <w:drawing>
          <wp:anchor simplePos="0" relativeHeight="251657728" behindDoc="1" locked="0" layoutInCell="0" allowOverlap="1">
            <wp:simplePos x="0" y="0"/>
            <wp:positionH relativeFrom="column">
              <wp:posOffset>-2872105</wp:posOffset>
            </wp:positionH>
            <wp:positionV relativeFrom="paragraph">
              <wp:posOffset>-469900</wp:posOffset>
            </wp:positionV>
            <wp:extent cx="7148195" cy="1670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8195" cy="167005"/>
                    </a:xfrm>
                    <a:prstGeom prst="rect">
                      <a:avLst/>
                    </a:prstGeom>
                    <a:noFill/>
                  </pic:spPr>
                </pic:pic>
              </a:graphicData>
            </a:graphic>
          </wp:anchor>
        </w:drawing>
        <w:drawing>
          <wp:anchor simplePos="0" relativeHeight="251657728" behindDoc="1" locked="0" layoutInCell="0" allowOverlap="1">
            <wp:simplePos x="0" y="0"/>
            <wp:positionH relativeFrom="column">
              <wp:posOffset>-2872105</wp:posOffset>
            </wp:positionH>
            <wp:positionV relativeFrom="paragraph">
              <wp:posOffset>-773430</wp:posOffset>
            </wp:positionV>
            <wp:extent cx="7148195" cy="1670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8195" cy="167005"/>
                    </a:xfrm>
                    <a:prstGeom prst="rect">
                      <a:avLst/>
                    </a:prstGeom>
                    <a:noFill/>
                  </pic:spPr>
                </pic:pic>
              </a:graphicData>
            </a:graphic>
          </wp:anchor>
        </w:drawing>
        <w:drawing>
          <wp:anchor simplePos="0" relativeHeight="251657728" behindDoc="1" locked="0" layoutInCell="0" allowOverlap="1">
            <wp:simplePos x="0" y="0"/>
            <wp:positionH relativeFrom="column">
              <wp:posOffset>-2872105</wp:posOffset>
            </wp:positionH>
            <wp:positionV relativeFrom="paragraph">
              <wp:posOffset>-1076960</wp:posOffset>
            </wp:positionV>
            <wp:extent cx="7148195" cy="1670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8195" cy="167005"/>
                    </a:xfrm>
                    <a:prstGeom prst="rect">
                      <a:avLst/>
                    </a:prstGeom>
                    <a:noFill/>
                  </pic:spPr>
                </pic:pic>
              </a:graphicData>
            </a:graphic>
          </wp:anchor>
        </w:drawing>
        <w:drawing>
          <wp:anchor simplePos="0" relativeHeight="251657728" behindDoc="1" locked="0" layoutInCell="0" allowOverlap="1">
            <wp:simplePos x="0" y="0"/>
            <wp:positionH relativeFrom="column">
              <wp:posOffset>-2872105</wp:posOffset>
            </wp:positionH>
            <wp:positionV relativeFrom="paragraph">
              <wp:posOffset>-1380490</wp:posOffset>
            </wp:positionV>
            <wp:extent cx="7148195" cy="1670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8195" cy="167005"/>
                    </a:xfrm>
                    <a:prstGeom prst="rect">
                      <a:avLst/>
                    </a:prstGeom>
                    <a:noFill/>
                  </pic:spPr>
                </pic:pic>
              </a:graphicData>
            </a:graphic>
          </wp:anchor>
        </w:drawing>
        <w:drawing>
          <wp:anchor simplePos="0" relativeHeight="251657728" behindDoc="1" locked="0" layoutInCell="0" allowOverlap="1">
            <wp:simplePos x="0" y="0"/>
            <wp:positionH relativeFrom="column">
              <wp:posOffset>-2872105</wp:posOffset>
            </wp:positionH>
            <wp:positionV relativeFrom="paragraph">
              <wp:posOffset>-1684020</wp:posOffset>
            </wp:positionV>
            <wp:extent cx="7148195" cy="1670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8195" cy="167005"/>
                    </a:xfrm>
                    <a:prstGeom prst="rect">
                      <a:avLst/>
                    </a:prstGeom>
                    <a:noFill/>
                  </pic:spPr>
                </pic:pic>
              </a:graphicData>
            </a:graphic>
          </wp:anchor>
        </w:drawing>
        <w:drawing>
          <wp:anchor simplePos="0" relativeHeight="251657728" behindDoc="1" locked="0" layoutInCell="0" allowOverlap="1">
            <wp:simplePos x="0" y="0"/>
            <wp:positionH relativeFrom="column">
              <wp:posOffset>-2872105</wp:posOffset>
            </wp:positionH>
            <wp:positionV relativeFrom="paragraph">
              <wp:posOffset>-1987550</wp:posOffset>
            </wp:positionV>
            <wp:extent cx="7148195" cy="1670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8195" cy="167005"/>
                    </a:xfrm>
                    <a:prstGeom prst="rect">
                      <a:avLst/>
                    </a:prstGeom>
                    <a:noFill/>
                  </pic:spPr>
                </pic:pic>
              </a:graphicData>
            </a:graphic>
          </wp:anchor>
        </w:drawing>
        <w:drawing>
          <wp:anchor simplePos="0" relativeHeight="251657728" behindDoc="1" locked="0" layoutInCell="0" allowOverlap="1">
            <wp:simplePos x="0" y="0"/>
            <wp:positionH relativeFrom="column">
              <wp:posOffset>-2872105</wp:posOffset>
            </wp:positionH>
            <wp:positionV relativeFrom="paragraph">
              <wp:posOffset>-2291080</wp:posOffset>
            </wp:positionV>
            <wp:extent cx="7148195" cy="1670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8195" cy="167005"/>
                    </a:xfrm>
                    <a:prstGeom prst="rect">
                      <a:avLst/>
                    </a:prstGeom>
                    <a:noFill/>
                  </pic:spPr>
                </pic:pic>
              </a:graphicData>
            </a:graphic>
          </wp:anchor>
        </w:drawing>
        <w:drawing>
          <wp:anchor simplePos="0" relativeHeight="251657728" behindDoc="1" locked="0" layoutInCell="0" allowOverlap="1">
            <wp:simplePos x="0" y="0"/>
            <wp:positionH relativeFrom="column">
              <wp:posOffset>-2872105</wp:posOffset>
            </wp:positionH>
            <wp:positionV relativeFrom="paragraph">
              <wp:posOffset>-2594610</wp:posOffset>
            </wp:positionV>
            <wp:extent cx="7148195" cy="1670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8195" cy="167005"/>
                    </a:xfrm>
                    <a:prstGeom prst="rect">
                      <a:avLst/>
                    </a:prstGeom>
                    <a:noFill/>
                  </pic:spPr>
                </pic:pic>
              </a:graphicData>
            </a:graphic>
          </wp:anchor>
        </w:drawing>
        <w:drawing>
          <wp:anchor simplePos="0" relativeHeight="251657728" behindDoc="1" locked="0" layoutInCell="0" allowOverlap="1">
            <wp:simplePos x="0" y="0"/>
            <wp:positionH relativeFrom="column">
              <wp:posOffset>-2872105</wp:posOffset>
            </wp:positionH>
            <wp:positionV relativeFrom="paragraph">
              <wp:posOffset>-2898140</wp:posOffset>
            </wp:positionV>
            <wp:extent cx="7148195" cy="1670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8195" cy="167005"/>
                    </a:xfrm>
                    <a:prstGeom prst="rect">
                      <a:avLst/>
                    </a:prstGeom>
                    <a:noFill/>
                  </pic:spPr>
                </pic:pic>
              </a:graphicData>
            </a:graphic>
          </wp:anchor>
        </w:drawing>
        <w:drawing>
          <wp:anchor simplePos="0" relativeHeight="251657728" behindDoc="1" locked="0" layoutInCell="0" allowOverlap="1">
            <wp:simplePos x="0" y="0"/>
            <wp:positionH relativeFrom="column">
              <wp:posOffset>-2872105</wp:posOffset>
            </wp:positionH>
            <wp:positionV relativeFrom="paragraph">
              <wp:posOffset>-3201670</wp:posOffset>
            </wp:positionV>
            <wp:extent cx="7148195" cy="1670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8195" cy="167005"/>
                    </a:xfrm>
                    <a:prstGeom prst="rect">
                      <a:avLst/>
                    </a:prstGeom>
                    <a:noFill/>
                  </pic:spPr>
                </pic:pic>
              </a:graphicData>
            </a:graphic>
          </wp:anchor>
        </w:drawing>
        <w:drawing>
          <wp:anchor simplePos="0" relativeHeight="251657728" behindDoc="1" locked="0" layoutInCell="0" allowOverlap="1">
            <wp:simplePos x="0" y="0"/>
            <wp:positionH relativeFrom="column">
              <wp:posOffset>-2872105</wp:posOffset>
            </wp:positionH>
            <wp:positionV relativeFrom="paragraph">
              <wp:posOffset>-3505200</wp:posOffset>
            </wp:positionV>
            <wp:extent cx="7148195" cy="1670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8195" cy="1670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1860" w:space="720"/>
            <w:col w:w="1360" w:space="580"/>
            <w:col w:w="6740"/>
          </w:cols>
          <w:pgMar w:left="320" w:top="818" w:right="319" w:bottom="1440" w:gutter="0" w:footer="0" w:header="0"/>
          <w:type w:val="continuous"/>
        </w:sectPr>
      </w:pPr>
    </w:p>
    <w:p>
      <w:pPr>
        <w:spacing w:after="0" w:line="11"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color w:val="auto"/>
        </w:rPr>
        <w:t>23</w:t>
      </w:r>
      <w:r>
        <w:rPr>
          <w:sz w:val="20"/>
          <w:szCs w:val="20"/>
          <w:color w:val="auto"/>
        </w:rPr>
        <w:tab/>
      </w:r>
      <w:r>
        <w:rPr>
          <w:rFonts w:ascii="Times New Roman" w:cs="Times New Roman" w:eastAsia="Times New Roman" w:hAnsi="Times New Roman"/>
          <w:sz w:val="15"/>
          <w:szCs w:val="15"/>
          <w:color w:val="auto"/>
        </w:rPr>
        <w:t>Include if a global note.</w:t>
      </w:r>
    </w:p>
    <w:p>
      <w:pPr>
        <w:spacing w:after="0" w:line="3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8" w:right="319" w:bottom="1440" w:gutter="0" w:footer="0" w:header="0"/>
          <w:type w:val="continuous"/>
        </w:sectPr>
      </w:pPr>
    </w:p>
    <w:bookmarkStart w:id="112" w:name="page113"/>
    <w:bookmarkEnd w:id="112"/>
    <w:p>
      <w:pPr>
        <w:jc w:val="right"/>
        <w:spacing w:after="0"/>
        <w:rPr>
          <w:sz w:val="20"/>
          <w:szCs w:val="20"/>
          <w:color w:val="auto"/>
        </w:rPr>
      </w:pPr>
      <w:r>
        <w:rPr>
          <w:rFonts w:ascii="Times New Roman" w:cs="Times New Roman" w:eastAsia="Times New Roman" w:hAnsi="Times New Roman"/>
          <w:sz w:val="16"/>
          <w:szCs w:val="16"/>
          <w:b w:val="1"/>
          <w:bCs w:val="1"/>
          <w:color w:val="auto"/>
        </w:rPr>
        <w:t>ATTACHMENT 1</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 OF NOTICE OF CONVERSION]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U.S. Bank National Association, as Trustee</w:t>
      </w:r>
    </w:p>
    <w:p>
      <w:pPr>
        <w:spacing w:after="0" w:line="20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26"/>
          <w:szCs w:val="26"/>
          <w:color w:val="auto"/>
          <w:vertAlign w:val="superscript"/>
        </w:rPr>
        <w:t>24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Attention: [●]</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The undersigned registered owner of this Note hereby exercises the option to convert this Note, or the portion hereof (that is $1,000 principal amount or an integral multiple thereof) below designated, into cash, shares of Common Stock or a combination of cash and shares of Common Stock, as applicable, in accordance with the terms of the Indenture referred to in this Note, and directs that any cash payable and any shares of Common Stock issuable and deliverable upon such conversion, together with any cash for any fractional share, and any Notes representing any unconverted principal amount hereof, be issued and delivered to the registered Holder hereof unless a different name has been indicated below. If any shares of Common Stock or any portion of this Note not converted are to be issued in the name of a Person other than the undersigned, the undersigned will pay all documentary, stamp or similar issue or transfer taxes, if any in accordance with Section 14.02(d) and Section 14.02(e) of the Indenture. Any amount required to be paid to the undersigned on account of interest accompanies this Note. Capitalized terms used herein but not defined shall have the meanings ascribed to such terms in the Indenture.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1932305</wp:posOffset>
            </wp:positionH>
            <wp:positionV relativeFrom="paragraph">
              <wp:posOffset>174625</wp:posOffset>
            </wp:positionV>
            <wp:extent cx="1783080" cy="152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783080" cy="15240"/>
                    </a:xfrm>
                    <a:prstGeom prst="rect">
                      <a:avLst/>
                    </a:prstGeom>
                    <a:noFill/>
                  </pic:spPr>
                </pic:pic>
              </a:graphicData>
            </a:graphic>
          </wp:anchor>
        </w:drawing>
        <w:drawing>
          <wp:anchor simplePos="0" relativeHeight="251657728" behindDoc="1" locked="0" layoutInCell="0" allowOverlap="1">
            <wp:simplePos x="0" y="0"/>
            <wp:positionH relativeFrom="column">
              <wp:posOffset>361315</wp:posOffset>
            </wp:positionH>
            <wp:positionV relativeFrom="paragraph">
              <wp:posOffset>22860</wp:posOffset>
            </wp:positionV>
            <wp:extent cx="1434465" cy="152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434465" cy="15240"/>
                    </a:xfrm>
                    <a:prstGeom prst="rect">
                      <a:avLst/>
                    </a:prstGeom>
                    <a:noFill/>
                  </pic:spPr>
                </pic:pic>
              </a:graphicData>
            </a:graphic>
          </wp:anchor>
        </w:drawing>
      </w:r>
    </w:p>
    <w:p>
      <w:pPr>
        <w:spacing w:after="0" w:line="26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6"/>
          <w:szCs w:val="16"/>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159385</wp:posOffset>
            </wp:positionV>
            <wp:extent cx="1798320" cy="152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798320" cy="15240"/>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 Guarantee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Signature(s) must be guaranteed by an eligible guarantor institution (banks, stock</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brokers, savings and loan associations and credit unions) with membership in an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approved  signature  guarantee  medallion  program  pursuant  to  Securities  and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Exchange Commission Rule 17Ad-15 if shares of Common Stock are to be issued,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or Notes are to be delivered, other than to and in the name of the registered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125730</wp:posOffset>
            </wp:positionV>
            <wp:extent cx="1790700" cy="152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196"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color w:val="auto"/>
        </w:rPr>
        <w:t>24</w:t>
      </w:r>
      <w:r>
        <w:rPr>
          <w:sz w:val="20"/>
          <w:szCs w:val="20"/>
          <w:color w:val="auto"/>
        </w:rPr>
        <w:tab/>
      </w:r>
      <w:r>
        <w:rPr>
          <w:rFonts w:ascii="Times New Roman" w:cs="Times New Roman" w:eastAsia="Times New Roman" w:hAnsi="Times New Roman"/>
          <w:sz w:val="15"/>
          <w:szCs w:val="15"/>
          <w:b w:val="1"/>
          <w:bCs w:val="1"/>
          <w:color w:val="auto"/>
        </w:rPr>
        <w:t>Note to Draft</w:t>
      </w:r>
      <w:r>
        <w:rPr>
          <w:rFonts w:ascii="Times New Roman" w:cs="Times New Roman" w:eastAsia="Times New Roman" w:hAnsi="Times New Roman"/>
          <w:sz w:val="15"/>
          <w:szCs w:val="15"/>
          <w:color w:val="auto"/>
        </w:rPr>
        <w:t>: Trustee to provide.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6"/>
          <w:szCs w:val="16"/>
          <w:color w:val="auto"/>
        </w:rPr>
        <w:t>Fill in for registration of shares if to be issued, and Notes if to be delivered, other</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than to and in the name of the registered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247015</wp:posOffset>
            </wp:positionV>
            <wp:extent cx="3437255" cy="152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37255" cy="15240"/>
                    </a:xfrm>
                    <a:prstGeom prst="rect">
                      <a:avLst/>
                    </a:prstGeom>
                    <a:noFill/>
                  </pic:spPr>
                </pic:pic>
              </a:graphicData>
            </a:graphic>
          </wp:anchor>
        </w:drawing>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257810</wp:posOffset>
            </wp:positionV>
            <wp:extent cx="3437255" cy="152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37255" cy="1524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257810</wp:posOffset>
            </wp:positionV>
            <wp:extent cx="3437255" cy="152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37255" cy="1524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(City, State and Zip Code)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Please print name and address</w:t>
      </w:r>
    </w:p>
    <w:p>
      <w:pPr>
        <w:spacing w:after="0" w:line="18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Principal amount to be converted (if less than all):</w:t>
      </w:r>
    </w:p>
    <w:p>
      <w:pPr>
        <w:spacing w:after="0" w:line="24" w:lineRule="exact"/>
        <w:rPr>
          <w:sz w:val="20"/>
          <w:szCs w:val="20"/>
          <w:color w:val="auto"/>
        </w:rPr>
      </w:pPr>
    </w:p>
    <w:p>
      <w:pPr>
        <w:ind w:left="5920" w:hanging="404"/>
        <w:spacing w:after="0"/>
        <w:tabs>
          <w:tab w:leader="none" w:pos="5920"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,000</w:t>
      </w:r>
    </w:p>
    <w:p>
      <w:pPr>
        <w:spacing w:after="0" w:line="182" w:lineRule="exact"/>
        <w:rPr>
          <w:sz w:val="20"/>
          <w:szCs w:val="20"/>
          <w:color w:val="auto"/>
        </w:rPr>
      </w:pPr>
    </w:p>
    <w:p>
      <w:pPr>
        <w:jc w:val="both"/>
        <w:ind w:left="5520"/>
        <w:spacing w:after="0" w:line="265" w:lineRule="auto"/>
        <w:rPr>
          <w:sz w:val="20"/>
          <w:szCs w:val="20"/>
          <w:color w:val="auto"/>
        </w:rPr>
      </w:pPr>
      <w:r>
        <w:rPr>
          <w:rFonts w:ascii="Times New Roman" w:cs="Times New Roman" w:eastAsia="Times New Roman" w:hAnsi="Times New Roman"/>
          <w:sz w:val="16"/>
          <w:szCs w:val="16"/>
          <w:color w:val="auto"/>
        </w:rPr>
        <w:t>NOTICE: The above signature(s) of the Holder(s) hereof must correspond with the name as written upon the face of the Note in every particular without alteration or enlargement or any change whatever.</w:t>
      </w:r>
    </w:p>
    <w:p>
      <w:pPr>
        <w:spacing w:after="0" w:line="15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Social Security or Other Taxpayer</w:t>
      </w:r>
    </w:p>
    <w:p>
      <w:pPr>
        <w:spacing w:after="0" w:line="2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Identification Number</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6"/>
          <w:szCs w:val="16"/>
          <w:b w:val="1"/>
          <w:bCs w:val="1"/>
          <w:color w:val="auto"/>
        </w:rPr>
        <w:t>ATTACHMENT 2</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 OF FUNDAMENTAL CHANGE REPURCHASE NOTICE]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U.S. Bank National Association, as Trustee</w:t>
      </w:r>
    </w:p>
    <w:p>
      <w:pPr>
        <w:spacing w:after="0" w:line="20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26"/>
          <w:szCs w:val="26"/>
          <w:color w:val="auto"/>
          <w:vertAlign w:val="superscript"/>
        </w:rPr>
        <w:t>25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Attention: [●]</w:t>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The undersigned registered owner of this Note hereby acknowledges receipt of a notice from [●]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as to the occurrence of a Fundamental Change with respect to the Company and specifying the Fundamental Change Repurchase Date and requests and instructs the Company to pay to the registered holder hereof in accordance with Section 15.02 of the Indenture referred to in this Note (1) the entire principal amount of this Note, or the portion thereof (that is $1,000 principal amount or an integral multiple thereof) below designated, and (2) if such Fundamental Change Repurchase Date does not fall during the period after a Regular Record Date and on or prior to the corresponding Interest Payment Date, accrued and unpaid interest, if any, thereon to, but excluding, such Fundamental Change Repurchase Date. Capitalized terms used herein but not defined shall have the meanings ascribed to such terms in the Indenture.</w:t>
      </w:r>
    </w:p>
    <w:p>
      <w:pPr>
        <w:sectPr>
          <w:pgSz w:w="11900" w:h="16838" w:orient="portrait"/>
          <w:cols w:equalWidth="0" w:num="1">
            <w:col w:w="11240"/>
          </w:cols>
          <w:pgMar w:left="320" w:top="814" w:right="339" w:bottom="1440" w:gutter="0" w:footer="0" w:header="0"/>
        </w:sectPr>
      </w:pP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 the case of Physical Notes, the certificate numbers of the Notes to be repurchased are as set forth below:</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15240</wp:posOffset>
            </wp:positionV>
            <wp:extent cx="2503805" cy="152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503805"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1479550</wp:posOffset>
            </wp:positionV>
            <wp:extent cx="1790700" cy="152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color w:val="auto"/>
        </w:rPr>
        <w:t>25</w:t>
      </w:r>
      <w:r>
        <w:rPr>
          <w:sz w:val="20"/>
          <w:szCs w:val="20"/>
          <w:color w:val="auto"/>
        </w:rPr>
        <w:tab/>
      </w:r>
      <w:r>
        <w:rPr>
          <w:rFonts w:ascii="Times New Roman" w:cs="Times New Roman" w:eastAsia="Times New Roman" w:hAnsi="Times New Roman"/>
          <w:sz w:val="15"/>
          <w:szCs w:val="15"/>
          <w:b w:val="1"/>
          <w:bCs w:val="1"/>
          <w:color w:val="auto"/>
        </w:rPr>
        <w:t>Note to Draft</w:t>
      </w:r>
      <w:r>
        <w:rPr>
          <w:rFonts w:ascii="Times New Roman" w:cs="Times New Roman" w:eastAsia="Times New Roman" w:hAnsi="Times New Roman"/>
          <w:sz w:val="15"/>
          <w:szCs w:val="15"/>
          <w:color w:val="auto"/>
        </w:rPr>
        <w:t>: Trustee to provide.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Social Security or Other Taxpayer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Identification Number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Principal amount to be repaid (if less than all):</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,000</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NOTICE: The above signature(s) of the Holder(s) hereof must correspond with the name as written upon the face of the Note in every particular without alteration or enlargement or any change whatever.</w:t>
      </w:r>
    </w:p>
    <w:p>
      <w:pPr>
        <w:spacing w:after="0" w:line="579" w:lineRule="exact"/>
        <w:rPr>
          <w:sz w:val="20"/>
          <w:szCs w:val="20"/>
          <w:color w:val="auto"/>
        </w:rPr>
      </w:pPr>
    </w:p>
    <w:p>
      <w:pPr>
        <w:sectPr>
          <w:pgSz w:w="11900" w:h="16838" w:orient="portrait"/>
          <w:cols w:equalWidth="0" w:num="2">
            <w:col w:w="6800" w:space="300"/>
            <w:col w:w="4140"/>
          </w:cols>
          <w:pgMar w:left="320" w:top="814" w:right="339" w:bottom="1440" w:gutter="0" w:footer="0" w:header="0"/>
          <w:type w:val="continuous"/>
        </w:sectPr>
      </w:pP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type w:val="continuous"/>
        </w:sectPr>
      </w:pPr>
    </w:p>
    <w:bookmarkStart w:id="115" w:name="page116"/>
    <w:bookmarkEnd w:id="115"/>
    <w:p>
      <w:pPr>
        <w:ind w:left="10004"/>
        <w:spacing w:after="0"/>
        <w:rPr>
          <w:sz w:val="20"/>
          <w:szCs w:val="20"/>
          <w:color w:val="auto"/>
        </w:rPr>
      </w:pPr>
      <w:r>
        <w:rPr>
          <w:rFonts w:ascii="Times New Roman" w:cs="Times New Roman" w:eastAsia="Times New Roman" w:hAnsi="Times New Roman"/>
          <w:sz w:val="15"/>
          <w:szCs w:val="15"/>
          <w:b w:val="1"/>
          <w:bCs w:val="1"/>
          <w:color w:val="auto"/>
        </w:rPr>
        <w:t>ATTACHMENT 3</w:t>
      </w:r>
    </w:p>
    <w:p>
      <w:pPr>
        <w:spacing w:after="0" w:line="2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[FORM OF ASSIGNMENT AND TRANSFER]</w:t>
      </w:r>
    </w:p>
    <w:p>
      <w:pPr>
        <w:spacing w:after="0" w:line="198" w:lineRule="exact"/>
        <w:rPr>
          <w:sz w:val="20"/>
          <w:szCs w:val="20"/>
          <w:color w:val="auto"/>
        </w:rPr>
      </w:pPr>
    </w:p>
    <w:p>
      <w:pPr>
        <w:ind w:left="4" w:right="20"/>
        <w:spacing w:after="0" w:line="280" w:lineRule="auto"/>
        <w:rPr>
          <w:sz w:val="20"/>
          <w:szCs w:val="20"/>
          <w:color w:val="auto"/>
        </w:rPr>
      </w:pPr>
      <w:r>
        <w:rPr>
          <w:rFonts w:ascii="Times New Roman" w:cs="Times New Roman" w:eastAsia="Times New Roman" w:hAnsi="Times New Roman"/>
          <w:sz w:val="16"/>
          <w:szCs w:val="16"/>
          <w:color w:val="auto"/>
        </w:rPr>
        <w:t>For value received hereby sell(s), assign(s) and transfer(s) unto (Please insert social security or Taxpayer Identification Number of assignee) the within Note, and hereby irrevocably constitutes and appoints attorney to transfer the said Note on the books of the Company, with full power of substitution in the premises.</w:t>
      </w:r>
    </w:p>
    <w:p>
      <w:pPr>
        <w:spacing w:after="0" w:line="144" w:lineRule="exact"/>
        <w:rPr>
          <w:sz w:val="20"/>
          <w:szCs w:val="20"/>
          <w:color w:val="auto"/>
        </w:rPr>
      </w:pPr>
    </w:p>
    <w:p>
      <w:pPr>
        <w:ind w:left="4" w:right="20"/>
        <w:spacing w:after="0" w:line="280" w:lineRule="auto"/>
        <w:rPr>
          <w:sz w:val="20"/>
          <w:szCs w:val="20"/>
          <w:color w:val="auto"/>
        </w:rPr>
      </w:pPr>
      <w:r>
        <w:rPr>
          <w:rFonts w:ascii="Times New Roman" w:cs="Times New Roman" w:eastAsia="Times New Roman" w:hAnsi="Times New Roman"/>
          <w:sz w:val="16"/>
          <w:szCs w:val="16"/>
          <w:color w:val="auto"/>
        </w:rPr>
        <w:t>In connection with any transfer of the within Note occurring prior to the Resale Restriction Termination Date, as defined in the Indenture governing such Note, the undersigned confirms that such Note is being transferred:</w:t>
      </w:r>
    </w:p>
    <w:p>
      <w:pPr>
        <w:spacing w:after="0" w:line="144" w:lineRule="exact"/>
        <w:rPr>
          <w:sz w:val="20"/>
          <w:szCs w:val="20"/>
          <w:color w:val="auto"/>
        </w:rPr>
      </w:pPr>
    </w:p>
    <w:p>
      <w:pPr>
        <w:ind w:left="284" w:hanging="284"/>
        <w:spacing w:after="0"/>
        <w:tabs>
          <w:tab w:leader="none" w:pos="284" w:val="left"/>
        </w:tabs>
        <w:numPr>
          <w:ilvl w:val="0"/>
          <w:numId w:val="138"/>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To [●] or a subsidiary thereof; or</w:t>
      </w:r>
    </w:p>
    <w:p>
      <w:pPr>
        <w:spacing w:after="0" w:line="198" w:lineRule="exact"/>
        <w:rPr>
          <w:rFonts w:ascii="MS PGothic" w:cs="MS PGothic" w:eastAsia="MS PGothic" w:hAnsi="MS PGothic"/>
          <w:sz w:val="16"/>
          <w:szCs w:val="16"/>
          <w:color w:val="auto"/>
        </w:rPr>
      </w:pPr>
    </w:p>
    <w:p>
      <w:pPr>
        <w:ind w:left="284" w:hanging="284"/>
        <w:spacing w:after="0"/>
        <w:tabs>
          <w:tab w:leader="none" w:pos="284" w:val="left"/>
        </w:tabs>
        <w:numPr>
          <w:ilvl w:val="0"/>
          <w:numId w:val="138"/>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Pursuant to a registration statement that has become or been declared effective under the Securities Act of 1933, as amended; or</w:t>
      </w:r>
    </w:p>
    <w:p>
      <w:pPr>
        <w:spacing w:after="0" w:line="198" w:lineRule="exact"/>
        <w:rPr>
          <w:rFonts w:ascii="MS PGothic" w:cs="MS PGothic" w:eastAsia="MS PGothic" w:hAnsi="MS PGothic"/>
          <w:sz w:val="16"/>
          <w:szCs w:val="16"/>
          <w:color w:val="auto"/>
        </w:rPr>
      </w:pPr>
    </w:p>
    <w:p>
      <w:pPr>
        <w:ind w:left="284" w:hanging="284"/>
        <w:spacing w:after="0"/>
        <w:tabs>
          <w:tab w:leader="none" w:pos="284" w:val="left"/>
        </w:tabs>
        <w:numPr>
          <w:ilvl w:val="0"/>
          <w:numId w:val="138"/>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Pursuant to and in compliance with Rule 144A under the Securities Act of 1933, as amended; or</w:t>
      </w:r>
    </w:p>
    <w:p>
      <w:pPr>
        <w:spacing w:after="0" w:line="198" w:lineRule="exact"/>
        <w:rPr>
          <w:rFonts w:ascii="MS PGothic" w:cs="MS PGothic" w:eastAsia="MS PGothic" w:hAnsi="MS PGothic"/>
          <w:sz w:val="16"/>
          <w:szCs w:val="16"/>
          <w:color w:val="auto"/>
        </w:rPr>
      </w:pPr>
    </w:p>
    <w:p>
      <w:pPr>
        <w:ind w:left="284" w:hanging="284"/>
        <w:spacing w:after="0" w:line="280" w:lineRule="auto"/>
        <w:tabs>
          <w:tab w:leader="none" w:pos="284" w:val="left"/>
        </w:tabs>
        <w:numPr>
          <w:ilvl w:val="0"/>
          <w:numId w:val="138"/>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Pursuant to and in compliance with Rule 144 under the Securities Act of 1933, as amended, or any other available exemption from the registration requirements of the Securities Act of 1933, as amended.</w:t>
      </w:r>
    </w:p>
    <w:p>
      <w:pPr>
        <w:spacing w:after="0" w:line="1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530860</wp:posOffset>
            </wp:positionV>
            <wp:extent cx="2860675" cy="152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860675"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273050</wp:posOffset>
            </wp:positionV>
            <wp:extent cx="2860675" cy="152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860675" cy="15240"/>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15240</wp:posOffset>
            </wp:positionV>
            <wp:extent cx="2496820" cy="152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257810</wp:posOffset>
            </wp:positionV>
            <wp:extent cx="2860675" cy="152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860675" cy="15240"/>
                    </a:xfrm>
                    <a:prstGeom prst="rect">
                      <a:avLst/>
                    </a:prstGeom>
                    <a:noFill/>
                  </pic:spPr>
                </pic:pic>
              </a:graphicData>
            </a:graphic>
          </wp:anchor>
        </w:drawing>
      </w:r>
    </w:p>
    <w:p>
      <w:pPr>
        <w:spacing w:after="0" w:line="3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Signature Guarantee</w:t>
      </w:r>
    </w:p>
    <w:p>
      <w:pPr>
        <w:spacing w:after="0" w:line="2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Signature(s) must be guaranteed by an eligible guarantor institution</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(banks, stock brokers, savings and loan associations and credit unions)</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with membership in an approved signature guarantee medallion</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program pursuant to Securities and Exchange Commission Rule</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17Ad-15 if Notes are to be delivered, other than to and in the name of</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the registered holder.</w:t>
      </w:r>
    </w:p>
    <w:p>
      <w:pPr>
        <w:spacing w:after="0" w:line="182" w:lineRule="exact"/>
        <w:rPr>
          <w:sz w:val="20"/>
          <w:szCs w:val="20"/>
          <w:color w:val="auto"/>
        </w:rPr>
      </w:pPr>
    </w:p>
    <w:p>
      <w:pPr>
        <w:ind w:left="4" w:right="20"/>
        <w:spacing w:after="0" w:line="280" w:lineRule="auto"/>
        <w:rPr>
          <w:sz w:val="20"/>
          <w:szCs w:val="20"/>
          <w:color w:val="auto"/>
        </w:rPr>
      </w:pPr>
      <w:r>
        <w:rPr>
          <w:rFonts w:ascii="Times New Roman" w:cs="Times New Roman" w:eastAsia="Times New Roman" w:hAnsi="Times New Roman"/>
          <w:sz w:val="16"/>
          <w:szCs w:val="16"/>
          <w:color w:val="auto"/>
        </w:rPr>
        <w:t>NOTICE: The signature on the assignment must correspond with the name as written upon the face of the Note in every particular without alteration or enlargement or any change whatever.</w:t>
      </w:r>
    </w:p>
    <w:p>
      <w:pPr>
        <w:spacing w:after="0" w:line="33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4" w:right="31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6"/>
          <w:szCs w:val="16"/>
          <w:b w:val="1"/>
          <w:bCs w:val="1"/>
          <w:color w:val="auto"/>
        </w:rPr>
        <w:t>Exhibit 10.1</w:t>
      </w:r>
    </w:p>
    <w:p>
      <w:pPr>
        <w:spacing w:after="0" w:line="1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Execution Version</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AMENDED AND RESTATED SUBSCRIPTION AGREEMENT</w:t>
      </w:r>
    </w:p>
    <w:p>
      <w:pPr>
        <w:spacing w:after="0" w:line="200" w:lineRule="exact"/>
        <w:rPr>
          <w:sz w:val="20"/>
          <w:szCs w:val="20"/>
          <w:color w:val="auto"/>
        </w:rPr>
      </w:pPr>
    </w:p>
    <w:p>
      <w:pPr>
        <w:jc w:val="both"/>
        <w:ind w:right="20" w:firstLine="382"/>
        <w:spacing w:after="0" w:line="265" w:lineRule="auto"/>
        <w:rPr>
          <w:sz w:val="20"/>
          <w:szCs w:val="20"/>
          <w:color w:val="auto"/>
        </w:rPr>
      </w:pPr>
      <w:r>
        <w:rPr>
          <w:rFonts w:ascii="Times New Roman" w:cs="Times New Roman" w:eastAsia="Times New Roman" w:hAnsi="Times New Roman"/>
          <w:sz w:val="16"/>
          <w:szCs w:val="16"/>
          <w:color w:val="auto"/>
        </w:rPr>
        <w:t>This AMENDED AND RESTATED SUBSCRIPTION AGREEMENT (this “</w:t>
      </w:r>
      <w:r>
        <w:rPr>
          <w:rFonts w:ascii="Times New Roman" w:cs="Times New Roman" w:eastAsia="Times New Roman" w:hAnsi="Times New Roman"/>
          <w:sz w:val="16"/>
          <w:szCs w:val="16"/>
          <w:u w:val="single" w:color="auto"/>
          <w:color w:val="auto"/>
        </w:rPr>
        <w:t>Subscription Agreement”)</w:t>
      </w:r>
      <w:r>
        <w:rPr>
          <w:rFonts w:ascii="Times New Roman" w:cs="Times New Roman" w:eastAsia="Times New Roman" w:hAnsi="Times New Roman"/>
          <w:sz w:val="16"/>
          <w:szCs w:val="16"/>
          <w:color w:val="auto"/>
        </w:rPr>
        <w:t xml:space="preserve"> is entered into on July 25, 2022 (the “</w:t>
      </w:r>
      <w:r>
        <w:rPr>
          <w:rFonts w:ascii="Times New Roman" w:cs="Times New Roman" w:eastAsia="Times New Roman" w:hAnsi="Times New Roman"/>
          <w:sz w:val="16"/>
          <w:szCs w:val="16"/>
          <w:u w:val="single" w:color="auto"/>
          <w:color w:val="auto"/>
        </w:rPr>
        <w:t>Amendment Date</w:t>
      </w:r>
      <w:r>
        <w:rPr>
          <w:rFonts w:ascii="Times New Roman" w:cs="Times New Roman" w:eastAsia="Times New Roman" w:hAnsi="Times New Roman"/>
          <w:sz w:val="16"/>
          <w:szCs w:val="16"/>
          <w:color w:val="auto"/>
        </w:rPr>
        <w:t>”), by and between Ventoux CCM Acquisition Corp., a Delaware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Lake Vineyard Fund LP and Silver Rock Empire Fund LP — Series 2022 (collectively, “</w:t>
      </w:r>
      <w:r>
        <w:rPr>
          <w:rFonts w:ascii="Times New Roman" w:cs="Times New Roman" w:eastAsia="Times New Roman" w:hAnsi="Times New Roman"/>
          <w:sz w:val="16"/>
          <w:szCs w:val="16"/>
          <w:u w:val="single" w:color="auto"/>
          <w:color w:val="auto"/>
        </w:rPr>
        <w:t>Subscriber</w:t>
      </w:r>
      <w:r>
        <w:rPr>
          <w:rFonts w:ascii="Times New Roman" w:cs="Times New Roman" w:eastAsia="Times New Roman" w:hAnsi="Times New Roman"/>
          <w:sz w:val="16"/>
          <w:szCs w:val="16"/>
          <w:color w:val="auto"/>
        </w:rPr>
        <w:t xml:space="preserve">”), and, solely for the purposes of </w:t>
      </w:r>
      <w:r>
        <w:rPr>
          <w:rFonts w:ascii="Times New Roman" w:cs="Times New Roman" w:eastAsia="Times New Roman" w:hAnsi="Times New Roman"/>
          <w:sz w:val="16"/>
          <w:szCs w:val="16"/>
          <w:u w:val="single" w:color="auto"/>
          <w:color w:val="auto"/>
        </w:rPr>
        <w:t>Section 8(d)</w:t>
      </w:r>
      <w:r>
        <w:rPr>
          <w:rFonts w:ascii="Times New Roman" w:cs="Times New Roman" w:eastAsia="Times New Roman" w:hAnsi="Times New Roman"/>
          <w:sz w:val="16"/>
          <w:szCs w:val="16"/>
          <w:color w:val="auto"/>
        </w:rPr>
        <w:t xml:space="preserve"> herein, E la Carte, Inc., a Delaware corporation (“</w:t>
      </w:r>
      <w:r>
        <w:rPr>
          <w:rFonts w:ascii="Times New Roman" w:cs="Times New Roman" w:eastAsia="Times New Roman" w:hAnsi="Times New Roman"/>
          <w:sz w:val="16"/>
          <w:szCs w:val="16"/>
          <w:u w:val="single" w:color="auto"/>
          <w:color w:val="auto"/>
        </w:rPr>
        <w:t>Presto</w:t>
      </w:r>
      <w:r>
        <w:rPr>
          <w:rFonts w:ascii="Times New Roman" w:cs="Times New Roman" w:eastAsia="Times New Roman" w:hAnsi="Times New Roman"/>
          <w:sz w:val="16"/>
          <w:szCs w:val="16"/>
          <w:color w:val="auto"/>
        </w:rPr>
        <w:t>”).</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WHEREAS, on November 10, 2021, the Company and Subscriber entered into a subscription agreement (the “</w:t>
      </w:r>
      <w:r>
        <w:rPr>
          <w:rFonts w:ascii="Times New Roman" w:cs="Times New Roman" w:eastAsia="Times New Roman" w:hAnsi="Times New Roman"/>
          <w:sz w:val="16"/>
          <w:szCs w:val="16"/>
          <w:u w:val="single" w:color="auto"/>
          <w:color w:val="auto"/>
        </w:rPr>
        <w:t>Original Subscription Agreement</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right="20" w:firstLine="382"/>
        <w:spacing w:after="0" w:line="265" w:lineRule="auto"/>
        <w:rPr>
          <w:sz w:val="20"/>
          <w:szCs w:val="20"/>
          <w:color w:val="auto"/>
        </w:rPr>
      </w:pPr>
      <w:r>
        <w:rPr>
          <w:rFonts w:ascii="Times New Roman" w:cs="Times New Roman" w:eastAsia="Times New Roman" w:hAnsi="Times New Roman"/>
          <w:sz w:val="16"/>
          <w:szCs w:val="16"/>
          <w:color w:val="auto"/>
        </w:rPr>
        <w:t>WHEREAS, on November 10, 2021, the Company entered into a definitive agreement with Presto and the other parties thereto, as amended on April 1, 2022 and July 25, 2022, providing for the combination of the Company and Presto (as amended, the “</w:t>
      </w:r>
      <w:r>
        <w:rPr>
          <w:rFonts w:ascii="Times New Roman" w:cs="Times New Roman" w:eastAsia="Times New Roman" w:hAnsi="Times New Roman"/>
          <w:sz w:val="16"/>
          <w:szCs w:val="16"/>
          <w:u w:val="single" w:color="auto"/>
          <w:color w:val="auto"/>
        </w:rPr>
        <w:t>Transaction Agreement</w:t>
      </w:r>
      <w:r>
        <w:rPr>
          <w:rFonts w:ascii="Times New Roman" w:cs="Times New Roman" w:eastAsia="Times New Roman" w:hAnsi="Times New Roman"/>
          <w:sz w:val="16"/>
          <w:szCs w:val="16"/>
          <w:color w:val="auto"/>
        </w:rPr>
        <w:t>” and the transactions contemplated by the Transaction Agreement, the “</w:t>
      </w:r>
      <w:r>
        <w:rPr>
          <w:rFonts w:ascii="Times New Roman" w:cs="Times New Roman" w:eastAsia="Times New Roman" w:hAnsi="Times New Roman"/>
          <w:sz w:val="16"/>
          <w:szCs w:val="16"/>
          <w:u w:val="single" w:color="auto"/>
          <w:color w:val="auto"/>
        </w:rPr>
        <w:t>Transaction</w:t>
      </w:r>
      <w:r>
        <w:rPr>
          <w:rFonts w:ascii="Times New Roman" w:cs="Times New Roman" w:eastAsia="Times New Roman" w:hAnsi="Times New Roman"/>
          <w:sz w:val="16"/>
          <w:szCs w:val="16"/>
          <w:color w:val="auto"/>
        </w:rPr>
        <w:t>”);</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WHEREAS, the parties hereto desire to amend and restate the Original Subscription Agreement in its entirety;</w:t>
      </w:r>
    </w:p>
    <w:p>
      <w:pPr>
        <w:spacing w:after="0" w:line="198" w:lineRule="exact"/>
        <w:rPr>
          <w:sz w:val="20"/>
          <w:szCs w:val="20"/>
          <w:color w:val="auto"/>
        </w:rPr>
      </w:pPr>
    </w:p>
    <w:p>
      <w:pPr>
        <w:jc w:val="both"/>
        <w:ind w:firstLine="382"/>
        <w:spacing w:after="0" w:line="255" w:lineRule="auto"/>
        <w:rPr>
          <w:sz w:val="20"/>
          <w:szCs w:val="20"/>
          <w:color w:val="auto"/>
        </w:rPr>
      </w:pPr>
      <w:r>
        <w:rPr>
          <w:rFonts w:ascii="Times New Roman" w:cs="Times New Roman" w:eastAsia="Times New Roman" w:hAnsi="Times New Roman"/>
          <w:sz w:val="16"/>
          <w:szCs w:val="16"/>
          <w:color w:val="auto"/>
        </w:rPr>
        <w:t>WHEREAS, in connection with the Transaction, Subscriber desires to subscribe for and purchase from the Company, immediately prior to the consummation of the Transaction, $25,000,000 aggregate principal amount of the Company’s 15.0% Cash + 5.0% PIK convertible senior notes due 2026 (the “</w:t>
      </w:r>
      <w:r>
        <w:rPr>
          <w:rFonts w:ascii="Times New Roman" w:cs="Times New Roman" w:eastAsia="Times New Roman" w:hAnsi="Times New Roman"/>
          <w:sz w:val="16"/>
          <w:szCs w:val="16"/>
          <w:u w:val="single" w:color="auto"/>
          <w:color w:val="auto"/>
        </w:rPr>
        <w:t>Notes</w:t>
      </w:r>
      <w:r>
        <w:rPr>
          <w:rFonts w:ascii="Times New Roman" w:cs="Times New Roman" w:eastAsia="Times New Roman" w:hAnsi="Times New Roman"/>
          <w:sz w:val="16"/>
          <w:szCs w:val="16"/>
          <w:color w:val="auto"/>
        </w:rPr>
        <w:t>”) as set forth on the signature pages hereto (the “</w:t>
      </w:r>
      <w:r>
        <w:rPr>
          <w:rFonts w:ascii="Times New Roman" w:cs="Times New Roman" w:eastAsia="Times New Roman" w:hAnsi="Times New Roman"/>
          <w:sz w:val="16"/>
          <w:szCs w:val="16"/>
          <w:u w:val="single" w:color="auto"/>
          <w:color w:val="auto"/>
        </w:rPr>
        <w:t>Subscribed Notes</w:t>
      </w:r>
      <w:r>
        <w:rPr>
          <w:rFonts w:ascii="Times New Roman" w:cs="Times New Roman" w:eastAsia="Times New Roman" w:hAnsi="Times New Roman"/>
          <w:sz w:val="16"/>
          <w:szCs w:val="16"/>
          <w:color w:val="auto"/>
        </w:rPr>
        <w:t>”) and that number of warrants (the “</w:t>
      </w:r>
      <w:r>
        <w:rPr>
          <w:rFonts w:ascii="Times New Roman" w:cs="Times New Roman" w:eastAsia="Times New Roman" w:hAnsi="Times New Roman"/>
          <w:sz w:val="16"/>
          <w:szCs w:val="16"/>
          <w:u w:val="single" w:color="auto"/>
          <w:color w:val="auto"/>
        </w:rPr>
        <w:t>Warrants</w:t>
      </w:r>
      <w:r>
        <w:rPr>
          <w:rFonts w:ascii="Times New Roman" w:cs="Times New Roman" w:eastAsia="Times New Roman" w:hAnsi="Times New Roman"/>
          <w:sz w:val="16"/>
          <w:szCs w:val="16"/>
          <w:color w:val="auto"/>
        </w:rPr>
        <w:t>”) to purchase an aggregate of 1,500,000 shares of the Company’s common stock, par value $0.0001 per share (the “</w:t>
      </w:r>
      <w:r>
        <w:rPr>
          <w:rFonts w:ascii="Times New Roman" w:cs="Times New Roman" w:eastAsia="Times New Roman" w:hAnsi="Times New Roman"/>
          <w:sz w:val="16"/>
          <w:szCs w:val="16"/>
          <w:u w:val="single" w:color="auto"/>
          <w:color w:val="auto"/>
        </w:rPr>
        <w:t>Common Stock</w:t>
      </w:r>
      <w:r>
        <w:rPr>
          <w:rFonts w:ascii="Times New Roman" w:cs="Times New Roman" w:eastAsia="Times New Roman" w:hAnsi="Times New Roman"/>
          <w:sz w:val="16"/>
          <w:szCs w:val="16"/>
          <w:color w:val="auto"/>
        </w:rPr>
        <w:t>”), as set forth on the signature pages hereto (the “</w:t>
      </w:r>
      <w:r>
        <w:rPr>
          <w:rFonts w:ascii="Times New Roman" w:cs="Times New Roman" w:eastAsia="Times New Roman" w:hAnsi="Times New Roman"/>
          <w:sz w:val="16"/>
          <w:szCs w:val="16"/>
          <w:u w:val="single" w:color="auto"/>
          <w:color w:val="auto"/>
        </w:rPr>
        <w:t>Subscribed Warrants</w:t>
      </w:r>
      <w:r>
        <w:rPr>
          <w:rFonts w:ascii="Times New Roman" w:cs="Times New Roman" w:eastAsia="Times New Roman" w:hAnsi="Times New Roman"/>
          <w:sz w:val="16"/>
          <w:szCs w:val="16"/>
          <w:color w:val="auto"/>
        </w:rPr>
        <w:t>” and, together with the Subscribed Notes, the “</w:t>
      </w:r>
      <w:r>
        <w:rPr>
          <w:rFonts w:ascii="Times New Roman" w:cs="Times New Roman" w:eastAsia="Times New Roman" w:hAnsi="Times New Roman"/>
          <w:sz w:val="16"/>
          <w:szCs w:val="16"/>
          <w:u w:val="single" w:color="auto"/>
          <w:color w:val="auto"/>
        </w:rPr>
        <w:t>Subscribed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Securities</w:t>
      </w:r>
      <w:r>
        <w:rPr>
          <w:rFonts w:ascii="Times New Roman" w:cs="Times New Roman" w:eastAsia="Times New Roman" w:hAnsi="Times New Roman"/>
          <w:sz w:val="16"/>
          <w:szCs w:val="16"/>
          <w:color w:val="auto"/>
        </w:rPr>
        <w:t>”) for an aggregate purchase price equal to 100.0% of the principal amount of the Subscribed Notes (the “</w:t>
      </w:r>
      <w:r>
        <w:rPr>
          <w:rFonts w:ascii="Times New Roman" w:cs="Times New Roman" w:eastAsia="Times New Roman" w:hAnsi="Times New Roman"/>
          <w:sz w:val="16"/>
          <w:szCs w:val="16"/>
          <w:u w:val="single" w:color="auto"/>
          <w:color w:val="auto"/>
        </w:rPr>
        <w:t>Purchase Price</w:t>
      </w:r>
      <w:r>
        <w:rPr>
          <w:rFonts w:ascii="Times New Roman" w:cs="Times New Roman" w:eastAsia="Times New Roman" w:hAnsi="Times New Roman"/>
          <w:sz w:val="16"/>
          <w:szCs w:val="16"/>
          <w:color w:val="auto"/>
        </w:rPr>
        <w:t>”), and the Company desires to issue and sell to Subscriber the Subscribed Securities in consideration of the payment of the Purchase Price by or on behalf of Subscriber to the Company;</w:t>
      </w:r>
    </w:p>
    <w:p>
      <w:pPr>
        <w:spacing w:after="0" w:line="165" w:lineRule="exact"/>
        <w:rPr>
          <w:sz w:val="20"/>
          <w:szCs w:val="20"/>
          <w:color w:val="auto"/>
        </w:rPr>
      </w:pPr>
    </w:p>
    <w:p>
      <w:pPr>
        <w:jc w:val="both"/>
        <w:ind w:firstLine="382"/>
        <w:spacing w:after="0" w:line="252" w:lineRule="auto"/>
        <w:rPr>
          <w:sz w:val="20"/>
          <w:szCs w:val="20"/>
          <w:color w:val="auto"/>
        </w:rPr>
      </w:pPr>
      <w:r>
        <w:rPr>
          <w:rFonts w:ascii="Times New Roman" w:cs="Times New Roman" w:eastAsia="Times New Roman" w:hAnsi="Times New Roman"/>
          <w:sz w:val="16"/>
          <w:szCs w:val="16"/>
          <w:color w:val="auto"/>
        </w:rPr>
        <w:t>WHEREAS, substantially concurrently with the execution of the Original Subscription Agreement or prior to the closing date of the Transaction (the “</w:t>
      </w:r>
      <w:r>
        <w:rPr>
          <w:rFonts w:ascii="Times New Roman" w:cs="Times New Roman" w:eastAsia="Times New Roman" w:hAnsi="Times New Roman"/>
          <w:sz w:val="16"/>
          <w:szCs w:val="16"/>
          <w:u w:val="single" w:color="auto"/>
          <w:color w:val="auto"/>
        </w:rPr>
        <w:t>Closing Date</w:t>
      </w:r>
      <w:r>
        <w:rPr>
          <w:rFonts w:ascii="Times New Roman" w:cs="Times New Roman" w:eastAsia="Times New Roman" w:hAnsi="Times New Roman"/>
          <w:sz w:val="16"/>
          <w:szCs w:val="16"/>
          <w:color w:val="auto"/>
        </w:rPr>
        <w:t>”), the Company entered into or will enter into subscription agreements (the “</w:t>
      </w:r>
      <w:r>
        <w:rPr>
          <w:rFonts w:ascii="Times New Roman" w:cs="Times New Roman" w:eastAsia="Times New Roman" w:hAnsi="Times New Roman"/>
          <w:sz w:val="16"/>
          <w:szCs w:val="16"/>
          <w:u w:val="single" w:color="auto"/>
          <w:color w:val="auto"/>
        </w:rPr>
        <w:t>Other Subscription Agreements</w:t>
      </w:r>
      <w:r>
        <w:rPr>
          <w:rFonts w:ascii="Times New Roman" w:cs="Times New Roman" w:eastAsia="Times New Roman" w:hAnsi="Times New Roman"/>
          <w:sz w:val="16"/>
          <w:szCs w:val="16"/>
          <w:color w:val="auto"/>
        </w:rPr>
        <w:t>” and together with this Subscription Agreement, the “</w:t>
      </w:r>
      <w:r>
        <w:rPr>
          <w:rFonts w:ascii="Times New Roman" w:cs="Times New Roman" w:eastAsia="Times New Roman" w:hAnsi="Times New Roman"/>
          <w:sz w:val="16"/>
          <w:szCs w:val="16"/>
          <w:u w:val="single" w:color="auto"/>
          <w:color w:val="auto"/>
        </w:rPr>
        <w:t>Subscription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Agreements</w:t>
      </w:r>
      <w:r>
        <w:rPr>
          <w:rFonts w:ascii="Times New Roman" w:cs="Times New Roman" w:eastAsia="Times New Roman" w:hAnsi="Times New Roman"/>
          <w:sz w:val="16"/>
          <w:szCs w:val="16"/>
          <w:color w:val="auto"/>
        </w:rPr>
        <w:t>”), with certain other accredited investors (the “</w:t>
      </w:r>
      <w:r>
        <w:rPr>
          <w:rFonts w:ascii="Times New Roman" w:cs="Times New Roman" w:eastAsia="Times New Roman" w:hAnsi="Times New Roman"/>
          <w:sz w:val="16"/>
          <w:szCs w:val="16"/>
          <w:u w:val="single" w:color="auto"/>
          <w:color w:val="auto"/>
        </w:rPr>
        <w:t>Other Subscribers</w:t>
      </w:r>
      <w:r>
        <w:rPr>
          <w:rFonts w:ascii="Times New Roman" w:cs="Times New Roman" w:eastAsia="Times New Roman" w:hAnsi="Times New Roman"/>
          <w:sz w:val="16"/>
          <w:szCs w:val="16"/>
          <w:color w:val="auto"/>
        </w:rPr>
        <w:t>” and together with Subscriber, the “</w:t>
      </w:r>
      <w:r>
        <w:rPr>
          <w:rFonts w:ascii="Times New Roman" w:cs="Times New Roman" w:eastAsia="Times New Roman" w:hAnsi="Times New Roman"/>
          <w:sz w:val="16"/>
          <w:szCs w:val="16"/>
          <w:u w:val="single" w:color="auto"/>
          <w:color w:val="auto"/>
        </w:rPr>
        <w:t>Subscribers</w:t>
      </w:r>
      <w:r>
        <w:rPr>
          <w:rFonts w:ascii="Times New Roman" w:cs="Times New Roman" w:eastAsia="Times New Roman" w:hAnsi="Times New Roman"/>
          <w:sz w:val="16"/>
          <w:szCs w:val="16"/>
          <w:color w:val="auto"/>
        </w:rPr>
        <w:t>”), which are on substantially the same terms as the terms of this Subscription Agreement (other than with respect to (t) the amounts, price and types of the Company’s securities to be subscribed for and purchased by the Other Subscribers and any terms relating to such other types of the Company’s securities, (u) certain fees payable by Presto to and board observer rights granted to Lake Vineyard Fund LP and Silver Rock Empire Fund LP — Series 2022 and their affiliates, (v) the purchase of Common Stock from the Sponsors (as defined herein), (w) certain rights to nominate a member of the Company’s board of directors after and contingent upon the Closing (as defined herein), (x) certain closing conditions in the Other Subscription Agreements relating to the Subscribed Notes and the payment of expenses in the Transaction, (y) (i) any rights or benefits granted to an Other Subscriber in connection with such Other Subscriber’s compliance with any law, regulation or policy specifically applicable to such Other Subscriber or in connection with the taxable status of an Other Subscriber and (ii) any rights with respect to the confidentiality or disclosure of an Other Subscriber’s identity and (z) certain registration rights and related indemnity provisions), pursuant to which such investors shall agree or have agreed to purchase on the Closing Date shares of Common Stock (together with the Subscribed Securities, the “</w:t>
      </w:r>
      <w:r>
        <w:rPr>
          <w:rFonts w:ascii="Times New Roman" w:cs="Times New Roman" w:eastAsia="Times New Roman" w:hAnsi="Times New Roman"/>
          <w:sz w:val="16"/>
          <w:szCs w:val="16"/>
          <w:u w:val="single" w:color="auto"/>
          <w:color w:val="auto"/>
        </w:rPr>
        <w:t>Aggregate Subscribed Securities</w:t>
      </w:r>
      <w:r>
        <w:rPr>
          <w:rFonts w:ascii="Times New Roman" w:cs="Times New Roman" w:eastAsia="Times New Roman" w:hAnsi="Times New Roman"/>
          <w:sz w:val="16"/>
          <w:szCs w:val="16"/>
          <w:color w:val="auto"/>
        </w:rPr>
        <w:t>”);</w:t>
      </w:r>
    </w:p>
    <w:p>
      <w:pPr>
        <w:spacing w:after="0" w:line="167" w:lineRule="exact"/>
        <w:rPr>
          <w:sz w:val="20"/>
          <w:szCs w:val="20"/>
          <w:color w:val="auto"/>
        </w:rPr>
      </w:pPr>
    </w:p>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WHEREAS, in connection with the issuance of the Subscribed Notes on the Closing Date, the Company and U.S. Bank National Association, as trustee (the “</w:t>
      </w:r>
      <w:r>
        <w:rPr>
          <w:rFonts w:ascii="Times New Roman" w:cs="Times New Roman" w:eastAsia="Times New Roman" w:hAnsi="Times New Roman"/>
          <w:sz w:val="16"/>
          <w:szCs w:val="16"/>
          <w:u w:val="single" w:color="auto"/>
          <w:color w:val="auto"/>
        </w:rPr>
        <w:t>Trustee</w:t>
      </w:r>
      <w:r>
        <w:rPr>
          <w:rFonts w:ascii="Times New Roman" w:cs="Times New Roman" w:eastAsia="Times New Roman" w:hAnsi="Times New Roman"/>
          <w:sz w:val="16"/>
          <w:szCs w:val="16"/>
          <w:color w:val="auto"/>
        </w:rPr>
        <w:t xml:space="preserve">”), will enter into an indenture in respect of the Notes in substantially the form attached hereto as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u w:val="single" w:color="auto"/>
          <w:color w:val="auto"/>
        </w:rPr>
        <w:t>Indenture</w:t>
      </w:r>
      <w:r>
        <w:rPr>
          <w:rFonts w:ascii="Times New Roman" w:cs="Times New Roman" w:eastAsia="Times New Roman" w:hAnsi="Times New Roman"/>
          <w:sz w:val="16"/>
          <w:szCs w:val="16"/>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223520</wp:posOffset>
            </wp:positionV>
            <wp:extent cx="7148195" cy="152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17" w:name="page118"/>
    <w:bookmarkEnd w:id="117"/>
    <w:p>
      <w:pPr>
        <w:jc w:val="both"/>
        <w:ind w:firstLine="382"/>
        <w:spacing w:after="0" w:line="265" w:lineRule="auto"/>
        <w:rPr>
          <w:sz w:val="20"/>
          <w:szCs w:val="20"/>
          <w:color w:val="auto"/>
        </w:rPr>
      </w:pPr>
      <w:r>
        <w:rPr>
          <w:rFonts w:ascii="Times New Roman" w:cs="Times New Roman" w:eastAsia="Times New Roman" w:hAnsi="Times New Roman"/>
          <w:sz w:val="16"/>
          <w:szCs w:val="16"/>
          <w:color w:val="auto"/>
        </w:rPr>
        <w:t xml:space="preserve">WHEREAS, in connection with the issuance of the Subscribed Warrants on the Closing Date, the Company and Continental Stock Transfer &amp; Trust Company, as Warrant Agent, will enter into an amended and restated warrant agreement in respect of the Subscribed Warrants in substantially the form attached hereto as </w:t>
      </w:r>
      <w:r>
        <w:rPr>
          <w:rFonts w:ascii="Times New Roman" w:cs="Times New Roman" w:eastAsia="Times New Roman" w:hAnsi="Times New Roman"/>
          <w:sz w:val="16"/>
          <w:szCs w:val="16"/>
          <w:u w:val="single" w:color="auto"/>
          <w:color w:val="auto"/>
        </w:rPr>
        <w:t>Exhibit B</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u w:val="single" w:color="auto"/>
          <w:color w:val="auto"/>
        </w:rPr>
        <w:t>Warrant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w:t>
      </w:r>
    </w:p>
    <w:p>
      <w:pPr>
        <w:spacing w:after="0" w:line="155" w:lineRule="exact"/>
        <w:rPr>
          <w:sz w:val="20"/>
          <w:szCs w:val="20"/>
          <w:color w:val="auto"/>
        </w:rPr>
      </w:pPr>
    </w:p>
    <w:p>
      <w:pPr>
        <w:jc w:val="both"/>
        <w:ind w:right="20" w:firstLine="382"/>
        <w:spacing w:after="0" w:line="265" w:lineRule="auto"/>
        <w:rPr>
          <w:sz w:val="20"/>
          <w:szCs w:val="20"/>
          <w:color w:val="auto"/>
        </w:rPr>
      </w:pPr>
      <w:r>
        <w:rPr>
          <w:rFonts w:ascii="Times New Roman" w:cs="Times New Roman" w:eastAsia="Times New Roman" w:hAnsi="Times New Roman"/>
          <w:sz w:val="16"/>
          <w:szCs w:val="16"/>
          <w:color w:val="auto"/>
        </w:rPr>
        <w:t>NOW, THEREFORE, in consideration of the foregoing and the mutual representations, warranties and covenants, and subject to the conditions, herein contained, and intending to be legally bound hereby, the parties hereto hereby agree that the Original Subscription Agreement is amended and restated in its entirety by this Subscription Agreement, and further agree as follows:</w:t>
      </w:r>
    </w:p>
    <w:p>
      <w:pPr>
        <w:spacing w:after="0" w:line="155" w:lineRule="exact"/>
        <w:rPr>
          <w:sz w:val="20"/>
          <w:szCs w:val="20"/>
          <w:color w:val="auto"/>
        </w:rPr>
      </w:pPr>
    </w:p>
    <w:p>
      <w:pPr>
        <w:ind w:left="540" w:hanging="162"/>
        <w:spacing w:after="0"/>
        <w:tabs>
          <w:tab w:leader="none" w:pos="54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Subscription; Fee</w:t>
      </w:r>
      <w:r>
        <w:rPr>
          <w:rFonts w:ascii="Times New Roman" w:cs="Times New Roman" w:eastAsia="Times New Roman" w:hAnsi="Times New Roman"/>
          <w:sz w:val="16"/>
          <w:szCs w:val="16"/>
          <w:color w:val="auto"/>
        </w:rPr>
        <w:t>.</w:t>
      </w:r>
    </w:p>
    <w:p>
      <w:pPr>
        <w:spacing w:after="0" w:line="198" w:lineRule="exact"/>
        <w:rPr>
          <w:rFonts w:ascii="Times New Roman" w:cs="Times New Roman" w:eastAsia="Times New Roman" w:hAnsi="Times New Roman"/>
          <w:sz w:val="16"/>
          <w:szCs w:val="16"/>
          <w:color w:val="auto"/>
        </w:rPr>
      </w:pPr>
    </w:p>
    <w:p>
      <w:pPr>
        <w:ind w:right="20" w:firstLine="760"/>
        <w:spacing w:after="0" w:line="280" w:lineRule="auto"/>
        <w:tabs>
          <w:tab w:leader="none" w:pos="923" w:val="left"/>
        </w:tabs>
        <w:numPr>
          <w:ilvl w:val="1"/>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terms and conditions hereof, at the Closing (as defined below), Subscriber hereby agrees to subscribe for and purchase, and the Company hereby agrees to issue and sell to Subscriber, upon the payment of the Purchase Price, the Subscribed Securities (such subscription and issuance, the “</w:t>
      </w:r>
      <w:r>
        <w:rPr>
          <w:rFonts w:ascii="Times New Roman" w:cs="Times New Roman" w:eastAsia="Times New Roman" w:hAnsi="Times New Roman"/>
          <w:sz w:val="16"/>
          <w:szCs w:val="16"/>
          <w:u w:val="single" w:color="auto"/>
          <w:color w:val="auto"/>
        </w:rPr>
        <w:t>Subscription</w:t>
      </w:r>
      <w:r>
        <w:rPr>
          <w:rFonts w:ascii="Times New Roman" w:cs="Times New Roman" w:eastAsia="Times New Roman" w:hAnsi="Times New Roman"/>
          <w:sz w:val="16"/>
          <w:szCs w:val="16"/>
          <w:color w:val="auto"/>
        </w:rPr>
        <w:t>”).</w:t>
      </w:r>
    </w:p>
    <w:p>
      <w:pPr>
        <w:spacing w:after="0" w:line="144" w:lineRule="exact"/>
        <w:rPr>
          <w:rFonts w:ascii="Times New Roman" w:cs="Times New Roman" w:eastAsia="Times New Roman" w:hAnsi="Times New Roman"/>
          <w:sz w:val="16"/>
          <w:szCs w:val="16"/>
          <w:color w:val="auto"/>
        </w:rPr>
      </w:pPr>
    </w:p>
    <w:p>
      <w:pPr>
        <w:ind w:right="20" w:firstLine="760"/>
        <w:spacing w:after="0" w:line="280" w:lineRule="auto"/>
        <w:tabs>
          <w:tab w:leader="none" w:pos="948" w:val="left"/>
        </w:tabs>
        <w:numPr>
          <w:ilvl w:val="1"/>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Closing, the Company shall pay Subscriber or their designee(s) collectively a one-time fee equal to 2.0% of the aggregate principal amount of the Subscribed Notes.</w:t>
      </w:r>
    </w:p>
    <w:p>
      <w:pPr>
        <w:spacing w:after="0" w:line="144" w:lineRule="exact"/>
        <w:rPr>
          <w:rFonts w:ascii="Times New Roman" w:cs="Times New Roman" w:eastAsia="Times New Roman" w:hAnsi="Times New Roman"/>
          <w:sz w:val="16"/>
          <w:szCs w:val="16"/>
          <w:color w:val="auto"/>
        </w:rPr>
      </w:pPr>
    </w:p>
    <w:p>
      <w:pPr>
        <w:ind w:left="540" w:hanging="162"/>
        <w:spacing w:after="0"/>
        <w:tabs>
          <w:tab w:leader="none" w:pos="54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Closing</w:t>
      </w:r>
      <w:r>
        <w:rPr>
          <w:rFonts w:ascii="Times New Roman" w:cs="Times New Roman" w:eastAsia="Times New Roman" w:hAnsi="Times New Roman"/>
          <w:sz w:val="16"/>
          <w:szCs w:val="16"/>
          <w:color w:val="auto"/>
        </w:rPr>
        <w:t>.</w:t>
      </w:r>
    </w:p>
    <w:p>
      <w:pPr>
        <w:spacing w:after="0" w:line="198" w:lineRule="exact"/>
        <w:rPr>
          <w:rFonts w:ascii="Times New Roman" w:cs="Times New Roman" w:eastAsia="Times New Roman" w:hAnsi="Times New Roman"/>
          <w:sz w:val="16"/>
          <w:szCs w:val="16"/>
          <w:color w:val="auto"/>
        </w:rPr>
      </w:pPr>
    </w:p>
    <w:p>
      <w:pPr>
        <w:ind w:right="20" w:firstLine="760"/>
        <w:spacing w:after="0" w:line="280" w:lineRule="auto"/>
        <w:tabs>
          <w:tab w:leader="none" w:pos="919" w:val="left"/>
        </w:tabs>
        <w:numPr>
          <w:ilvl w:val="1"/>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terms of this Subscription Agreement, the consummation of the Subscription contemplated hereby (the “</w:t>
      </w:r>
      <w:r>
        <w:rPr>
          <w:rFonts w:ascii="Times New Roman" w:cs="Times New Roman" w:eastAsia="Times New Roman" w:hAnsi="Times New Roman"/>
          <w:sz w:val="16"/>
          <w:szCs w:val="16"/>
          <w:u w:val="single" w:color="auto"/>
          <w:color w:val="auto"/>
        </w:rPr>
        <w:t>Closing</w:t>
      </w:r>
      <w:r>
        <w:rPr>
          <w:rFonts w:ascii="Times New Roman" w:cs="Times New Roman" w:eastAsia="Times New Roman" w:hAnsi="Times New Roman"/>
          <w:sz w:val="16"/>
          <w:szCs w:val="16"/>
          <w:color w:val="auto"/>
        </w:rPr>
        <w:t>”) shall occur on the Closing Date immediately prior to or substantially concurrently with the consummation of the Transaction.</w:t>
      </w:r>
    </w:p>
    <w:p>
      <w:pPr>
        <w:spacing w:after="0" w:line="144" w:lineRule="exact"/>
        <w:rPr>
          <w:rFonts w:ascii="Times New Roman" w:cs="Times New Roman" w:eastAsia="Times New Roman" w:hAnsi="Times New Roman"/>
          <w:sz w:val="16"/>
          <w:szCs w:val="16"/>
          <w:color w:val="auto"/>
        </w:rPr>
      </w:pPr>
    </w:p>
    <w:p>
      <w:pPr>
        <w:jc w:val="both"/>
        <w:ind w:firstLine="760"/>
        <w:spacing w:after="0" w:line="269" w:lineRule="auto"/>
        <w:tabs>
          <w:tab w:leader="none" w:pos="932" w:val="left"/>
        </w:tabs>
        <w:numPr>
          <w:ilvl w:val="1"/>
          <w:numId w:val="1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least 15 Business Days before the anticipated Closing Date, the Company shall deliver written notice to Subscriber (the “</w:t>
      </w:r>
      <w:r>
        <w:rPr>
          <w:rFonts w:ascii="Times New Roman" w:cs="Times New Roman" w:eastAsia="Times New Roman" w:hAnsi="Times New Roman"/>
          <w:sz w:val="15"/>
          <w:szCs w:val="15"/>
          <w:u w:val="single" w:color="auto"/>
          <w:color w:val="auto"/>
        </w:rPr>
        <w:t>Closing Notice</w:t>
      </w:r>
      <w:r>
        <w:rPr>
          <w:rFonts w:ascii="Times New Roman" w:cs="Times New Roman" w:eastAsia="Times New Roman" w:hAnsi="Times New Roman"/>
          <w:sz w:val="15"/>
          <w:szCs w:val="15"/>
          <w:color w:val="auto"/>
        </w:rPr>
        <w:t xml:space="preserve">”) specifying (i) the anticipated Closing Date and (ii) the wire instructions for delivery of the Purchase Price to the Company. No later than two (2) Business Days after receiving the Closing Notice, Subscriber shall deliver to the Company such information as is reasonably requested in the Closing Notice in order for the Company to issue the Subscribed Securities to Subscriber. Subscriber shall deliver to the Company, no later than one (1) Business Day prior to the Closing Date as set forth in the Closing Notice, (a) the Purchase Price for the Subscribed Securities by wire transfer of United States dollars in immediately available funds to the account specified by the Company in the Closing Notice, such funds to be held by the Company in escrow until the Closing and (b) such information as is reasonably requested in the Closing Notice in order for the Company to issue the Subscribed Securities to Subscriber at the Closing. Upon satisfaction (or, if applicable, waiver) of the conditions set forth in this </w:t>
      </w:r>
      <w:r>
        <w:rPr>
          <w:rFonts w:ascii="Times New Roman" w:cs="Times New Roman" w:eastAsia="Times New Roman" w:hAnsi="Times New Roman"/>
          <w:sz w:val="15"/>
          <w:szCs w:val="15"/>
          <w:u w:val="single" w:color="auto"/>
          <w:color w:val="auto"/>
        </w:rPr>
        <w:t>Section 2</w:t>
      </w:r>
      <w:r>
        <w:rPr>
          <w:rFonts w:ascii="Times New Roman" w:cs="Times New Roman" w:eastAsia="Times New Roman" w:hAnsi="Times New Roman"/>
          <w:sz w:val="15"/>
          <w:szCs w:val="15"/>
          <w:color w:val="auto"/>
        </w:rPr>
        <w:t xml:space="preserve">, the Company shall deliver to Subscriber at the Closing (i) the Subscribed Notes in book entry form, free and clear of any liens or other restrictions (other than those arising under the Indenture, this Subscription Agreement or applicable state or federal securities laws), and (ii) the Warrant Agreement executed by the Company, evidencing the issuance to Subscriber of the Subscribed Warrants on and as of the Closing Date. In the event that the consummation of the Transaction does not occur within two (2) Business Days after the anticipated Closing Date specified in the Closing Notice, unless otherwise agreed to in writing by the Company and Subscriber, the Company shall promptly (but in no event later than one (1) Business Day thereafter) return the funds so delivered by Subscriber to the Company by wire transfer in immediately available funds to the account specified by Subscriber and any book entries shall be deemed cancelled. Subscriber shall not be required to deliver to the Company on more than two (2) occasions, the Purchase Price pursuant to a Closing Notice;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if a second Closing Notice is delivered following the return of the delivery of the Purchase Price pursuant to the first Closing Notice, then the Company shall reimburse Subscriber the lesser of (x)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and (y)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Notwithstanding such return or cancellation, a failure to close on the anticipated Closing Date shall not, by itself, be deemed to be a failure of any of the conditions to Closing set forth in this </w:t>
      </w:r>
      <w:r>
        <w:rPr>
          <w:rFonts w:ascii="Times New Roman" w:cs="Times New Roman" w:eastAsia="Times New Roman" w:hAnsi="Times New Roman"/>
          <w:sz w:val="15"/>
          <w:szCs w:val="15"/>
          <w:u w:val="single" w:color="auto"/>
          <w:color w:val="auto"/>
        </w:rPr>
        <w:t>Section 2</w:t>
      </w:r>
      <w:r>
        <w:rPr>
          <w:rFonts w:ascii="Times New Roman" w:cs="Times New Roman" w:eastAsia="Times New Roman" w:hAnsi="Times New Roman"/>
          <w:sz w:val="15"/>
          <w:szCs w:val="15"/>
          <w:color w:val="auto"/>
        </w:rPr>
        <w:t xml:space="preserve"> to be satisfied or waived on or prior to the Closing Date. For the purposes of this Subscription Agreement, “</w:t>
      </w:r>
      <w:r>
        <w:rPr>
          <w:rFonts w:ascii="Times New Roman" w:cs="Times New Roman" w:eastAsia="Times New Roman" w:hAnsi="Times New Roman"/>
          <w:sz w:val="15"/>
          <w:szCs w:val="15"/>
          <w:u w:val="single" w:color="auto"/>
          <w:color w:val="auto"/>
        </w:rPr>
        <w:t>Business Day</w:t>
      </w:r>
      <w:r>
        <w:rPr>
          <w:rFonts w:ascii="Times New Roman" w:cs="Times New Roman" w:eastAsia="Times New Roman" w:hAnsi="Times New Roman"/>
          <w:sz w:val="15"/>
          <w:szCs w:val="15"/>
          <w:color w:val="auto"/>
        </w:rPr>
        <w:t>” means any day other than a Saturday, Sunday or a day on which the Federal Reserve Bank of New York is closed.</w:t>
      </w:r>
    </w:p>
    <w:p>
      <w:pPr>
        <w:spacing w:after="0" w:line="348" w:lineRule="exact"/>
        <w:rPr>
          <w:rFonts w:ascii="Times New Roman" w:cs="Times New Roman" w:eastAsia="Times New Roman" w:hAnsi="Times New Roman"/>
          <w:sz w:val="15"/>
          <w:szCs w:val="15"/>
          <w:color w:val="auto"/>
        </w:rPr>
      </w:pPr>
    </w:p>
    <w:p>
      <w:pPr>
        <w:ind w:right="20" w:firstLine="760"/>
        <w:spacing w:after="0" w:line="280" w:lineRule="auto"/>
        <w:tabs>
          <w:tab w:leader="none" w:pos="919" w:val="left"/>
        </w:tabs>
        <w:numPr>
          <w:ilvl w:val="1"/>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Closing shall be subject to the satisfaction or valid waiver in writing by each of the parties hereto (to the extent a valid waiver is capable of being issued) by the Company, on the one hand, or Subscriber, on the other, of the conditions that, on the Closing Date:</w:t>
      </w:r>
    </w:p>
    <w:p>
      <w:pPr>
        <w:spacing w:after="0" w:line="144"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84" w:val="left"/>
        </w:tabs>
        <w:numPr>
          <w:ilvl w:val="2"/>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suspension of the qualification of any of the Subscribed Securities or the Common Stock for offering or sale or trading in any jurisdiction, or initiation or threatening of any proceedings for any of such purposes, shall have occurred and the shares of Common Stock underlying the Subscribed Notes and Subscribed Warrants (the “</w:t>
      </w:r>
      <w:r>
        <w:rPr>
          <w:rFonts w:ascii="Times New Roman" w:cs="Times New Roman" w:eastAsia="Times New Roman" w:hAnsi="Times New Roman"/>
          <w:sz w:val="16"/>
          <w:szCs w:val="16"/>
          <w:u w:val="single" w:color="auto"/>
          <w:color w:val="auto"/>
        </w:rPr>
        <w:t>Underlying Shares</w:t>
      </w:r>
      <w:r>
        <w:rPr>
          <w:rFonts w:ascii="Times New Roman" w:cs="Times New Roman" w:eastAsia="Times New Roman" w:hAnsi="Times New Roman"/>
          <w:sz w:val="16"/>
          <w:szCs w:val="16"/>
          <w:color w:val="auto"/>
        </w:rPr>
        <w:t>”) shall have been approved for listing on The Nasdaq Stock Market LLC (“</w:t>
      </w:r>
      <w:r>
        <w:rPr>
          <w:rFonts w:ascii="Times New Roman" w:cs="Times New Roman" w:eastAsia="Times New Roman" w:hAnsi="Times New Roman"/>
          <w:sz w:val="16"/>
          <w:szCs w:val="16"/>
          <w:u w:val="single" w:color="auto"/>
          <w:color w:val="auto"/>
        </w:rPr>
        <w:t>NASDAQ</w:t>
      </w:r>
      <w:r>
        <w:rPr>
          <w:rFonts w:ascii="Times New Roman" w:cs="Times New Roman" w:eastAsia="Times New Roman" w:hAnsi="Times New Roman"/>
          <w:sz w:val="16"/>
          <w:szCs w:val="16"/>
          <w:color w:val="auto"/>
        </w:rPr>
        <w:t>”), subject to official notice of issuance;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18" w:name="page119"/>
    <w:bookmarkEnd w:id="118"/>
    <w:p>
      <w:pPr>
        <w:ind w:right="20" w:firstLine="1143"/>
        <w:spacing w:after="0" w:line="280" w:lineRule="auto"/>
        <w:tabs>
          <w:tab w:leader="none" w:pos="1390" w:val="left"/>
        </w:tabs>
        <w:numPr>
          <w:ilvl w:val="1"/>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conditions precedent to the closing of the Transaction set forth in the Transaction Agreement, including the approval of the Company’s stockholders, shall have been satisfied or waived, and the closing of the Transaction shall be scheduled to occur concurrently with or immediately following the Closing; and</w:t>
      </w:r>
    </w:p>
    <w:p>
      <w:pPr>
        <w:spacing w:after="0" w:line="144" w:lineRule="exact"/>
        <w:rPr>
          <w:rFonts w:ascii="Times New Roman" w:cs="Times New Roman" w:eastAsia="Times New Roman" w:hAnsi="Times New Roman"/>
          <w:sz w:val="16"/>
          <w:szCs w:val="16"/>
          <w:color w:val="auto"/>
        </w:rPr>
      </w:pPr>
    </w:p>
    <w:p>
      <w:pPr>
        <w:jc w:val="both"/>
        <w:ind w:firstLine="1143"/>
        <w:spacing w:after="0" w:line="255" w:lineRule="auto"/>
        <w:tabs>
          <w:tab w:leader="none" w:pos="1432" w:val="left"/>
        </w:tabs>
        <w:numPr>
          <w:ilvl w:val="1"/>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governmental authority shall have enacted, issued, promulgated, enforced or entered any judgment, order, law, rule or regulation (whether temporary, preliminary or permanent) which is then in effect and has the effect of making consummation of the transactions contemplated hereby illegal or otherwise restraining or prohibiting consummation of the transactions contemplated hereby (except in the case of a governmental authority located outside the United States where such judgment, order, law, rule or regulation would not be reasonably expected to have a Company Material Adverse Effect (as defined below)); and no such governmental authority shall have instituted or threatened in writing a proceeding seeking to impose any such restraint or prohibition (except in the case of a governmental authority located outside the United States where such restraint or prohibition would not be reasonably expected to have a Company Material Adverse Effect).</w:t>
      </w:r>
    </w:p>
    <w:p>
      <w:pPr>
        <w:spacing w:after="0" w:line="165" w:lineRule="exact"/>
        <w:rPr>
          <w:rFonts w:ascii="Times New Roman" w:cs="Times New Roman" w:eastAsia="Times New Roman" w:hAnsi="Times New Roman"/>
          <w:sz w:val="16"/>
          <w:szCs w:val="16"/>
          <w:color w:val="auto"/>
        </w:rPr>
      </w:pPr>
    </w:p>
    <w:p>
      <w:pPr>
        <w:ind w:firstLine="760"/>
        <w:spacing w:after="0" w:line="280" w:lineRule="auto"/>
        <w:tabs>
          <w:tab w:leader="none" w:pos="944"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obligation of the Company to consummate the Closing shall be subject to the satisfaction or valid waiver in writing by the Company of the additional conditions that, on the Closing Date:</w:t>
      </w:r>
    </w:p>
    <w:p>
      <w:pPr>
        <w:spacing w:after="0" w:line="144" w:lineRule="exact"/>
        <w:rPr>
          <w:rFonts w:ascii="Times New Roman" w:cs="Times New Roman" w:eastAsia="Times New Roman" w:hAnsi="Times New Roman"/>
          <w:sz w:val="16"/>
          <w:szCs w:val="16"/>
          <w:color w:val="auto"/>
        </w:rPr>
      </w:pPr>
    </w:p>
    <w:p>
      <w:pPr>
        <w:jc w:val="both"/>
        <w:ind w:right="20" w:firstLine="1143"/>
        <w:spacing w:after="0" w:line="259" w:lineRule="auto"/>
        <w:tabs>
          <w:tab w:leader="none" w:pos="1383" w:val="left"/>
        </w:tabs>
        <w:numPr>
          <w:ilvl w:val="1"/>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representations and warranties of Subscriber contained in this Subscription Agreement are true and correct in all material respects (other than (x) those representations and warranties expressly made as of an earlier date, which shall be true and correct in all material respects as of such date, and (y) representations and warranties that are qualified as to materiality or Subscriber Material Adverse Effect (as defined below), which representations and warranties shall be true in all respects) at and as of the Closing Date; and</w:t>
      </w:r>
    </w:p>
    <w:p>
      <w:pPr>
        <w:spacing w:after="0" w:line="161"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422" w:val="left"/>
        </w:tabs>
        <w:numPr>
          <w:ilvl w:val="1"/>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Subscriber shall have performed, satisfied and complied in all material respects with all covenants, agreements and conditions required by this Subscription Agreement to be performed, satisfied or complied with by it at or prior to the Closing, except where the failure of such performance or compliance would not reasonably be expected to prevent, materially delay or materially impair the ability of the Company to consummate the Closing.</w:t>
      </w:r>
    </w:p>
    <w:p>
      <w:pPr>
        <w:spacing w:after="0" w:line="155" w:lineRule="exact"/>
        <w:rPr>
          <w:rFonts w:ascii="Times New Roman" w:cs="Times New Roman" w:eastAsia="Times New Roman" w:hAnsi="Times New Roman"/>
          <w:sz w:val="16"/>
          <w:szCs w:val="16"/>
          <w:color w:val="auto"/>
        </w:rPr>
      </w:pPr>
    </w:p>
    <w:p>
      <w:pPr>
        <w:ind w:left="920" w:hanging="160"/>
        <w:spacing w:after="0"/>
        <w:tabs>
          <w:tab w:leader="none" w:pos="920"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obligation of Subscriber to consummate the Closing shall be subject to the satisfaction or valid waiver by Subscriber of the additional conditions that, on the</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Closing Date:</w:t>
      </w:r>
    </w:p>
    <w:p>
      <w:pPr>
        <w:spacing w:after="0" w:line="181" w:lineRule="exact"/>
        <w:rPr>
          <w:rFonts w:ascii="Times New Roman" w:cs="Times New Roman" w:eastAsia="Times New Roman" w:hAnsi="Times New Roman"/>
          <w:sz w:val="16"/>
          <w:szCs w:val="16"/>
          <w:color w:val="auto"/>
        </w:rPr>
      </w:pPr>
    </w:p>
    <w:p>
      <w:pPr>
        <w:jc w:val="both"/>
        <w:ind w:firstLine="1143"/>
        <w:spacing w:after="0" w:line="259" w:lineRule="auto"/>
        <w:tabs>
          <w:tab w:leader="none" w:pos="1400" w:val="left"/>
        </w:tabs>
        <w:numPr>
          <w:ilvl w:val="1"/>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representations and warranties of the Company contained in this Subscription Agreement are true and correct in all material respects (other than (x) those representations and warranties expressly made as of an earlier date, which shall be true and correct in all material respects as of such date, and (y) representations and warranties that are qualified as to materiality or Company Material Adverse Effect (as defined below), which representations and warranties shall be true in all respects) at and as of the Closing Date;</w:t>
      </w:r>
    </w:p>
    <w:p>
      <w:pPr>
        <w:spacing w:after="0" w:line="161" w:lineRule="exact"/>
        <w:rPr>
          <w:rFonts w:ascii="Times New Roman" w:cs="Times New Roman" w:eastAsia="Times New Roman" w:hAnsi="Times New Roman"/>
          <w:sz w:val="16"/>
          <w:szCs w:val="16"/>
          <w:color w:val="auto"/>
        </w:rPr>
      </w:pPr>
    </w:p>
    <w:p>
      <w:pPr>
        <w:ind w:right="20" w:firstLine="1143"/>
        <w:spacing w:after="0" w:line="280" w:lineRule="auto"/>
        <w:tabs>
          <w:tab w:leader="none" w:pos="1411" w:val="left"/>
        </w:tabs>
        <w:numPr>
          <w:ilvl w:val="1"/>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performed, satisfied and complied in all material respects with all covenants, agreements and conditions required by this Subscription Agreement to be performed, satisfied or complied with by it at or prior to the Closing;</w:t>
      </w:r>
    </w:p>
    <w:p>
      <w:pPr>
        <w:spacing w:after="0" w:line="144"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446" w:val="left"/>
        </w:tabs>
        <w:numPr>
          <w:ilvl w:val="1"/>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shall have been no amendment, waiver or modification to the Transaction Agreement after the Amendment Date that materially and adversely affects the Company or the economic benefits that Subscriber would reasonably expect to receive under this Subscription Agreement without having received Subscriber’s prior written consent;</w:t>
      </w:r>
    </w:p>
    <w:p>
      <w:pPr>
        <w:spacing w:after="0" w:line="155" w:lineRule="exact"/>
        <w:rPr>
          <w:rFonts w:ascii="Times New Roman" w:cs="Times New Roman" w:eastAsia="Times New Roman" w:hAnsi="Times New Roman"/>
          <w:sz w:val="16"/>
          <w:szCs w:val="16"/>
          <w:color w:val="auto"/>
        </w:rPr>
      </w:pPr>
    </w:p>
    <w:p>
      <w:pPr>
        <w:jc w:val="both"/>
        <w:ind w:firstLine="1143"/>
        <w:spacing w:after="0" w:line="253" w:lineRule="auto"/>
        <w:tabs>
          <w:tab w:leader="none" w:pos="1420" w:val="left"/>
        </w:tabs>
        <w:numPr>
          <w:ilvl w:val="1"/>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not have entered into any Other Subscription Agreement relating to Notes with a lower purchase price per $1,000 principal amount of the Subscribed Notes or other terms (economic or otherwise) more favorable to such Other Subscriber than as set forth in this Subscription Agreement, other than with respect to (a) the amounts, price and types of the Company’s securities to be subscribed for and purchased by the Other Subscribers, (b) certain fees payable by Presto to and board observer rights granted to Lake Vineyard Fund LP and Silver Rock Empire Fund LP—Series 2022 and their affiliates, (c) the purchase of Common Stock from the Sponsors (as defined herein), (d) certain rights to nominate a member of the Company’s board of directors after and contingent upon the Closing, (e) certain closing conditions in the Other Subscription Agreements relating to the Subscribed Notes, (f) (i) any rights or benefits granted to an Other Subscriber in connection with such Other Subscriber’s compliance with any law, regulation or policy specifically applicable to such Other Subscriber or in connection with the taxable status of an Other Subscriber and (ii) any rights with respect to the confidentiality or disclosure of an Other Subscriber’s identity and (g) certain registration rights;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19" w:name="page120"/>
    <w:bookmarkEnd w:id="119"/>
    <w:p>
      <w:pPr>
        <w:ind w:left="1360" w:hanging="217"/>
        <w:spacing w:after="0"/>
        <w:tabs>
          <w:tab w:leader="none" w:pos="1360"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has not occurred a Company Material Adverse Effect;</w:t>
      </w:r>
    </w:p>
    <w:p>
      <w:pPr>
        <w:spacing w:after="0" w:line="198" w:lineRule="exact"/>
        <w:rPr>
          <w:rFonts w:ascii="Times New Roman" w:cs="Times New Roman" w:eastAsia="Times New Roman" w:hAnsi="Times New Roman"/>
          <w:sz w:val="16"/>
          <w:szCs w:val="16"/>
          <w:color w:val="auto"/>
        </w:rPr>
      </w:pPr>
    </w:p>
    <w:p>
      <w:pPr>
        <w:jc w:val="both"/>
        <w:ind w:firstLine="1143"/>
        <w:spacing w:after="0" w:line="265" w:lineRule="auto"/>
        <w:tabs>
          <w:tab w:leader="none" w:pos="1428"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paid all reasonable and documented out-of-pocket legal, accounting and diligence fees and expenses of Subscriber incurred in connection with this Subscription Agreement, the Indenture and the other documents relating thereto, including all reasonable and documented fees and expenses of Milbank LLP, as counsel to Subscriber, such fees and expenses not to exceed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in the aggregate, to the extent invoiced at least one (1) Business Day prior to the Closing Date;</w:t>
      </w:r>
    </w:p>
    <w:p>
      <w:pPr>
        <w:spacing w:after="0" w:line="155" w:lineRule="exact"/>
        <w:rPr>
          <w:rFonts w:ascii="Times New Roman" w:cs="Times New Roman" w:eastAsia="Times New Roman" w:hAnsi="Times New Roman"/>
          <w:sz w:val="16"/>
          <w:szCs w:val="16"/>
          <w:color w:val="auto"/>
        </w:rPr>
      </w:pPr>
    </w:p>
    <w:p>
      <w:pPr>
        <w:ind w:firstLine="1143"/>
        <w:spacing w:after="0" w:line="280" w:lineRule="auto"/>
        <w:tabs>
          <w:tab w:leader="none" w:pos="1542"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provided the Transaction is consummated, the Company shall have paid a one-time fee to Subscriber equal to 2.0% of the aggregate principal amount of the Subscribed Notes, and the Sponsors shall have transferred an aggregate of 600,000 of the shares of Common Stock that are owned by the Sponsors to Subscriber;</w:t>
      </w:r>
    </w:p>
    <w:p>
      <w:pPr>
        <w:spacing w:after="0" w:line="144" w:lineRule="exact"/>
        <w:rPr>
          <w:rFonts w:ascii="Times New Roman" w:cs="Times New Roman" w:eastAsia="Times New Roman" w:hAnsi="Times New Roman"/>
          <w:sz w:val="16"/>
          <w:szCs w:val="16"/>
          <w:color w:val="auto"/>
        </w:rPr>
      </w:pPr>
    </w:p>
    <w:p>
      <w:pPr>
        <w:ind w:firstLine="1143"/>
        <w:spacing w:after="0" w:line="280" w:lineRule="auto"/>
        <w:tabs>
          <w:tab w:leader="none" w:pos="1517"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shall be no Default or Event of Default (each as defined in the Indenture) under the Indenture as of the Closing Date on a pro forma basis after giving effect to the Transaction;</w:t>
      </w:r>
    </w:p>
    <w:p>
      <w:pPr>
        <w:spacing w:after="0" w:line="144" w:lineRule="exact"/>
        <w:rPr>
          <w:rFonts w:ascii="Times New Roman" w:cs="Times New Roman" w:eastAsia="Times New Roman" w:hAnsi="Times New Roman"/>
          <w:sz w:val="16"/>
          <w:szCs w:val="16"/>
          <w:color w:val="auto"/>
        </w:rPr>
      </w:pPr>
    </w:p>
    <w:p>
      <w:pPr>
        <w:jc w:val="both"/>
        <w:ind w:right="20" w:firstLine="1143"/>
        <w:spacing w:after="0" w:line="257" w:lineRule="auto"/>
        <w:tabs>
          <w:tab w:leader="none" w:pos="1445"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shall not have received any consideration from any Other Subscriber that is not otherwise contemplated in such Other Subscription Agreement as in effect as of the date hereof in order to, directly or indirectly, induce the Company or any Subsidiary (i) to treat such Other Subscriber in a manner that is more favorable than Subscriber, or (ii) to treat Subscriber in a manner that is less favorable than any Other Subscriber;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the determination of whether Subscriber has been treated more or less favorably than any Other Subscriber shall disregard any other securities (other than the Subscribed Notes) of the Company purchased by Subscriber or Other Subscriber, respectively;</w:t>
      </w:r>
    </w:p>
    <w:p>
      <w:pPr>
        <w:spacing w:after="0" w:line="162" w:lineRule="exact"/>
        <w:rPr>
          <w:rFonts w:ascii="Times New Roman" w:cs="Times New Roman" w:eastAsia="Times New Roman" w:hAnsi="Times New Roman"/>
          <w:sz w:val="16"/>
          <w:szCs w:val="16"/>
          <w:color w:val="auto"/>
        </w:rPr>
      </w:pPr>
    </w:p>
    <w:p>
      <w:pPr>
        <w:jc w:val="both"/>
        <w:ind w:firstLine="1143"/>
        <w:spacing w:after="0" w:line="253" w:lineRule="auto"/>
        <w:tabs>
          <w:tab w:leader="none" w:pos="1394"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or prior to the Closing Date, the Company shall have delivered to Subscriber customary payoff letters or other reasonably satisfactory customary documentation in connection with (A) the termination and permanent repayment of amounts outstanding under the Venture Loan and Security Agreement, dated as of March 5, 2021, by and between Horizon Technology Finance Corporation, as lender and collateral agent, and Presto, as borrower, (B) the termination and permanent repayment of amounts outstanding under the Venture Loan and Security Agreement, dated as of March 11, 2022, by and between Lago Innovation Fund II, LLC, as collateral agent, the other lenders from time to time party thereto, and Presto, as borrower, (C) the termination and permanent repayment of amounts outstanding under the receivables financing agreement, dated April 27, 2021, by and between Nirvana Funding II, LLC and Presto, each to be terminated and repaid substantially concurrently with Closing and (D) the termination and permanent repayment of amounts outstanding under any other existing financing arrangement, agreement or facility that would be classified as long-term debt in accordance with generally accepted accounting principles in the U.S. (“</w:t>
      </w:r>
      <w:r>
        <w:rPr>
          <w:rFonts w:ascii="Times New Roman" w:cs="Times New Roman" w:eastAsia="Times New Roman" w:hAnsi="Times New Roman"/>
          <w:sz w:val="16"/>
          <w:szCs w:val="16"/>
          <w:u w:val="single" w:color="auto"/>
          <w:color w:val="auto"/>
        </w:rPr>
        <w:t>GAAP</w:t>
      </w:r>
      <w:r>
        <w:rPr>
          <w:rFonts w:ascii="Times New Roman" w:cs="Times New Roman" w:eastAsia="Times New Roman" w:hAnsi="Times New Roman"/>
          <w:sz w:val="16"/>
          <w:szCs w:val="16"/>
          <w:color w:val="auto"/>
        </w:rPr>
        <w:t>”);</w:t>
      </w:r>
    </w:p>
    <w:p>
      <w:pPr>
        <w:spacing w:after="0" w:line="169" w:lineRule="exact"/>
        <w:rPr>
          <w:rFonts w:ascii="Times New Roman" w:cs="Times New Roman" w:eastAsia="Times New Roman" w:hAnsi="Times New Roman"/>
          <w:sz w:val="16"/>
          <w:szCs w:val="16"/>
          <w:color w:val="auto"/>
        </w:rPr>
      </w:pPr>
    </w:p>
    <w:p>
      <w:pPr>
        <w:jc w:val="both"/>
        <w:ind w:firstLine="1143"/>
        <w:spacing w:after="0" w:line="253" w:lineRule="auto"/>
        <w:tabs>
          <w:tab w:leader="none" w:pos="1426"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prior to the Closing Date, the Company shall have delivered to Subscriber final documentation, in a form reasonably satisfactory to Subscriber and consistent with the term sheet previously delivered to Subscriber on July 21, 2022, with respect to a new Venture Loan and Security Agreement by and between Lago Innovation Fund II, LLC, as collateral agent, the other lenders from time to time party thereto, and Presto, as borrower (the “</w:t>
      </w:r>
      <w:r>
        <w:rPr>
          <w:rFonts w:ascii="Times New Roman" w:cs="Times New Roman" w:eastAsia="Times New Roman" w:hAnsi="Times New Roman"/>
          <w:sz w:val="16"/>
          <w:szCs w:val="16"/>
          <w:u w:val="single" w:color="auto"/>
          <w:color w:val="auto"/>
        </w:rPr>
        <w:t>New Lago Loan Facility</w:t>
      </w:r>
      <w:r>
        <w:rPr>
          <w:rFonts w:ascii="Times New Roman" w:cs="Times New Roman" w:eastAsia="Times New Roman" w:hAnsi="Times New Roman"/>
          <w:sz w:val="16"/>
          <w:szCs w:val="16"/>
          <w:color w:val="auto"/>
        </w:rPr>
        <w:t>”), (B) on the Closing Date, after giving effect to the repayments set forth in Section 2(e)(x), the Company would have no outstanding long-term debt in accordance with GAAP other than up to $15,000,000 of senior secured debt of the Company under the New Lago Loan Facility and the Subscribed Notes and (C) on the Closing Date, the Company shall have delivered to Subscriber a certificate signed by the Chief Financial Officer of the Company attesting to the outstanding debt balance under the New Lago Loan Facility and certifying that, after giving effect to the repayments set forth in Section 2(e)(x), the Company would have no other outstanding long-term debt in accordance with GAAP on its balance sheet as of the Closing Date;</w:t>
      </w:r>
    </w:p>
    <w:p>
      <w:pPr>
        <w:spacing w:after="0" w:line="169" w:lineRule="exact"/>
        <w:rPr>
          <w:rFonts w:ascii="Times New Roman" w:cs="Times New Roman" w:eastAsia="Times New Roman" w:hAnsi="Times New Roman"/>
          <w:sz w:val="16"/>
          <w:szCs w:val="16"/>
          <w:color w:val="auto"/>
        </w:rPr>
      </w:pPr>
    </w:p>
    <w:p>
      <w:pPr>
        <w:jc w:val="both"/>
        <w:ind w:firstLine="1143"/>
        <w:spacing w:after="0" w:line="259" w:lineRule="auto"/>
        <w:tabs>
          <w:tab w:leader="none" w:pos="1502"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giving effect to all fees and expenses in connection with the Transaction, the Company shall have at least $45,000,000 in unrestricted cash and cash equivalents on its balance sheet as of the Closing Date, and shall have delivered to Subscriber a certificate signed by the Chief Financial Officer of the Company with a schedule showing all such accounts in which such unrestricted cash and cash equivalents will be credited and providing for the Company’s calculation of its cash balance as of the Closing Date;</w:t>
      </w:r>
    </w:p>
    <w:p>
      <w:pPr>
        <w:spacing w:after="0" w:line="161" w:lineRule="exact"/>
        <w:rPr>
          <w:rFonts w:ascii="Times New Roman" w:cs="Times New Roman" w:eastAsia="Times New Roman" w:hAnsi="Times New Roman"/>
          <w:sz w:val="16"/>
          <w:szCs w:val="16"/>
          <w:color w:val="auto"/>
        </w:rPr>
      </w:pPr>
    </w:p>
    <w:p>
      <w:pPr>
        <w:ind w:right="20" w:firstLine="1143"/>
        <w:spacing w:after="0" w:line="280" w:lineRule="auto"/>
        <w:tabs>
          <w:tab w:leader="none" w:pos="1514"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delivered to Subscriber evidence reasonably satisfactory to Subscriber that the gross proceeds received by the Company from the issuance of Common Stock pursuant to the Other Subscription Agreements is at least $60,000,000 on the Closing Date; and</w:t>
      </w:r>
    </w:p>
    <w:p>
      <w:pPr>
        <w:spacing w:after="0" w:line="144" w:lineRule="exact"/>
        <w:rPr>
          <w:rFonts w:ascii="Times New Roman" w:cs="Times New Roman" w:eastAsia="Times New Roman" w:hAnsi="Times New Roman"/>
          <w:sz w:val="16"/>
          <w:szCs w:val="16"/>
          <w:color w:val="auto"/>
        </w:rPr>
      </w:pPr>
    </w:p>
    <w:p>
      <w:pPr>
        <w:ind w:left="1500" w:hanging="357"/>
        <w:spacing w:after="0"/>
        <w:tabs>
          <w:tab w:leader="none" w:pos="1500"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Subscriber shall have entered into the Confidentiality Agreement (as defined herein).</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20" w:name="page121"/>
    <w:bookmarkEnd w:id="120"/>
    <w:p>
      <w:pPr>
        <w:ind w:left="940" w:hanging="180"/>
        <w:spacing w:after="0"/>
        <w:tabs>
          <w:tab w:leader="none" w:pos="940" w:val="left"/>
        </w:tabs>
        <w:numPr>
          <w:ilvl w:val="1"/>
          <w:numId w:val="1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Prior to or at the Closing, Subscriber shall deliver to the Company a duly completed and executed Internal Revenue Service Form W-9 or appropriate Form W-8.</w:t>
      </w:r>
    </w:p>
    <w:p>
      <w:pPr>
        <w:spacing w:after="0" w:line="209" w:lineRule="exact"/>
        <w:rPr>
          <w:rFonts w:ascii="Times New Roman" w:cs="Times New Roman" w:eastAsia="Times New Roman" w:hAnsi="Times New Roman"/>
          <w:sz w:val="15"/>
          <w:szCs w:val="15"/>
          <w:color w:val="auto"/>
        </w:rPr>
      </w:pPr>
    </w:p>
    <w:p>
      <w:pPr>
        <w:ind w:left="920" w:hanging="160"/>
        <w:spacing w:after="0"/>
        <w:tabs>
          <w:tab w:leader="none" w:pos="920" w:val="left"/>
        </w:tabs>
        <w:numPr>
          <w:ilvl w:val="1"/>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avoidance of doubt, the Closing shall not be subject to Company’s consummation of the transactions pursuant to the Other Subscription Agreements.</w:t>
      </w:r>
    </w:p>
    <w:p>
      <w:pPr>
        <w:spacing w:after="0" w:line="198" w:lineRule="exact"/>
        <w:rPr>
          <w:rFonts w:ascii="Times New Roman" w:cs="Times New Roman" w:eastAsia="Times New Roman" w:hAnsi="Times New Roman"/>
          <w:sz w:val="16"/>
          <w:szCs w:val="16"/>
          <w:color w:val="auto"/>
        </w:rPr>
      </w:pPr>
    </w:p>
    <w:p>
      <w:pPr>
        <w:ind w:left="540" w:hanging="162"/>
        <w:spacing w:after="0"/>
        <w:tabs>
          <w:tab w:leader="none" w:pos="540"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Company Representations and Warranties</w:t>
      </w:r>
      <w:r>
        <w:rPr>
          <w:rFonts w:ascii="Times New Roman" w:cs="Times New Roman" w:eastAsia="Times New Roman" w:hAnsi="Times New Roman"/>
          <w:sz w:val="16"/>
          <w:szCs w:val="16"/>
          <w:color w:val="auto"/>
        </w:rPr>
        <w:t>. The Company represents and warrants to Subscriber and the Placement Agents (as defined below) that:</w:t>
      </w:r>
    </w:p>
    <w:p>
      <w:pPr>
        <w:spacing w:after="0" w:line="198" w:lineRule="exact"/>
        <w:rPr>
          <w:rFonts w:ascii="Times New Roman" w:cs="Times New Roman" w:eastAsia="Times New Roman" w:hAnsi="Times New Roman"/>
          <w:sz w:val="16"/>
          <w:szCs w:val="16"/>
          <w:color w:val="auto"/>
        </w:rPr>
      </w:pPr>
    </w:p>
    <w:p>
      <w:pPr>
        <w:jc w:val="both"/>
        <w:ind w:firstLine="760"/>
        <w:spacing w:after="0" w:line="252" w:lineRule="auto"/>
        <w:tabs>
          <w:tab w:leader="none" w:pos="932" w:val="left"/>
        </w:tabs>
        <w:numPr>
          <w:ilvl w:val="1"/>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 is duly organized, validly existing and in good standing under the laws of its jurisdiction of incorporation; (ii) has the requisite power and authority to own, lease and operate its properties, to carry on its business as it is now being conducted and to enter into, deliver and perform its obligations under this Subscription Agreement; and (iii) is duly licensed or qualified to conduct its business and, if applicable, is in good standing under the laws of each jurisdiction (other than its jurisdiction of incorporation) in which the conduct of its business or the ownership of its properties or assets requires such license or qualification, except, with respect to the foregoing clause (iii), where the failure to be in good standing would not reasonably be expected to have a Company Material Adverse Effect. For purposes of this Subscription Agreement, a “</w:t>
      </w:r>
      <w:r>
        <w:rPr>
          <w:rFonts w:ascii="Times New Roman" w:cs="Times New Roman" w:eastAsia="Times New Roman" w:hAnsi="Times New Roman"/>
          <w:sz w:val="16"/>
          <w:szCs w:val="16"/>
          <w:u w:val="single" w:color="auto"/>
          <w:color w:val="auto"/>
        </w:rPr>
        <w:t>Company Material Adverse Effect</w:t>
      </w:r>
      <w:r>
        <w:rPr>
          <w:rFonts w:ascii="Times New Roman" w:cs="Times New Roman" w:eastAsia="Times New Roman" w:hAnsi="Times New Roman"/>
          <w:sz w:val="16"/>
          <w:szCs w:val="16"/>
          <w:color w:val="auto"/>
        </w:rPr>
        <w:t>” means an event, change, development, occurrence, condition or effect with respect to the Company and its subsidiaries, taken together as a whole (on a consolidated basis), that, individually or in the aggregate, (A) would reasonably be expected to have a material adverse effect on the business, financial condition or results of operations of the Company and its subsidiaries, taken together as a whole (on a consolidated basis) or (B) would prevent, materially delay or materially impede the performance by the Company or its subsidiaries of their respective obligations under this Subscription Agreement, including the sale of the Subscribed Securities, the Transaction Agreement or the consummation of the Transaction.</w:t>
      </w:r>
    </w:p>
    <w:p>
      <w:pPr>
        <w:spacing w:after="0" w:line="171" w:lineRule="exact"/>
        <w:rPr>
          <w:rFonts w:ascii="Times New Roman" w:cs="Times New Roman" w:eastAsia="Times New Roman" w:hAnsi="Times New Roman"/>
          <w:sz w:val="16"/>
          <w:szCs w:val="16"/>
          <w:color w:val="auto"/>
        </w:rPr>
      </w:pPr>
    </w:p>
    <w:p>
      <w:pPr>
        <w:jc w:val="both"/>
        <w:ind w:firstLine="760"/>
        <w:spacing w:after="0" w:line="257" w:lineRule="auto"/>
        <w:tabs>
          <w:tab w:leader="none" w:pos="925" w:val="left"/>
        </w:tabs>
        <w:numPr>
          <w:ilvl w:val="1"/>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Closing Date, the Subscribed Notes and Subscribed Warrants will be duly authorized and, when issued and delivered to Subscriber against full payment therefor in accordance with the terms of this Subscription Agreement, will be validly issued and will constitute legal, valid and binding obligations of the Company, enforceable against the Company in accordance with their terms, except that the enforcement thereof may be subject to applicable bankruptcy, insolvency or similar laws affecting creditors’ rights generally or by equitable principles relating to enforceability (collectively, the “</w:t>
      </w:r>
      <w:r>
        <w:rPr>
          <w:rFonts w:ascii="Times New Roman" w:cs="Times New Roman" w:eastAsia="Times New Roman" w:hAnsi="Times New Roman"/>
          <w:sz w:val="16"/>
          <w:szCs w:val="16"/>
          <w:u w:val="single" w:color="auto"/>
          <w:color w:val="auto"/>
        </w:rPr>
        <w:t>Enforceability Exceptions</w:t>
      </w:r>
      <w:r>
        <w:rPr>
          <w:rFonts w:ascii="Times New Roman" w:cs="Times New Roman" w:eastAsia="Times New Roman" w:hAnsi="Times New Roman"/>
          <w:sz w:val="16"/>
          <w:szCs w:val="16"/>
          <w:color w:val="auto"/>
        </w:rPr>
        <w:t>”), and will not have been issued in violation of any preemptive rights created under the Company’s organizational documents or the laws of the State of Delaware.</w:t>
      </w:r>
    </w:p>
    <w:p>
      <w:pPr>
        <w:spacing w:after="0" w:line="162" w:lineRule="exact"/>
        <w:rPr>
          <w:rFonts w:ascii="Times New Roman" w:cs="Times New Roman" w:eastAsia="Times New Roman" w:hAnsi="Times New Roman"/>
          <w:sz w:val="16"/>
          <w:szCs w:val="16"/>
          <w:color w:val="auto"/>
        </w:rPr>
      </w:pPr>
    </w:p>
    <w:p>
      <w:pPr>
        <w:jc w:val="both"/>
        <w:ind w:firstLine="760"/>
        <w:spacing w:after="0" w:line="265" w:lineRule="auto"/>
        <w:tabs>
          <w:tab w:leader="none" w:pos="944" w:val="left"/>
        </w:tabs>
        <w:numPr>
          <w:ilvl w:val="1"/>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Underlying Shares have been duly authorized and, when issued and delivered to Subscriber upon conversion of the Subscribed Notes or Subscribed Warrants, will be validly issued, fully paid and nonassessable and will not have been issued in violation of any preemptive rights created under the Company’s organizational documents or the laws of the State of Delaware.</w:t>
      </w:r>
    </w:p>
    <w:p>
      <w:pPr>
        <w:spacing w:after="0" w:line="155" w:lineRule="exact"/>
        <w:rPr>
          <w:rFonts w:ascii="Times New Roman" w:cs="Times New Roman" w:eastAsia="Times New Roman" w:hAnsi="Times New Roman"/>
          <w:sz w:val="16"/>
          <w:szCs w:val="16"/>
          <w:color w:val="auto"/>
        </w:rPr>
      </w:pPr>
    </w:p>
    <w:p>
      <w:pPr>
        <w:jc w:val="both"/>
        <w:ind w:right="20" w:firstLine="760"/>
        <w:spacing w:after="0" w:line="265" w:lineRule="auto"/>
        <w:tabs>
          <w:tab w:leader="none" w:pos="932" w:val="left"/>
        </w:tabs>
        <w:numPr>
          <w:ilvl w:val="1"/>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Subscription Agreement has been duly authorized, executed and delivered by the Company, and assuming the due authorization, execution and delivery of the same by Subscriber, this Subscription Agreement shall constitute the valid and legally binding obligation of the Company, enforceable against the Company in accordance with its terms, except that the enforcement thereof may be subject to the Enforceability Exceptions.</w:t>
      </w:r>
    </w:p>
    <w:p>
      <w:pPr>
        <w:spacing w:after="0" w:line="155" w:lineRule="exact"/>
        <w:rPr>
          <w:rFonts w:ascii="Times New Roman" w:cs="Times New Roman" w:eastAsia="Times New Roman" w:hAnsi="Times New Roman"/>
          <w:sz w:val="16"/>
          <w:szCs w:val="16"/>
          <w:color w:val="auto"/>
        </w:rPr>
      </w:pPr>
    </w:p>
    <w:p>
      <w:pPr>
        <w:jc w:val="both"/>
        <w:ind w:right="20" w:firstLine="760"/>
        <w:spacing w:after="0" w:line="265" w:lineRule="auto"/>
        <w:tabs>
          <w:tab w:leader="none" w:pos="920" w:val="left"/>
        </w:tabs>
        <w:numPr>
          <w:ilvl w:val="1"/>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Indenture has been duly authorized by the Company and, when duly authorized, executed and delivered by the Trustee, shall constitute the valid and legally binding obligation of the Company, enforceable against the Company in accordance with its terms, except that the enforcement thereof may be subject to the Enforceability Exceptions.</w:t>
      </w:r>
    </w:p>
    <w:p>
      <w:pPr>
        <w:spacing w:after="0" w:line="155" w:lineRule="exact"/>
        <w:rPr>
          <w:rFonts w:ascii="Times New Roman" w:cs="Times New Roman" w:eastAsia="Times New Roman" w:hAnsi="Times New Roman"/>
          <w:sz w:val="16"/>
          <w:szCs w:val="16"/>
          <w:color w:val="auto"/>
        </w:rPr>
      </w:pPr>
    </w:p>
    <w:p>
      <w:pPr>
        <w:jc w:val="both"/>
        <w:ind w:firstLine="760"/>
        <w:spacing w:after="0" w:line="253" w:lineRule="auto"/>
        <w:tabs>
          <w:tab w:leader="none" w:pos="972" w:val="left"/>
        </w:tabs>
        <w:numPr>
          <w:ilvl w:val="1"/>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execution and delivery of this Subscription Agreement, the issuance and sale of the Subscribed Securities, the issuance and delivery of the Underlying Shares in accordance with the terms of the Indenture and the compliance by the Company with all of the provisions of this Subscription Agreement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the Company pursuant to the terms of (i) any indenture, mortgage, deed of trust, loan agreement, lease, license or other agreement or instrument to which the Company is a party or by which the Company is bound or to which any of the property or assets of the Company is subject; (ii) the organizational documents of the Company; or (iii) any statute or any judgment, order, rule or regulation of any court or governmental agency or body, domestic or foreign, having jurisdiction over the Company or any of its properties that, in the case of clauses (i) and (iii), would reasonably be expected to have a Company Material Adverse Effect or have a material adverse effect on the Company’s ability to consummate the transactions contemplated hereby, including the issuance and sale of the Subscribed Securities.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21" w:name="page122"/>
    <w:bookmarkEnd w:id="121"/>
    <w:p>
      <w:pPr>
        <w:jc w:val="both"/>
        <w:ind w:firstLine="765"/>
        <w:spacing w:after="0" w:line="252" w:lineRule="auto"/>
        <w:rPr>
          <w:sz w:val="20"/>
          <w:szCs w:val="20"/>
          <w:color w:val="auto"/>
        </w:rPr>
      </w:pPr>
      <w:r>
        <w:rPr>
          <w:rFonts w:ascii="Times New Roman" w:cs="Times New Roman" w:eastAsia="Times New Roman" w:hAnsi="Times New Roman"/>
          <w:sz w:val="16"/>
          <w:szCs w:val="16"/>
          <w:color w:val="auto"/>
        </w:rPr>
        <w:t xml:space="preserve">g. Assuming the accuracy of the representations and warranties of Subscriber, the Company is not required to obtain any consent, waiver, authorization or order of, give any notice to, or make any filing or registration with, any court or other federal, state, local or other governmental authority, self-regulatory organization (including the Nasdaq Stock Market) or other person in connection with the execution, delivery and performance of this Subscription Agreement (including, without limitation, the issuance of the Subscribed Securities), other than (i) filings required by applicable state securities laws, (ii) the filing of the registration statement pursuant to </w:t>
      </w:r>
      <w:r>
        <w:rPr>
          <w:rFonts w:ascii="Times New Roman" w:cs="Times New Roman" w:eastAsia="Times New Roman" w:hAnsi="Times New Roman"/>
          <w:sz w:val="16"/>
          <w:szCs w:val="16"/>
          <w:u w:val="single" w:color="auto"/>
          <w:color w:val="auto"/>
        </w:rPr>
        <w:t>Section 5</w:t>
      </w:r>
      <w:r>
        <w:rPr>
          <w:rFonts w:ascii="Times New Roman" w:cs="Times New Roman" w:eastAsia="Times New Roman" w:hAnsi="Times New Roman"/>
          <w:sz w:val="16"/>
          <w:szCs w:val="16"/>
          <w:color w:val="auto"/>
        </w:rPr>
        <w:t xml:space="preserve"> below, (iii) the filing of a Notice of Exempt Offering of Securities on Form D with the United States Securities and Exchange Commission (“</w:t>
      </w:r>
      <w:r>
        <w:rPr>
          <w:rFonts w:ascii="Times New Roman" w:cs="Times New Roman" w:eastAsia="Times New Roman" w:hAnsi="Times New Roman"/>
          <w:sz w:val="16"/>
          <w:szCs w:val="16"/>
          <w:u w:val="single" w:color="auto"/>
          <w:color w:val="auto"/>
        </w:rPr>
        <w:t>Commission</w:t>
      </w:r>
      <w:r>
        <w:rPr>
          <w:rFonts w:ascii="Times New Roman" w:cs="Times New Roman" w:eastAsia="Times New Roman" w:hAnsi="Times New Roman"/>
          <w:sz w:val="16"/>
          <w:szCs w:val="16"/>
          <w:color w:val="auto"/>
        </w:rPr>
        <w:t>”) under Regulation D of the Securities Act, if applicable; (iv) those required by the Nasdaq Stock Market, including with respect to obtaining shareholder approval, (v) those required to consummate the Transaction as provided under the Transaction Agreement, (vi) the filing of notification under the Hart-Scott-Rodino Antitrust Improvements Act of 1976, if applicable, (vii) such as have been or will have been obtained, made or given on or prior to the Closing Date, and (viii) those the failure of which to obtain would not be reasonably likely to have a Company Material Adverse Effect or have a material adverse effect on the Company’s ability to consummate the transactions contemplated hereby, including the issuance and sale of the Subscribed Securities.</w:t>
      </w:r>
    </w:p>
    <w:p>
      <w:pPr>
        <w:spacing w:after="0" w:line="171" w:lineRule="exact"/>
        <w:rPr>
          <w:sz w:val="20"/>
          <w:szCs w:val="20"/>
          <w:color w:val="auto"/>
        </w:rPr>
      </w:pPr>
    </w:p>
    <w:p>
      <w:pPr>
        <w:jc w:val="both"/>
        <w:ind w:firstLine="765"/>
        <w:spacing w:after="0" w:line="252" w:lineRule="auto"/>
        <w:rPr>
          <w:sz w:val="20"/>
          <w:szCs w:val="20"/>
          <w:color w:val="auto"/>
        </w:rPr>
      </w:pPr>
      <w:r>
        <w:rPr>
          <w:rFonts w:ascii="Times New Roman" w:cs="Times New Roman" w:eastAsia="Times New Roman" w:hAnsi="Times New Roman"/>
          <w:sz w:val="16"/>
          <w:szCs w:val="16"/>
          <w:color w:val="auto"/>
        </w:rPr>
        <w:t>h. As of their respective dates, all reports required to be filed by the Company with the Commission (the “</w:t>
      </w:r>
      <w:r>
        <w:rPr>
          <w:rFonts w:ascii="Times New Roman" w:cs="Times New Roman" w:eastAsia="Times New Roman" w:hAnsi="Times New Roman"/>
          <w:sz w:val="16"/>
          <w:szCs w:val="16"/>
          <w:u w:val="single" w:color="auto"/>
          <w:color w:val="auto"/>
        </w:rPr>
        <w:t>SEC Reports</w:t>
      </w:r>
      <w:r>
        <w:rPr>
          <w:rFonts w:ascii="Times New Roman" w:cs="Times New Roman" w:eastAsia="Times New Roman" w:hAnsi="Times New Roman"/>
          <w:sz w:val="16"/>
          <w:szCs w:val="16"/>
          <w:color w:val="auto"/>
        </w:rPr>
        <w:t>”) complied in all material respects with the requirements of the Securities Act and the Securities Exchange Act of 1934, and the rules and regulations of the Commission promulgated thereunder,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as in effect at the time of filing and fairly present in all material respects the financial position of the Company as of and for the dates thereof and the results of operations and cash flows for the periods then ended, subject, in the case of unaudited statements, to normal, year-end audit adjustments. The description of the business and financial information of Presto set forth in the presentation dated April 2022 (the “</w:t>
      </w:r>
      <w:r>
        <w:rPr>
          <w:rFonts w:ascii="Times New Roman" w:cs="Times New Roman" w:eastAsia="Times New Roman" w:hAnsi="Times New Roman"/>
          <w:sz w:val="16"/>
          <w:szCs w:val="16"/>
          <w:u w:val="single" w:color="auto"/>
          <w:color w:val="auto"/>
        </w:rPr>
        <w:t>Investor Presentation</w:t>
      </w:r>
      <w:r>
        <w:rPr>
          <w:rFonts w:ascii="Times New Roman" w:cs="Times New Roman" w:eastAsia="Times New Roman" w:hAnsi="Times New Roman"/>
          <w:sz w:val="16"/>
          <w:szCs w:val="16"/>
          <w:color w:val="auto"/>
        </w:rPr>
        <w:t>”) made available to the undersigned prior to the Amendment Date, and as amended through the Closing Date, shall be consistent in all material respects with the description of the business and financial information of Presto described or included in the definitive proxy statement of the Company filed in connection with the approval of the Transaction by the stockholders of the Company. Notwithstanding the foregoing, with respect to the proxy statement/prospectus filed or to be filed by the Company with respect to the Transactions or any other information relating to the Transactions or to Presto or any of its affiliates included in any SEC Report or filed as an exhibit thereto, the representation and warranty in this sentence is made to the Company’s knowledge.</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22" w:name="page123"/>
    <w:bookmarkEnd w:id="122"/>
    <w:p>
      <w:pPr>
        <w:jc w:val="both"/>
        <w:ind w:left="4" w:firstLine="760"/>
        <w:spacing w:after="0" w:line="250" w:lineRule="auto"/>
        <w:tabs>
          <w:tab w:leader="none" w:pos="925" w:val="left"/>
        </w:tabs>
        <w:numPr>
          <w:ilvl w:val="1"/>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date hereof and as of immediately prior to the Closing, the authorized share capital of the Company consists of 50,000,000 shares of Common stock and 1,000,000 preferred shares, par value $0.0001 per share (“</w:t>
      </w:r>
      <w:r>
        <w:rPr>
          <w:rFonts w:ascii="Times New Roman" w:cs="Times New Roman" w:eastAsia="Times New Roman" w:hAnsi="Times New Roman"/>
          <w:sz w:val="16"/>
          <w:szCs w:val="16"/>
          <w:u w:val="single" w:color="auto"/>
          <w:color w:val="auto"/>
        </w:rPr>
        <w:t>Preferred Shares</w:t>
      </w:r>
      <w:r>
        <w:rPr>
          <w:rFonts w:ascii="Times New Roman" w:cs="Times New Roman" w:eastAsia="Times New Roman" w:hAnsi="Times New Roman"/>
          <w:sz w:val="16"/>
          <w:szCs w:val="16"/>
          <w:color w:val="auto"/>
        </w:rPr>
        <w:t>”). As of the Closing Date (and immediately after the consummation of the Transaction), the authorized share capital of the Company will consist of 180,000,000 shares of Common Stock and 1,500,000 Preferred Shares. As of the date hereof and as of immediately prior to the Closing: (i) 1,255,018 shares of Common Stock (excluding shares held by the Sponsors and other insiders of the Company (the “</w:t>
      </w:r>
      <w:r>
        <w:rPr>
          <w:rFonts w:ascii="Times New Roman" w:cs="Times New Roman" w:eastAsia="Times New Roman" w:hAnsi="Times New Roman"/>
          <w:sz w:val="16"/>
          <w:szCs w:val="16"/>
          <w:u w:val="single" w:color="auto"/>
          <w:color w:val="auto"/>
        </w:rPr>
        <w:t>Founder Shares</w:t>
      </w:r>
      <w:r>
        <w:rPr>
          <w:rFonts w:ascii="Times New Roman" w:cs="Times New Roman" w:eastAsia="Times New Roman" w:hAnsi="Times New Roman"/>
          <w:sz w:val="16"/>
          <w:szCs w:val="16"/>
          <w:color w:val="auto"/>
        </w:rPr>
        <w:t>”)), 4,312,500 Founder Shares and no Preferred Shares were issued and outstanding; (ii) 17,250,000 public warrants, each exercisable to purchase one-half of one share of Common Stock at $11.50 per full share and 6,675,000 private placement warrants, (including 900,000 private placement warrants that will be cancelled at the Closing Date) each exercisable to purchase one share of Common Stock at $11.50 per full share (together “</w:t>
      </w:r>
      <w:r>
        <w:rPr>
          <w:rFonts w:ascii="Times New Roman" w:cs="Times New Roman" w:eastAsia="Times New Roman" w:hAnsi="Times New Roman"/>
          <w:sz w:val="16"/>
          <w:szCs w:val="16"/>
          <w:u w:val="single" w:color="auto"/>
          <w:color w:val="auto"/>
        </w:rPr>
        <w:t>Warrants</w:t>
      </w:r>
      <w:r>
        <w:rPr>
          <w:rFonts w:ascii="Times New Roman" w:cs="Times New Roman" w:eastAsia="Times New Roman" w:hAnsi="Times New Roman"/>
          <w:sz w:val="16"/>
          <w:szCs w:val="16"/>
          <w:color w:val="auto"/>
        </w:rPr>
        <w:t>”), were issued and outstanding; (iii) 17,250,000 rights, each right entitling the holder to receive one-twentieth of one share of common stock upon the consummation of the Transaction; and (iv) no Common Stock was subject to issuance upon exercise of outstanding options. As of the date hereof, the Company has no outstanding long-term indebtedness for borrowed money that is or would be required to be recognized as a long-term liability in accordance with generally accepted accounting principles (other than fees payable under the business combination marketing agreement entered into in connection with its initial public offering and/or warrant liability accounting treatment of the Company’s private placement warrants and/or public warrants) and will not have any long-term indebtedness for borrowed money that is or would be required to be recognized as a long-term liability in accordance with generally accepted accounting principles immediately prior to and as of the Closing (other than indebtedness disclosed in the SEC Reports or the Company’s registration statement on Form S-4 (No. 333-263516), as amended, prior to the Closing Date) and all outstanding convertible promissory notes heretofore issued by Presto will have been converted into Common Stock pursuant to the terms of the Transaction Agreement as of the Closing. Immediately following the Closing, (i) 2,599,187 Founder Shares (including 90,000 Founder Shares not held by the Sponsors) and 6,675,000 private placement warrants (including 900,000 private placement warrants that will be cancelled at the Closing Date) will be fully vested,</w:t>
      </w:r>
    </w:p>
    <w:p>
      <w:pPr>
        <w:spacing w:after="0" w:line="9" w:lineRule="exact"/>
        <w:rPr>
          <w:rFonts w:ascii="Times New Roman" w:cs="Times New Roman" w:eastAsia="Times New Roman" w:hAnsi="Times New Roman"/>
          <w:sz w:val="16"/>
          <w:szCs w:val="16"/>
          <w:color w:val="auto"/>
        </w:rPr>
      </w:pPr>
    </w:p>
    <w:p>
      <w:pPr>
        <w:jc w:val="both"/>
        <w:ind w:left="4" w:hanging="4"/>
        <w:spacing w:after="0" w:line="249" w:lineRule="auto"/>
        <w:tabs>
          <w:tab w:leader="none" w:pos="245"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624,500 Founder Shares will be subject to vesting pursuant to the vesting provisions to be set forth in that certain Amended and Restated Sponsors Support Agreement by and among the Company, Presto, the Sponsors, Presto’s directors and officers and certain affiliates of the Sponsors and (iii) the public warrants will have an exercise price of $8.21. No Warrants are exercisable on or prior to the Closing. All (i) issued and outstanding Common Stock has been duly authorized and validly issued, is fully paid and non-assessable and is not subject to preemptive rights and (ii) outstanding Warrants have been duly authorized and validly issued, are fully paid and are not subject to preemptive rights. As of the date hereof, except as set forth above and pursuant to (i) this Subscription Agreement, (ii) the Other Subscription Agreements, (iii) the Transaction Agreement,</w:t>
      </w:r>
    </w:p>
    <w:p>
      <w:pPr>
        <w:spacing w:after="0" w:line="1" w:lineRule="exact"/>
        <w:rPr>
          <w:rFonts w:ascii="Times New Roman" w:cs="Times New Roman" w:eastAsia="Times New Roman" w:hAnsi="Times New Roman"/>
          <w:sz w:val="16"/>
          <w:szCs w:val="16"/>
          <w:color w:val="auto"/>
        </w:rPr>
      </w:pPr>
    </w:p>
    <w:p>
      <w:pPr>
        <w:jc w:val="both"/>
        <w:ind w:left="4" w:hanging="4"/>
        <w:spacing w:after="0" w:line="250" w:lineRule="auto"/>
        <w:tabs>
          <w:tab w:leader="none" w:pos="302"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agreement(s) that the Company may enter into with third parties for the purpose of recapturing or reducing the shares of Common Stock redeemed by public shareholders, (such agreement(s), the “</w:t>
      </w:r>
      <w:r>
        <w:rPr>
          <w:rFonts w:ascii="Times New Roman" w:cs="Times New Roman" w:eastAsia="Times New Roman" w:hAnsi="Times New Roman"/>
          <w:sz w:val="16"/>
          <w:szCs w:val="16"/>
          <w:u w:val="single" w:color="auto"/>
          <w:color w:val="auto"/>
        </w:rPr>
        <w:t>Forward Purchase Agreement</w:t>
      </w:r>
      <w:r>
        <w:rPr>
          <w:rFonts w:ascii="Times New Roman" w:cs="Times New Roman" w:eastAsia="Times New Roman" w:hAnsi="Times New Roman"/>
          <w:sz w:val="16"/>
          <w:szCs w:val="16"/>
          <w:color w:val="auto"/>
        </w:rPr>
        <w:t>”), there are no outstanding options, warrants or other rights to subscribe for, purchase or acquire from the Company any Common Stock or other equity interests in the Company (collectively, “</w:t>
      </w:r>
      <w:r>
        <w:rPr>
          <w:rFonts w:ascii="Times New Roman" w:cs="Times New Roman" w:eastAsia="Times New Roman" w:hAnsi="Times New Roman"/>
          <w:sz w:val="16"/>
          <w:szCs w:val="16"/>
          <w:u w:val="single" w:color="auto"/>
          <w:color w:val="auto"/>
        </w:rPr>
        <w:t>Equity Interests</w:t>
      </w:r>
      <w:r>
        <w:rPr>
          <w:rFonts w:ascii="Times New Roman" w:cs="Times New Roman" w:eastAsia="Times New Roman" w:hAnsi="Times New Roman"/>
          <w:sz w:val="16"/>
          <w:szCs w:val="16"/>
          <w:color w:val="auto"/>
        </w:rPr>
        <w:t>”) or securities convertible into or exchangeable or exercisable for Equity Interests. As of the date hereof, the Company has no subsidiaries and does not own, directly or indirectly, interests or investments (whether equity or debt) in any person, whether incorporated or unincorporated. There are no stockholder agreements, voting trusts or other agreements or understandings to which the Company is a party or by which it is bound relating to the voting of any Equity Interests, other than (A) the letter agreements entered into by the Company in connection with the Company’s initial public offering on December 30, 2020 pursuant to which the Company’s sponsor and the Company’s executive officers and independent directors agreed to vote in favor of any proposed Business Combination (as defined therein), which includes the Transaction, (B) as contemplated by the Transaction Agreement and (C) the Forward Purchase Agreement. With the exception of the Warrants, there are no securities or instruments issued by or to which the Company is a party containing anti-dilution or similar provisions that will be triggered by the issuance of (i) the Subscribed Securities or (ii) the securities to be issued pursuant to any Other Subscription Agreement. Subscriber understands and acknowledges the Sponsors may from time to time enter into various agreements relating to the transfer of the Founder Shares and private placement warrants in furtherance of the Transaction, and that such agreements shall not be in violation of this Subscription Agreement so long as the aggregate number of outstanding Founder Shares or private placement warrants do not increase, the Sponsors shall promptly notify Subscriber if the aggregate number of Founder Shares or private placement warrants decrease as a result of such agreements.</w:t>
      </w:r>
    </w:p>
    <w:p>
      <w:pPr>
        <w:spacing w:after="0" w:line="168" w:lineRule="exact"/>
        <w:rPr>
          <w:rFonts w:ascii="Times New Roman" w:cs="Times New Roman" w:eastAsia="Times New Roman" w:hAnsi="Times New Roman"/>
          <w:sz w:val="16"/>
          <w:szCs w:val="16"/>
          <w:color w:val="auto"/>
        </w:rPr>
      </w:pPr>
    </w:p>
    <w:p>
      <w:pPr>
        <w:jc w:val="both"/>
        <w:ind w:left="4" w:firstLine="760"/>
        <w:spacing w:after="0" w:line="257" w:lineRule="auto"/>
        <w:tabs>
          <w:tab w:leader="none" w:pos="941" w:val="left"/>
        </w:tabs>
        <w:numPr>
          <w:ilvl w:val="1"/>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for such matters as have not had and would not be reasonably likely to have a Company Material Adverse Effect or have a material adverse effect on the Company’s ability to consummate the transactions contemplated hereby, including the issuance and sale of the Subscribed Securities, as of the Amendment Date, there is no (i) suit, action, investigation, proceeding or arbitration before a governmental authority or arbitrator pending, or, to the knowledge of the Company, threatened in writing against the Company or any of its directors or officers in their capacities as such or (ii) judgment, decree, injunction, ruling or order of any governmental authority or arbitrator outstanding against the Company or any of its directors or officers in their capacities as such.</w:t>
      </w:r>
    </w:p>
    <w:p>
      <w:pPr>
        <w:spacing w:after="0" w:line="162" w:lineRule="exact"/>
        <w:rPr>
          <w:rFonts w:ascii="Times New Roman" w:cs="Times New Roman" w:eastAsia="Times New Roman" w:hAnsi="Times New Roman"/>
          <w:sz w:val="16"/>
          <w:szCs w:val="16"/>
          <w:color w:val="auto"/>
        </w:rPr>
      </w:pPr>
    </w:p>
    <w:p>
      <w:pPr>
        <w:jc w:val="both"/>
        <w:ind w:left="4" w:firstLine="760"/>
        <w:spacing w:after="0" w:line="255" w:lineRule="auto"/>
        <w:tabs>
          <w:tab w:leader="none" w:pos="959" w:val="left"/>
        </w:tabs>
        <w:numPr>
          <w:ilvl w:val="1"/>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issued and outstanding shares of Common Stock are registered pursuant to Section 12(b) of the Securities Exchange Act of 1934, as amended (the “</w:t>
      </w:r>
      <w:r>
        <w:rPr>
          <w:rFonts w:ascii="Times New Roman" w:cs="Times New Roman" w:eastAsia="Times New Roman" w:hAnsi="Times New Roman"/>
          <w:sz w:val="16"/>
          <w:szCs w:val="16"/>
          <w:u w:val="single" w:color="auto"/>
          <w:color w:val="auto"/>
        </w:rPr>
        <w:t>Exchange Act</w:t>
      </w:r>
      <w:r>
        <w:rPr>
          <w:rFonts w:ascii="Times New Roman" w:cs="Times New Roman" w:eastAsia="Times New Roman" w:hAnsi="Times New Roman"/>
          <w:sz w:val="16"/>
          <w:szCs w:val="16"/>
          <w:color w:val="auto"/>
        </w:rPr>
        <w:t>”), and are listed for trading on the Nasdaq Stock Market under the symbol “VTAQ.” There is no suit, action, proceeding or investigation pending or, to the knowledge of the Company, threatened against the Company by the Nasdaq Stock Market or the Commission with respect to any intention by such entity to deregister the shares of Common Stock or prohibit or terminate the listing of the shares of Common Stock on the Nasdaq Stock Market. The Company has taken no action that is designed to terminate the registration of the shares of Common Stock under the Exchange Act. The Company will file a listing application with NASDAQ for the Underlying Shares and such application has been, or prior to Closing will be, approved by NASDAQ.</w:t>
      </w:r>
    </w:p>
    <w:p>
      <w:pPr>
        <w:spacing w:after="0" w:line="35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123" w:name="page124"/>
    <w:bookmarkEnd w:id="123"/>
    <w:p>
      <w:pPr>
        <w:ind w:left="4" w:right="20" w:firstLine="760"/>
        <w:spacing w:after="0" w:line="280" w:lineRule="auto"/>
        <w:tabs>
          <w:tab w:leader="none" w:pos="952" w:val="left"/>
        </w:tabs>
        <w:numPr>
          <w:ilvl w:val="1"/>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consummation of the Transaction, the issued and outstanding shares of Common Stock will be registered pursuant to Section 12(b) of the Exchange Act and will be listed for trading on the Nasdaq Stock Market.</w:t>
      </w:r>
    </w:p>
    <w:p>
      <w:pPr>
        <w:spacing w:after="0" w:line="144" w:lineRule="exact"/>
        <w:rPr>
          <w:rFonts w:ascii="Times New Roman" w:cs="Times New Roman" w:eastAsia="Times New Roman" w:hAnsi="Times New Roman"/>
          <w:sz w:val="16"/>
          <w:szCs w:val="16"/>
          <w:color w:val="auto"/>
        </w:rPr>
      </w:pPr>
    </w:p>
    <w:p>
      <w:pPr>
        <w:ind w:left="4" w:firstLine="760"/>
        <w:spacing w:after="0" w:line="280" w:lineRule="auto"/>
        <w:tabs>
          <w:tab w:leader="none" w:pos="978" w:val="left"/>
        </w:tabs>
        <w:numPr>
          <w:ilvl w:val="1"/>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Assuming the accuracy of Subscriber’s representations and warranties set forth in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xml:space="preserve"> of this Subscription Agreement, no registration under the Securities Act is required for the offer and sale of the Subscribed Securities by the Company to Subscriber.</w:t>
      </w:r>
    </w:p>
    <w:p>
      <w:pPr>
        <w:spacing w:after="0" w:line="144" w:lineRule="exact"/>
        <w:rPr>
          <w:rFonts w:ascii="Times New Roman" w:cs="Times New Roman" w:eastAsia="Times New Roman" w:hAnsi="Times New Roman"/>
          <w:sz w:val="16"/>
          <w:szCs w:val="16"/>
          <w:color w:val="auto"/>
        </w:rPr>
      </w:pPr>
    </w:p>
    <w:p>
      <w:pPr>
        <w:ind w:left="4" w:right="20" w:firstLine="760"/>
        <w:spacing w:after="0" w:line="280" w:lineRule="auto"/>
        <w:tabs>
          <w:tab w:leader="none" w:pos="950" w:val="left"/>
        </w:tabs>
        <w:numPr>
          <w:ilvl w:val="1"/>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person acting on its behalf has engaged or will engage in any form of general solicitation or general advertising (within the meaning of Regulation D) in connection with any offer or sale of the Subscribed Securities.</w:t>
      </w:r>
    </w:p>
    <w:p>
      <w:pPr>
        <w:spacing w:after="0" w:line="144" w:lineRule="exact"/>
        <w:rPr>
          <w:rFonts w:ascii="Times New Roman" w:cs="Times New Roman" w:eastAsia="Times New Roman" w:hAnsi="Times New Roman"/>
          <w:sz w:val="16"/>
          <w:szCs w:val="16"/>
          <w:color w:val="auto"/>
        </w:rPr>
      </w:pPr>
    </w:p>
    <w:p>
      <w:pPr>
        <w:jc w:val="both"/>
        <w:ind w:left="4" w:firstLine="760"/>
        <w:spacing w:after="0" w:line="259" w:lineRule="auto"/>
        <w:tabs>
          <w:tab w:leader="none" w:pos="943" w:val="left"/>
        </w:tabs>
        <w:numPr>
          <w:ilvl w:val="1"/>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for each of William Blair &amp; Company, L.L.C. (“</w:t>
      </w:r>
      <w:r>
        <w:rPr>
          <w:rFonts w:ascii="Times New Roman" w:cs="Times New Roman" w:eastAsia="Times New Roman" w:hAnsi="Times New Roman"/>
          <w:sz w:val="16"/>
          <w:szCs w:val="16"/>
          <w:u w:val="single" w:color="auto"/>
          <w:color w:val="auto"/>
        </w:rPr>
        <w:t>William Blair</w:t>
      </w:r>
      <w:r>
        <w:rPr>
          <w:rFonts w:ascii="Times New Roman" w:cs="Times New Roman" w:eastAsia="Times New Roman" w:hAnsi="Times New Roman"/>
          <w:sz w:val="16"/>
          <w:szCs w:val="16"/>
          <w:color w:val="auto"/>
        </w:rPr>
        <w:t>”), Truist Securities, Inc. (“</w:t>
      </w:r>
      <w:r>
        <w:rPr>
          <w:rFonts w:ascii="Times New Roman" w:cs="Times New Roman" w:eastAsia="Times New Roman" w:hAnsi="Times New Roman"/>
          <w:sz w:val="16"/>
          <w:szCs w:val="16"/>
          <w:u w:val="single" w:color="auto"/>
          <w:color w:val="auto"/>
        </w:rPr>
        <w:t>Truist</w:t>
      </w:r>
      <w:r>
        <w:rPr>
          <w:rFonts w:ascii="Times New Roman" w:cs="Times New Roman" w:eastAsia="Times New Roman" w:hAnsi="Times New Roman"/>
          <w:sz w:val="16"/>
          <w:szCs w:val="16"/>
          <w:color w:val="auto"/>
        </w:rPr>
        <w:t>”) and Chardan Capital Markets, LLC (“</w:t>
      </w:r>
      <w:r>
        <w:rPr>
          <w:rFonts w:ascii="Times New Roman" w:cs="Times New Roman" w:eastAsia="Times New Roman" w:hAnsi="Times New Roman"/>
          <w:sz w:val="16"/>
          <w:szCs w:val="16"/>
          <w:u w:val="single" w:color="auto"/>
          <w:color w:val="auto"/>
        </w:rPr>
        <w:t>Chardan</w:t>
      </w:r>
      <w:r>
        <w:rPr>
          <w:rFonts w:ascii="Times New Roman" w:cs="Times New Roman" w:eastAsia="Times New Roman" w:hAnsi="Times New Roman"/>
          <w:sz w:val="16"/>
          <w:szCs w:val="16"/>
          <w:color w:val="auto"/>
        </w:rPr>
        <w:t>” and together with William Blair and Truist, the “</w:t>
      </w:r>
      <w:r>
        <w:rPr>
          <w:rFonts w:ascii="Times New Roman" w:cs="Times New Roman" w:eastAsia="Times New Roman" w:hAnsi="Times New Roman"/>
          <w:sz w:val="16"/>
          <w:szCs w:val="16"/>
          <w:u w:val="single" w:color="auto"/>
          <w:color w:val="auto"/>
        </w:rPr>
        <w:t>Placement Agents</w:t>
      </w:r>
      <w:r>
        <w:rPr>
          <w:rFonts w:ascii="Times New Roman" w:cs="Times New Roman" w:eastAsia="Times New Roman" w:hAnsi="Times New Roman"/>
          <w:sz w:val="16"/>
          <w:szCs w:val="16"/>
          <w:color w:val="auto"/>
        </w:rPr>
        <w:t>” and each a “</w:t>
      </w:r>
      <w:r>
        <w:rPr>
          <w:rFonts w:ascii="Times New Roman" w:cs="Times New Roman" w:eastAsia="Times New Roman" w:hAnsi="Times New Roman"/>
          <w:sz w:val="16"/>
          <w:szCs w:val="16"/>
          <w:u w:val="single" w:color="auto"/>
          <w:color w:val="auto"/>
        </w:rPr>
        <w:t>Placement Agent</w:t>
      </w:r>
      <w:r>
        <w:rPr>
          <w:rFonts w:ascii="Times New Roman" w:cs="Times New Roman" w:eastAsia="Times New Roman" w:hAnsi="Times New Roman"/>
          <w:sz w:val="16"/>
          <w:szCs w:val="16"/>
          <w:color w:val="auto"/>
        </w:rPr>
        <w:t>”), no broker or finder is entitled to any brokerage or finder’s fee or commission solely in connection with the sale of the Subscribed Securities to Subscriber (it being understood that fees payable to the Placement Agents in connection with the sale of the Aggregate Subscribed Securities were not derived from Subscriber nor from Subscriber’s investment in the Subscribed Notes).</w:t>
      </w:r>
    </w:p>
    <w:p>
      <w:pPr>
        <w:spacing w:after="0" w:line="161" w:lineRule="exact"/>
        <w:rPr>
          <w:rFonts w:ascii="Times New Roman" w:cs="Times New Roman" w:eastAsia="Times New Roman" w:hAnsi="Times New Roman"/>
          <w:sz w:val="16"/>
          <w:szCs w:val="16"/>
          <w:color w:val="auto"/>
        </w:rPr>
      </w:pPr>
    </w:p>
    <w:p>
      <w:pPr>
        <w:jc w:val="both"/>
        <w:ind w:left="4" w:firstLine="760"/>
        <w:spacing w:after="0" w:line="257" w:lineRule="auto"/>
        <w:tabs>
          <w:tab w:leader="none" w:pos="933" w:val="left"/>
        </w:tabs>
        <w:numPr>
          <w:ilvl w:val="1"/>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for such matters as have not had and would not be reasonably likely to have a Company Material Adverse Effect or have a material adverse effect on the Company’s ability to consummate the transactions contemplated hereby, including the issuance and sale of the Subscribed Securities, the Company is, and has been since its inception, in compliance with all laws applicable to the conduct of the business of the Company. The Company has not received any written, or to its knowledge, other communication from a governmental entity that alleges that the Company is not in compliance with or is in default or violation of any applicable law, except where such noncompliance, default or violation would not be reasonably expected to have, individually or in the aggregate, a Company Material Adverse Effect.</w:t>
      </w:r>
    </w:p>
    <w:p>
      <w:pPr>
        <w:spacing w:after="0" w:line="162" w:lineRule="exact"/>
        <w:rPr>
          <w:rFonts w:ascii="Times New Roman" w:cs="Times New Roman" w:eastAsia="Times New Roman" w:hAnsi="Times New Roman"/>
          <w:sz w:val="16"/>
          <w:szCs w:val="16"/>
          <w:color w:val="auto"/>
        </w:rPr>
      </w:pPr>
    </w:p>
    <w:p>
      <w:pPr>
        <w:ind w:left="4" w:right="20" w:firstLine="760"/>
        <w:spacing w:after="0" w:line="280" w:lineRule="auto"/>
        <w:tabs>
          <w:tab w:leader="none" w:pos="933" w:val="left"/>
        </w:tabs>
        <w:numPr>
          <w:ilvl w:val="1"/>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not in the past nor will it hereafter take any action to sell, offer for sale or solicit offers to buy any securities of the Company that could result in the initial sale of the Subscribed Securities not being exempt from the registration requirements of Section 5 of the Securities Act.</w:t>
      </w:r>
    </w:p>
    <w:p>
      <w:pPr>
        <w:spacing w:after="0" w:line="144" w:lineRule="exact"/>
        <w:rPr>
          <w:rFonts w:ascii="Times New Roman" w:cs="Times New Roman" w:eastAsia="Times New Roman" w:hAnsi="Times New Roman"/>
          <w:sz w:val="16"/>
          <w:szCs w:val="16"/>
          <w:color w:val="auto"/>
        </w:rPr>
      </w:pPr>
    </w:p>
    <w:p>
      <w:pPr>
        <w:jc w:val="both"/>
        <w:ind w:left="4" w:firstLine="760"/>
        <w:spacing w:after="0" w:line="265" w:lineRule="auto"/>
        <w:tabs>
          <w:tab w:leader="none" w:pos="948" w:val="left"/>
        </w:tabs>
        <w:numPr>
          <w:ilvl w:val="1"/>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all franchises, permits, licenses and any similar authority necessary for the conduct of its business as now being conducted by it, the lack of which would have a material adverse effect, and to the Company’s knowledge, the Company is not in default in any material respect under any of such franchises, permits, licenses or other authority.</w:t>
      </w:r>
    </w:p>
    <w:p>
      <w:pPr>
        <w:spacing w:after="0" w:line="155" w:lineRule="exact"/>
        <w:rPr>
          <w:rFonts w:ascii="Times New Roman" w:cs="Times New Roman" w:eastAsia="Times New Roman" w:hAnsi="Times New Roman"/>
          <w:sz w:val="16"/>
          <w:szCs w:val="16"/>
          <w:color w:val="auto"/>
        </w:rPr>
      </w:pPr>
    </w:p>
    <w:p>
      <w:pPr>
        <w:jc w:val="both"/>
        <w:ind w:left="4" w:firstLine="760"/>
        <w:spacing w:after="0" w:line="265" w:lineRule="auto"/>
        <w:tabs>
          <w:tab w:leader="none" w:pos="952" w:val="left"/>
        </w:tabs>
        <w:numPr>
          <w:ilvl w:val="1"/>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is no action, suit, proceeding or investigation pending or, to the Company’s knowledge, currently threatened in writing against the Company that questions the validity of this Subscription Agreement or the right of the Company to enter into this Subscription Agreement, or to consummate the transactions contemplated thereby, or that might result, if determined adversely to the Company, in a material adverse effect, or in any material change in the current equity ownership of the Company.</w:t>
      </w:r>
    </w:p>
    <w:p>
      <w:pPr>
        <w:spacing w:after="0" w:line="155" w:lineRule="exact"/>
        <w:rPr>
          <w:rFonts w:ascii="Times New Roman" w:cs="Times New Roman" w:eastAsia="Times New Roman" w:hAnsi="Times New Roman"/>
          <w:sz w:val="16"/>
          <w:szCs w:val="16"/>
          <w:color w:val="auto"/>
        </w:rPr>
      </w:pPr>
    </w:p>
    <w:p>
      <w:pPr>
        <w:jc w:val="both"/>
        <w:ind w:left="4" w:firstLine="760"/>
        <w:spacing w:after="0" w:line="255" w:lineRule="auto"/>
        <w:tabs>
          <w:tab w:leader="none" w:pos="932" w:val="left"/>
        </w:tabs>
        <w:numPr>
          <w:ilvl w:val="1"/>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Company’s knowledge, the Company owns or possesses sufficient legal rights to all (a) patents, patent applications and inventions; (b) trademarks, service marks, trade names, trade dress, logos, domain names or corporate names and registrations and applications for registration thereof, together with all of the goodwill associated therewith; (c) copyrights (registered or unregistered) and copyrightable works and registrations and applications for registrations thereof; (d) computer software, data, and databases and documentation thereof; (e) trade secrets and other confidential information; and (f) licenses, information and proprietary rights and processes necessary for its business as now conducted. The Company has not received any written communications alleging that the Company has violated or, by conducting its business as proposed, would violate any of the patents, trademarks, service marks, trade names, copyrights or trade secrets or other proprietary rights of any other person or entity.</w:t>
      </w:r>
    </w:p>
    <w:p>
      <w:pPr>
        <w:spacing w:after="0" w:line="165" w:lineRule="exact"/>
        <w:rPr>
          <w:rFonts w:ascii="Times New Roman" w:cs="Times New Roman" w:eastAsia="Times New Roman" w:hAnsi="Times New Roman"/>
          <w:sz w:val="16"/>
          <w:szCs w:val="16"/>
          <w:color w:val="auto"/>
        </w:rPr>
      </w:pPr>
    </w:p>
    <w:p>
      <w:pPr>
        <w:jc w:val="both"/>
        <w:ind w:left="4" w:firstLine="760"/>
        <w:spacing w:after="0" w:line="252" w:lineRule="auto"/>
        <w:tabs>
          <w:tab w:leader="none" w:pos="942" w:val="left"/>
        </w:tabs>
        <w:numPr>
          <w:ilvl w:val="1"/>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not entered into any subscription agreement, side letter or similar agreement with any investor in connection with such investor’s direct or indirect investment in the Company other than (i) the Transaction Agreement, (ii) any agreement or arrangement contemplated by the Transaction Agreement, which for the avoidance of doubt, includes the Forward Purchase Agreement, (iii) as disclosed in the Company’s filings with the Commission and (iv) the Other Subscription Agreements. The Other Subscription Agreements reflect terms with respect to the purchase of the Notes that are no more favorable to such subscriber thereunder than the terms of this Subscription Agreement other than such Other Subscription Agreements containing any of the following: (t) the amounts, price and types of the Company’s securities to be subscribed for and purchased by the Other Subscribers, (u) certain fees payable by Presto to and board observer rights granted to Lake Vineyard Fund LP and Silver Rock Empire Fund LP — Series 2022 and their affiliates, (v) the purchase of Common Stock from the Sponsors (as defined herein), (w) certain rights to nominate a member of the Company’s board of directors after and contingent upon the Closing, (x) certain closing conditions in the Other Subscription Agreements relating to the Subscribed Notes, (y)</w:t>
      </w:r>
    </w:p>
    <w:p>
      <w:pPr>
        <w:jc w:val="both"/>
        <w:ind w:left="4" w:right="20" w:hanging="4"/>
        <w:spacing w:after="0" w:line="254" w:lineRule="auto"/>
        <w:tabs>
          <w:tab w:leader="none" w:pos="195"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rights or benefits granted to an Other Subscriber in connection with such Other Subscriber’s compliance with any law, regulation or policy specifically applicable to such Other Subscriber or in connection with the taxable status of an Other Subscriber and (ii) any rights with respect to the confidentiality or disclosure of an Other Subscriber’s identity and (z) certain registration rights.</w:t>
      </w:r>
    </w:p>
    <w:p>
      <w:pPr>
        <w:spacing w:after="0" w:line="35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124" w:name="page125"/>
    <w:bookmarkEnd w:id="124"/>
    <w:p>
      <w:pPr>
        <w:jc w:val="both"/>
        <w:ind w:right="20" w:firstLine="765"/>
        <w:spacing w:after="0" w:line="259" w:lineRule="auto"/>
        <w:rPr>
          <w:sz w:val="20"/>
          <w:szCs w:val="20"/>
          <w:color w:val="auto"/>
        </w:rPr>
      </w:pPr>
      <w:r>
        <w:rPr>
          <w:rFonts w:ascii="Times New Roman" w:cs="Times New Roman" w:eastAsia="Times New Roman" w:hAnsi="Times New Roman"/>
          <w:sz w:val="16"/>
          <w:szCs w:val="16"/>
          <w:color w:val="auto"/>
        </w:rPr>
        <w:t>v. The Company will use commercially reasonable efforts to make the Subscribed Notes DTC-eligible and delivered in book-entry form pursuant to the DWAC procedures of The Depository Trust Company (“</w:t>
      </w:r>
      <w:r>
        <w:rPr>
          <w:rFonts w:ascii="Times New Roman" w:cs="Times New Roman" w:eastAsia="Times New Roman" w:hAnsi="Times New Roman"/>
          <w:sz w:val="16"/>
          <w:szCs w:val="16"/>
          <w:u w:val="single" w:color="auto"/>
          <w:color w:val="auto"/>
        </w:rPr>
        <w:t>DTC</w:t>
      </w:r>
      <w:r>
        <w:rPr>
          <w:rFonts w:ascii="Times New Roman" w:cs="Times New Roman" w:eastAsia="Times New Roman" w:hAnsi="Times New Roman"/>
          <w:sz w:val="16"/>
          <w:szCs w:val="16"/>
          <w:color w:val="auto"/>
        </w:rPr>
        <w:t>”), which will act as the securities depository for the Notes, free and clear of any liens or other restrictions (other than those arising under the Indenture, this Subscription Agreement or applicable state or federal securities laws), in the name of a custodian designated by Subscriber (which custodian shall have properly posted such DWAC for release by the Trustee through the facilities of DTC).</w:t>
      </w:r>
    </w:p>
    <w:p>
      <w:pPr>
        <w:spacing w:after="0" w:line="162" w:lineRule="exact"/>
        <w:rPr>
          <w:sz w:val="20"/>
          <w:szCs w:val="20"/>
          <w:color w:val="auto"/>
        </w:rPr>
      </w:pPr>
    </w:p>
    <w:p>
      <w:pPr>
        <w:ind w:left="540" w:hanging="162"/>
        <w:spacing w:after="0"/>
        <w:tabs>
          <w:tab w:leader="none" w:pos="540"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Subscriber Representations and Warranties</w:t>
      </w:r>
      <w:r>
        <w:rPr>
          <w:rFonts w:ascii="Times New Roman" w:cs="Times New Roman" w:eastAsia="Times New Roman" w:hAnsi="Times New Roman"/>
          <w:sz w:val="16"/>
          <w:szCs w:val="16"/>
          <w:color w:val="auto"/>
        </w:rPr>
        <w:t>. Subscriber represents and warrants to the Company that:</w:t>
      </w:r>
    </w:p>
    <w:p>
      <w:pPr>
        <w:spacing w:after="0" w:line="198" w:lineRule="exact"/>
        <w:rPr>
          <w:rFonts w:ascii="Times New Roman" w:cs="Times New Roman" w:eastAsia="Times New Roman" w:hAnsi="Times New Roman"/>
          <w:sz w:val="16"/>
          <w:szCs w:val="16"/>
          <w:color w:val="auto"/>
        </w:rPr>
      </w:pPr>
    </w:p>
    <w:p>
      <w:pPr>
        <w:ind w:right="20" w:firstLine="760"/>
        <w:spacing w:after="0" w:line="280" w:lineRule="auto"/>
        <w:tabs>
          <w:tab w:leader="none" w:pos="930" w:val="left"/>
        </w:tabs>
        <w:numPr>
          <w:ilvl w:val="1"/>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Subscriber (i) is duly organized, validly existing and in good standing under the laws of its jurisdiction of incorporation, and (ii) has the requisite power and authority to enter into and perform its obligations under this Subscription Agreement.</w:t>
      </w:r>
    </w:p>
    <w:p>
      <w:pPr>
        <w:spacing w:after="0" w:line="144" w:lineRule="exact"/>
        <w:rPr>
          <w:rFonts w:ascii="Times New Roman" w:cs="Times New Roman" w:eastAsia="Times New Roman" w:hAnsi="Times New Roman"/>
          <w:sz w:val="16"/>
          <w:szCs w:val="16"/>
          <w:color w:val="auto"/>
        </w:rPr>
      </w:pPr>
    </w:p>
    <w:p>
      <w:pPr>
        <w:jc w:val="both"/>
        <w:ind w:right="20" w:firstLine="760"/>
        <w:spacing w:after="0" w:line="259" w:lineRule="auto"/>
        <w:tabs>
          <w:tab w:leader="none" w:pos="926" w:val="left"/>
        </w:tabs>
        <w:numPr>
          <w:ilvl w:val="1"/>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Subscription Agreement has been duly executed and delivered by Subscriber, and assuming the due authorization, execution and delivery of the same by the Company, this Subscription Agreement shall constitute the valid and legally binding obligation of Subscriber, enforceable against Subscriber in accordance with its terms, except as such enforceability may be limited by bankruptcy, insolvency, reorganization, moratorium and similar laws affecting creditors generally and by the availability of equitable remedies.</w:t>
      </w:r>
    </w:p>
    <w:p>
      <w:pPr>
        <w:spacing w:after="0" w:line="161" w:lineRule="exact"/>
        <w:rPr>
          <w:rFonts w:ascii="Times New Roman" w:cs="Times New Roman" w:eastAsia="Times New Roman" w:hAnsi="Times New Roman"/>
          <w:sz w:val="16"/>
          <w:szCs w:val="16"/>
          <w:color w:val="auto"/>
        </w:rPr>
      </w:pPr>
    </w:p>
    <w:p>
      <w:pPr>
        <w:jc w:val="both"/>
        <w:ind w:firstLine="760"/>
        <w:spacing w:after="0" w:line="253" w:lineRule="auto"/>
        <w:tabs>
          <w:tab w:leader="none" w:pos="917" w:val="left"/>
        </w:tabs>
        <w:numPr>
          <w:ilvl w:val="1"/>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execution and delivery of this Subscription Agreement, the purchase of the Subscribed Securities and the compliance by Subscriber with all of the provisions of this Subscription Agreement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Subscriber pursuant to the terms of (i) any indenture, mortgage, deed of trust, loan agreement, lease, license or other agreement or instrument to which Subscriber is a party or by which Subscriber is bound or to which any of the property or assets of Subscriber is subject; (ii) the organizational documents of Subscriber; or (iii) any statute or any judgment, order, rule or regulation of any court or governmental agency or body, domestic or foreign, having jurisdiction over Subscriber or any of its properties that, in the case of clauses (i) and (iii), would reasonably be expected to have a Subscriber Material Adverse Effect. For purposes of this Subscription Agreement, a “</w:t>
      </w:r>
      <w:r>
        <w:rPr>
          <w:rFonts w:ascii="Times New Roman" w:cs="Times New Roman" w:eastAsia="Times New Roman" w:hAnsi="Times New Roman"/>
          <w:sz w:val="16"/>
          <w:szCs w:val="16"/>
          <w:u w:val="single" w:color="auto"/>
          <w:color w:val="auto"/>
        </w:rPr>
        <w:t>Subscriber Material Adverse Effect</w:t>
      </w:r>
      <w:r>
        <w:rPr>
          <w:rFonts w:ascii="Times New Roman" w:cs="Times New Roman" w:eastAsia="Times New Roman" w:hAnsi="Times New Roman"/>
          <w:sz w:val="16"/>
          <w:szCs w:val="16"/>
          <w:color w:val="auto"/>
        </w:rPr>
        <w:t>” means an event, change, development, occurrence, condition or effect with respect to Subscriber that would reasonably be expected to have a material adverse effect on Subscriber’s ability to consummate the transactions contemplated hereby, including the purchase of the Subscribed Securities.</w:t>
      </w:r>
    </w:p>
    <w:p>
      <w:pPr>
        <w:spacing w:after="0" w:line="166" w:lineRule="exact"/>
        <w:rPr>
          <w:rFonts w:ascii="Times New Roman" w:cs="Times New Roman" w:eastAsia="Times New Roman" w:hAnsi="Times New Roman"/>
          <w:sz w:val="16"/>
          <w:szCs w:val="16"/>
          <w:color w:val="auto"/>
        </w:rPr>
      </w:pPr>
    </w:p>
    <w:p>
      <w:pPr>
        <w:jc w:val="both"/>
        <w:ind w:firstLine="760"/>
        <w:spacing w:after="0" w:line="253" w:lineRule="auto"/>
        <w:tabs>
          <w:tab w:leader="none" w:pos="929" w:val="left"/>
        </w:tabs>
        <w:numPr>
          <w:ilvl w:val="1"/>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Subscriber (i) is a “qualified institutional buyer” (as defined in Rule 144A under the Securities Act) or an institutional “accredited investor” (within the meaning of Rule 501(a)(1), (2), (3), (7), (8), (9), (12) or (13) under the Securities Act) satisfying the applicable requirements set forth on Annex A; (ii) is acquiring the Subscribed Securities only for its own account and not for the account of others, or if Subscriber is subscribing for the Subscribed Securities as a fiduciary or agent for one or more investor accounts, each owner of such account is a “qualified institutional buyer” (as defined in Rule 144A under the Securities Act) or an institutional “accredited investor” (within the meaning of Rule 501(a)(1), (2), (3), (7), (8), (9), (12) or (13) under the Securities Act) and Subscriber has full investment discretion with respect to each such account, and the full power and authority to make the acknowledgements, representations and agreements herein on behalf of each owner of each such account, and (iii) is not acquiring the Subscribed Securities with a view to, or for offer or sale in connection with, any distribution thereof in violation of the Securities Act (and has provided the Company with the requested information on Annex A following the signature page hereto). Subscriber is not an entity formed for the specific purpose of acquiring the Subscribed Securities and is an “institutional account” as defined by FINRA Rule 4512(e).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25" w:name="page126"/>
    <w:bookmarkEnd w:id="125"/>
    <w:p>
      <w:pPr>
        <w:jc w:val="both"/>
        <w:ind w:left="4" w:firstLine="765"/>
        <w:spacing w:after="0" w:line="253" w:lineRule="auto"/>
        <w:rPr>
          <w:sz w:val="20"/>
          <w:szCs w:val="20"/>
          <w:color w:val="auto"/>
        </w:rPr>
      </w:pPr>
      <w:r>
        <w:rPr>
          <w:rFonts w:ascii="Times New Roman" w:cs="Times New Roman" w:eastAsia="Times New Roman" w:hAnsi="Times New Roman"/>
          <w:sz w:val="16"/>
          <w:szCs w:val="16"/>
          <w:color w:val="auto"/>
        </w:rPr>
        <w:t>e. Subscriber understands that the Subscribed Securities are being offered in a transaction not involving any public offering within the meaning of the Securities Act and that the Subscribed Securities have not been registered under the Securities Act. Subscriber understands that the Subscribed Securities may not be offered, resold, transferred, pledged or otherwise disposed of by Subscriber absent an effective registration statement under the Securities Act, except (i) to the Company or a subsidiary thereof, or (ii) pursuant to an applicable exemption from the registration requirements of the Securities Act, and, in each of cases (i) and (ii), in accordance with any applicable securities laws of the applicable states and other jurisdictions of the United States, and as a result of these transfer restrictions, Subscriber may not be able to readily resell the Subscribed Securities and the Underlying Shares and may be required to bear the financial risk of an investment in the Subscribed Securities for an indefinite period of time. Subscriber acknowledges and agrees that the Subscribed Securities will not be eligible for offer, resale, transfer, pledge or disposition pursuant to Rule 144 promulgated under the Securities Act (“</w:t>
      </w:r>
      <w:r>
        <w:rPr>
          <w:rFonts w:ascii="Times New Roman" w:cs="Times New Roman" w:eastAsia="Times New Roman" w:hAnsi="Times New Roman"/>
          <w:sz w:val="16"/>
          <w:szCs w:val="16"/>
          <w:u w:val="single" w:color="auto"/>
          <w:color w:val="auto"/>
        </w:rPr>
        <w:t>Rule 144</w:t>
      </w:r>
      <w:r>
        <w:rPr>
          <w:rFonts w:ascii="Times New Roman" w:cs="Times New Roman" w:eastAsia="Times New Roman" w:hAnsi="Times New Roman"/>
          <w:sz w:val="16"/>
          <w:szCs w:val="16"/>
          <w:color w:val="auto"/>
        </w:rPr>
        <w:t>”) until at least one year from the Closing Date. Subscriber understands that it has been advised to consult legal counsel prior to making any offer, resale, pledge or transfer of any of the Subscribed Securities and the Underlying Shares.</w:t>
      </w:r>
    </w:p>
    <w:p>
      <w:pPr>
        <w:spacing w:after="0" w:line="166" w:lineRule="exact"/>
        <w:rPr>
          <w:sz w:val="20"/>
          <w:szCs w:val="20"/>
          <w:color w:val="auto"/>
        </w:rPr>
      </w:pPr>
    </w:p>
    <w:p>
      <w:pPr>
        <w:ind w:left="4" w:right="20" w:firstLine="760"/>
        <w:spacing w:after="0" w:line="280" w:lineRule="auto"/>
        <w:tabs>
          <w:tab w:leader="none" w:pos="972"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book entry for the Subscribed Securities shall contain a notation, and each certificate (if any) evidencing the Subscribed Securities shall be stamped or otherwise imprinted with a legend, in substantially the following form:</w:t>
      </w:r>
    </w:p>
    <w:p>
      <w:pPr>
        <w:spacing w:after="0" w:line="144" w:lineRule="exact"/>
        <w:rPr>
          <w:sz w:val="20"/>
          <w:szCs w:val="20"/>
          <w:color w:val="auto"/>
        </w:rPr>
      </w:pPr>
    </w:p>
    <w:p>
      <w:pPr>
        <w:jc w:val="both"/>
        <w:ind w:left="4"/>
        <w:spacing w:after="0" w:line="259" w:lineRule="auto"/>
        <w:rPr>
          <w:sz w:val="20"/>
          <w:szCs w:val="20"/>
          <w:color w:val="auto"/>
        </w:rPr>
      </w:pPr>
      <w:r>
        <w:rPr>
          <w:rFonts w:ascii="Times New Roman" w:cs="Times New Roman" w:eastAsia="Times New Roman" w:hAnsi="Times New Roman"/>
          <w:sz w:val="16"/>
          <w:szCs w:val="16"/>
          <w:color w:val="auto"/>
        </w:rPr>
        <w:t>THIS SECURITY AND THE COMMON STOCK, IF ANY, ISSUABLE UPON CONVERSION OR EXERCISE OF THIS SECURITY, HAVE NOT BEEN REGISTERED UNDER THE SECURITIES ACT OF 1933, AS AMENDED (THE “</w:t>
      </w:r>
      <w:r>
        <w:rPr>
          <w:rFonts w:ascii="Times New Roman" w:cs="Times New Roman" w:eastAsia="Times New Roman" w:hAnsi="Times New Roman"/>
          <w:sz w:val="16"/>
          <w:szCs w:val="16"/>
          <w:b w:val="1"/>
          <w:bCs w:val="1"/>
          <w:color w:val="auto"/>
        </w:rPr>
        <w:t>SECURITIES ACT</w:t>
      </w:r>
      <w:r>
        <w:rPr>
          <w:rFonts w:ascii="Times New Roman" w:cs="Times New Roman" w:eastAsia="Times New Roman" w:hAnsi="Times New Roman"/>
          <w:sz w:val="16"/>
          <w:szCs w:val="16"/>
          <w:color w:val="auto"/>
        </w:rPr>
        <w:t>”), AND MAY NOT BE OFFERED, SOLD, PLEDGED OR OTHERWISE TRANSFERRED EXCEPT IN ACCORDANCE WITH THE FOLLOWING SENTENCE. BY ITS ACQUISITION HEREOF OR OF A BENEFICIAL INTEREST HEREIN, THE ACQUIRER:</w:t>
      </w:r>
    </w:p>
    <w:p>
      <w:pPr>
        <w:spacing w:after="0" w:line="162" w:lineRule="exact"/>
        <w:rPr>
          <w:sz w:val="20"/>
          <w:szCs w:val="20"/>
          <w:color w:val="auto"/>
        </w:rPr>
      </w:pPr>
    </w:p>
    <w:p>
      <w:pPr>
        <w:jc w:val="both"/>
        <w:ind w:left="4" w:hanging="4"/>
        <w:spacing w:after="0" w:line="273" w:lineRule="auto"/>
        <w:tabs>
          <w:tab w:leader="none" w:pos="236" w:val="left"/>
        </w:tabs>
        <w:numPr>
          <w:ilvl w:val="0"/>
          <w:numId w:val="1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THAT EITHER (A) IT AND ANY ACCOUNT FOR WHICH IT IS ACTING IS A “QUALIFIED INSTITUTIONAL BUYER” (AS DEFINED IN RULE 144A UNDER THE SECURITIES ACT) AND THAT IT EXERCISES SOLE INVESTMENT DISCRETION WITH RESPECT TO EACH SUCH ACCOUNT OR (B) IT IS AN INSTITUTIONAL “ACCREDITED INVESTOR” (WITHIN THE MEANING OF RULE 501(A)(1), (2), (3), (7), (8), (9), (12) OR (13) UNDER THE SECURITIES ACT)</w:t>
      </w:r>
    </w:p>
    <w:p>
      <w:pPr>
        <w:spacing w:after="0" w:line="1" w:lineRule="exact"/>
        <w:rPr>
          <w:rFonts w:ascii="Times New Roman" w:cs="Times New Roman" w:eastAsia="Times New Roman" w:hAnsi="Times New Roman"/>
          <w:sz w:val="15"/>
          <w:szCs w:val="15"/>
          <w:color w:val="auto"/>
        </w:rPr>
      </w:pPr>
    </w:p>
    <w:p>
      <w:pPr>
        <w:jc w:val="both"/>
        <w:ind w:left="4" w:right="20"/>
        <w:spacing w:after="0" w:line="252"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AND (2) AGREES FOR THE BENEFIT OF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THAT IT WILL NOT OFFER, SELL, PLEDGE OR OTHERWISE TRANSFER THIS SECURITY OR ANY BENEFICIAL INTEREST HEREIN PRIOR TO THE DATE THAT IS THE LATER OF (X) ONE YEAR AFTER THE LAST ORIGINAL ISSUE DATE HEREOF OR SUCH SHORTER PERIOD OF TIME AS PERMITTED BY RULE 144 UNDER THE SECURITIES ACT OR ANY SUCCESSOR PROVISION THERETO AND (Y) SUCH LATER DATE, IF ANY, AS MAY BE REQUIRED BY APPLICABLE LAW, EXCEPT:</w:t>
      </w:r>
    </w:p>
    <w:p>
      <w:pPr>
        <w:spacing w:after="0" w:line="167" w:lineRule="exact"/>
        <w:rPr>
          <w:sz w:val="20"/>
          <w:szCs w:val="20"/>
          <w:color w:val="auto"/>
        </w:rPr>
      </w:pPr>
    </w:p>
    <w:p>
      <w:pPr>
        <w:ind w:left="264" w:hanging="264"/>
        <w:spacing w:after="0"/>
        <w:tabs>
          <w:tab w:leader="none" w:pos="264"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COMPANY OR ANY SUBSIDIARY THEREOF, OR</w:t>
      </w:r>
    </w:p>
    <w:p>
      <w:pPr>
        <w:spacing w:after="0" w:line="198" w:lineRule="exact"/>
        <w:rPr>
          <w:rFonts w:ascii="Times New Roman" w:cs="Times New Roman" w:eastAsia="Times New Roman" w:hAnsi="Times New Roman"/>
          <w:sz w:val="16"/>
          <w:szCs w:val="16"/>
          <w:color w:val="auto"/>
        </w:rPr>
      </w:pPr>
    </w:p>
    <w:p>
      <w:pPr>
        <w:ind w:left="4" w:right="20" w:hanging="4"/>
        <w:spacing w:after="0" w:line="280" w:lineRule="auto"/>
        <w:tabs>
          <w:tab w:leader="none" w:pos="271"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A REGISTRATION STATEMENT THAT HAS BECOME EFFECTIVE UNDER THE SECURITIES ACT AND IS EFFECTIVE AT THE TIME OF SUCH TRANSFER, OR</w:t>
      </w:r>
    </w:p>
    <w:p>
      <w:pPr>
        <w:spacing w:after="0" w:line="144" w:lineRule="exact"/>
        <w:rPr>
          <w:rFonts w:ascii="Times New Roman" w:cs="Times New Roman" w:eastAsia="Times New Roman" w:hAnsi="Times New Roman"/>
          <w:sz w:val="16"/>
          <w:szCs w:val="16"/>
          <w:color w:val="auto"/>
        </w:rPr>
      </w:pPr>
    </w:p>
    <w:p>
      <w:pPr>
        <w:ind w:left="4" w:right="20" w:hanging="4"/>
        <w:spacing w:after="0" w:line="280" w:lineRule="auto"/>
        <w:tabs>
          <w:tab w:leader="none" w:pos="280"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 PERSON THAT YOU REASONABLY BELIEVE TO BE A QUALIFIED INSTITUTIONAL BUYER IN COMPLIANCE WITH RULE 144A UNDER THE SECURITIES ACT, OR</w:t>
      </w:r>
    </w:p>
    <w:p>
      <w:pPr>
        <w:spacing w:after="0" w:line="144" w:lineRule="exact"/>
        <w:rPr>
          <w:rFonts w:ascii="Times New Roman" w:cs="Times New Roman" w:eastAsia="Times New Roman" w:hAnsi="Times New Roman"/>
          <w:sz w:val="16"/>
          <w:szCs w:val="16"/>
          <w:color w:val="auto"/>
        </w:rPr>
      </w:pPr>
    </w:p>
    <w:p>
      <w:pPr>
        <w:ind w:left="4" w:right="20" w:hanging="4"/>
        <w:spacing w:after="0" w:line="280" w:lineRule="auto"/>
        <w:tabs>
          <w:tab w:leader="none" w:pos="309"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AN EXEMPTION FROM REGISTRATION PROVIDED BY RULE 144 UNDER THE SECURITIES ACT OR ANY OTHER AVAILABLE EXEMPTION FROM THE REGISTRATION REQUIREMENTS OF THE SECURITIES ACT.</w:t>
      </w:r>
    </w:p>
    <w:p>
      <w:pPr>
        <w:spacing w:after="0" w:line="144" w:lineRule="exact"/>
        <w:rPr>
          <w:sz w:val="20"/>
          <w:szCs w:val="20"/>
          <w:color w:val="auto"/>
        </w:rPr>
      </w:pPr>
    </w:p>
    <w:p>
      <w:pPr>
        <w:jc w:val="both"/>
        <w:ind w:left="4" w:right="20"/>
        <w:spacing w:after="0" w:line="257" w:lineRule="auto"/>
        <w:rPr>
          <w:sz w:val="20"/>
          <w:szCs w:val="20"/>
          <w:color w:val="auto"/>
        </w:rPr>
      </w:pPr>
      <w:r>
        <w:rPr>
          <w:rFonts w:ascii="Times New Roman" w:cs="Times New Roman" w:eastAsia="Times New Roman" w:hAnsi="Times New Roman"/>
          <w:sz w:val="16"/>
          <w:szCs w:val="16"/>
          <w:color w:val="auto"/>
        </w:rPr>
        <w:t>PRIOR TO THE REGISTRATION OF ANY TRANSFER IN ACCORDANCE WITH CLAUSE (2)(D) ABOVE, THE COMPANY AND THE TRUSTEE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6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126" w:name="page127"/>
    <w:bookmarkEnd w:id="126"/>
    <w:p>
      <w:pPr>
        <w:jc w:val="both"/>
        <w:ind w:right="20" w:firstLine="765"/>
        <w:spacing w:after="0" w:line="255" w:lineRule="auto"/>
        <w:rPr>
          <w:sz w:val="20"/>
          <w:szCs w:val="20"/>
          <w:color w:val="auto"/>
        </w:rPr>
      </w:pPr>
      <w:r>
        <w:rPr>
          <w:rFonts w:ascii="Times New Roman" w:cs="Times New Roman" w:eastAsia="Times New Roman" w:hAnsi="Times New Roman"/>
          <w:sz w:val="16"/>
          <w:szCs w:val="16"/>
          <w:color w:val="auto"/>
        </w:rPr>
        <w:t>g. Subscriber understands and agrees that Subscriber is purchasing the Subscribed Securities directly from the Company. Subscriber further acknowledges that there have not been, and Subscriber hereby agrees that it is not relying on, any representations, warranties, covenants or agreements made to Subscriber by the Company, any other party to the Transaction or any other person or entity, expressly or by implication, other than those representations, warranties, covenants and agreements of the Company set forth in this Subscription Agreement. Subscriber acknowledges that certain information provided by the Company was based on projections, and such projections were prepared based on assumptions and estimates that are inherently uncertain and are subject to a wide variety of significant business, economic and competitive risks and uncertainties that could cause actual results to differ materially from those contained in the projections.</w:t>
      </w:r>
    </w:p>
    <w:p>
      <w:pPr>
        <w:spacing w:after="0" w:line="165" w:lineRule="exact"/>
        <w:rPr>
          <w:sz w:val="20"/>
          <w:szCs w:val="20"/>
          <w:color w:val="auto"/>
        </w:rPr>
      </w:pPr>
    </w:p>
    <w:p>
      <w:pPr>
        <w:jc w:val="both"/>
        <w:ind w:firstLine="765"/>
        <w:spacing w:after="0" w:line="257" w:lineRule="auto"/>
        <w:rPr>
          <w:sz w:val="20"/>
          <w:szCs w:val="20"/>
          <w:color w:val="auto"/>
        </w:rPr>
      </w:pPr>
      <w:r>
        <w:rPr>
          <w:rFonts w:ascii="Times New Roman" w:cs="Times New Roman" w:eastAsia="Times New Roman" w:hAnsi="Times New Roman"/>
          <w:sz w:val="16"/>
          <w:szCs w:val="16"/>
          <w:color w:val="auto"/>
        </w:rPr>
        <w:t>h. Subscriber agrees that none of the Placement Agents, nor any of their respective affiliates or any of their or their respective affiliates’ control persons, officers, directors or employees, shall be liable to Subscriber pursuant to this Subscription Agreement for any action heretofore or hereafter taken or omitted to be taken by any of them in connection with the purchase of the Subscribed Securities. On behalf of itself and its affiliates, Subscriber releases each of the Placement Agents in respect of any losses, claims, damages, obligations, penalties, judgments, awards, liabilities, costs, expenses or disbursements related to this Subscription Agreement or the transactions contemplated hereby.</w:t>
      </w:r>
    </w:p>
    <w:p>
      <w:pPr>
        <w:spacing w:after="0" w:line="162" w:lineRule="exact"/>
        <w:rPr>
          <w:sz w:val="20"/>
          <w:szCs w:val="20"/>
          <w:color w:val="auto"/>
        </w:rPr>
      </w:pPr>
    </w:p>
    <w:p>
      <w:pPr>
        <w:jc w:val="both"/>
        <w:ind w:firstLine="760"/>
        <w:spacing w:after="0" w:line="251" w:lineRule="auto"/>
        <w:tabs>
          <w:tab w:leader="none" w:pos="968"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making its decision to purchase the Subscribed Securities, Subscriber has relied solely upon independent investigation made by Subscriber and upon the representations, warranties and covenants set forth herein. Subscriber acknowledges and agrees that Subscriber has received such information as Subscriber deems necessary in order to make an investment decision with respect to the Subscribed Securities, including with respect to the Company and the Transaction (including Presto and their respective subsidiaries (collectively, the “</w:t>
      </w:r>
      <w:r>
        <w:rPr>
          <w:rFonts w:ascii="Times New Roman" w:cs="Times New Roman" w:eastAsia="Times New Roman" w:hAnsi="Times New Roman"/>
          <w:sz w:val="16"/>
          <w:szCs w:val="16"/>
          <w:u w:val="single" w:color="auto"/>
          <w:color w:val="auto"/>
        </w:rPr>
        <w:t>Acquired Companies</w:t>
      </w:r>
      <w:r>
        <w:rPr>
          <w:rFonts w:ascii="Times New Roman" w:cs="Times New Roman" w:eastAsia="Times New Roman" w:hAnsi="Times New Roman"/>
          <w:sz w:val="16"/>
          <w:szCs w:val="16"/>
          <w:color w:val="auto"/>
        </w:rPr>
        <w:t>”)). Subscriber represents and agrees that Subscriber and Subscriber’s professional advisor(s), if any, have had the full opportunity to ask such questions, receive such answers and obtain such information as Subscriber and such undersigned’s professional advisor(s), if any, have deemed necessary to make an investment decision with respect to the Subscribed Securities. Subscriber acknowledges and agrees that none of the Placement Agents, nor any respective affiliates of the Placement Agents have provided Subscriber with any information or advice with respect to the Subscribed Securities nor is such information or advice necessary or desired. None of the Placement Agents nor any of their respective affiliates have made or make any representation as to the Company or the Acquired Companies or the quality or value of the Subscribed Securities and the Placement Agents and any of their respective affiliates may have acquired non-public information with respect to the Company or the Acquired Companies which Subscriber agrees need not be provided to it. In connection with the issuance of the Subscribed Securities to Subscriber, none of the Placement Agents nor any of their respective affiliates have acted as a financial advisor or fiduciary to Subscriber. Each of the Placement Agents is acting solely as placement agent to the Company and is not acting as an underwriter or in any other capacity or as a fiduciary for the Company or any other person or entity in connection with the Transaction and none of the Placement Agents or any of their respective affiliates has prepared any disclosure or offering document in connection with the offer and sale of the Subscribed Securities. Subscriber acknowledges that the Placement Agents and their respective directors, officers, employees, representatives and controlling persons have made no independent investigation with respect to the Company or the Subscribed Securities or the accuracy, completeness or adequacy of any information supplied to Subscriber by the Company.</w:t>
      </w:r>
    </w:p>
    <w:p>
      <w:pPr>
        <w:spacing w:after="0" w:line="171" w:lineRule="exact"/>
        <w:rPr>
          <w:rFonts w:ascii="Times New Roman" w:cs="Times New Roman" w:eastAsia="Times New Roman" w:hAnsi="Times New Roman"/>
          <w:sz w:val="16"/>
          <w:szCs w:val="16"/>
          <w:color w:val="auto"/>
        </w:rPr>
      </w:pPr>
    </w:p>
    <w:p>
      <w:pPr>
        <w:jc w:val="both"/>
        <w:ind w:firstLine="760"/>
        <w:spacing w:after="0" w:line="257" w:lineRule="auto"/>
        <w:tabs>
          <w:tab w:leader="none" w:pos="937"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Subscriber acknowledges and agrees that (i) the Placement Agents have not made and will not make any representation or warranty, whether express or implied, of any kind or character and have not provided any advice or recommendation in connection with the Transactions, and (ii) the Placement Agents will have no responsibility with respect to (A) any representations, warranties or agreements made by any person or entity under or in connection with the Transactions or any of the documents furnished pursuant thereto or in connection therewith, or the execution, legality, validity or enforceability (with respect to any person) or any thereof, or (B) the business, affairs, financial condition, operations, properties or prospects of, or any other matter concerning the Company or the Transactions.</w:t>
      </w:r>
    </w:p>
    <w:p>
      <w:pPr>
        <w:spacing w:after="0" w:line="162" w:lineRule="exact"/>
        <w:rPr>
          <w:rFonts w:ascii="Times New Roman" w:cs="Times New Roman" w:eastAsia="Times New Roman" w:hAnsi="Times New Roman"/>
          <w:sz w:val="16"/>
          <w:szCs w:val="16"/>
          <w:color w:val="auto"/>
        </w:rPr>
      </w:pPr>
    </w:p>
    <w:p>
      <w:pPr>
        <w:jc w:val="both"/>
        <w:ind w:right="20" w:firstLine="760"/>
        <w:spacing w:after="0" w:line="257" w:lineRule="auto"/>
        <w:tabs>
          <w:tab w:leader="none" w:pos="926"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Subscriber became aware of this offering of the Subscribed Securities solely by means of direct contact between Subscriber and the Company and the Subscribed Securities were offered to Subscriber solely by direct contact between Subscriber and the Company. Subscriber did not become aware of this offering of the Subscribed Securities, nor were the Subscribed Securities offered to Subscriber, by any other means. Subscriber acknowledges that the Company represents and warrants that the Subscribed Securities (i) were not offered by any form of general solicitation or general advertising and (ii) are not being offered in a manner involving a public offering under, or in a distribution in violation of, the Securities Act, or any state securities laws.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27" w:name="page128"/>
    <w:bookmarkEnd w:id="127"/>
    <w:p>
      <w:pPr>
        <w:jc w:val="both"/>
        <w:ind w:right="20" w:firstLine="760"/>
        <w:spacing w:after="0" w:line="259" w:lineRule="auto"/>
        <w:tabs>
          <w:tab w:leader="none" w:pos="942"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Subscriber acknowledges that it is aware that there are substantial risks incident to the purchase and ownership of the Subscribed Securities and the Underlying Shares. Subscriber has such knowledge and experience in financial and business matters as to be capable of evaluating the merits and risks of an investment in the Subscribed Securities and the Underlying Shares, and Subscriber has had an opportunity to seek, and has sought, such accounting, legal, business and tax advice as Subscriber has considered necessary to make an informed investment decision.</w:t>
      </w:r>
    </w:p>
    <w:p>
      <w:pPr>
        <w:spacing w:after="0" w:line="161" w:lineRule="exact"/>
        <w:rPr>
          <w:rFonts w:ascii="Times New Roman" w:cs="Times New Roman" w:eastAsia="Times New Roman" w:hAnsi="Times New Roman"/>
          <w:sz w:val="16"/>
          <w:szCs w:val="16"/>
          <w:color w:val="auto"/>
        </w:rPr>
      </w:pPr>
    </w:p>
    <w:p>
      <w:pPr>
        <w:jc w:val="both"/>
        <w:ind w:right="20" w:firstLine="760"/>
        <w:spacing w:after="0" w:line="265" w:lineRule="auto"/>
        <w:tabs>
          <w:tab w:leader="none" w:pos="975"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Subscriber has adequately analyzed and fully considered the risks of an investment in the Subscribed Securities and the Underlying Shares and determined that the Subscribed Securities and the Underlying Shares are a suitable investment for Subscriber and that Subscriber is able at this time and in the foreseeable future to bear the economic risk of a total loss of Subscriber’s investment in the Company. Subscriber acknowledges specifically that a possibility of total loss exists.</w:t>
      </w:r>
    </w:p>
    <w:p>
      <w:pPr>
        <w:spacing w:after="0" w:line="155" w:lineRule="exact"/>
        <w:rPr>
          <w:rFonts w:ascii="Times New Roman" w:cs="Times New Roman" w:eastAsia="Times New Roman" w:hAnsi="Times New Roman"/>
          <w:sz w:val="16"/>
          <w:szCs w:val="16"/>
          <w:color w:val="auto"/>
        </w:rPr>
      </w:pPr>
    </w:p>
    <w:p>
      <w:pPr>
        <w:ind w:right="20" w:firstLine="760"/>
        <w:spacing w:after="0" w:line="280" w:lineRule="auto"/>
        <w:tabs>
          <w:tab w:leader="none" w:pos="942"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Subscriber understands and agrees that no federal or state agency has passed upon or endorsed the merits of the offering of the Subscribed Securities or the Underlying Shares or made any findings or determination as to the fairness of this investment.</w:t>
      </w:r>
    </w:p>
    <w:p>
      <w:pPr>
        <w:spacing w:after="0" w:line="144" w:lineRule="exact"/>
        <w:rPr>
          <w:rFonts w:ascii="Times New Roman" w:cs="Times New Roman" w:eastAsia="Times New Roman" w:hAnsi="Times New Roman"/>
          <w:sz w:val="16"/>
          <w:szCs w:val="16"/>
          <w:color w:val="auto"/>
        </w:rPr>
      </w:pPr>
    </w:p>
    <w:p>
      <w:pPr>
        <w:jc w:val="both"/>
        <w:ind w:firstLine="760"/>
        <w:spacing w:after="0" w:line="252" w:lineRule="auto"/>
        <w:tabs>
          <w:tab w:leader="none" w:pos="925"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Subscriber is not (i) a person or entity named on the List of Specially Designated Nationals and Blocked Persons administered by the U.S. Treasury Department’s Office of Foreign Assets Control (“</w:t>
      </w:r>
      <w:r>
        <w:rPr>
          <w:rFonts w:ascii="Times New Roman" w:cs="Times New Roman" w:eastAsia="Times New Roman" w:hAnsi="Times New Roman"/>
          <w:sz w:val="16"/>
          <w:szCs w:val="16"/>
          <w:u w:val="single" w:color="auto"/>
          <w:color w:val="auto"/>
        </w:rPr>
        <w:t>OFAC</w:t>
      </w:r>
      <w:r>
        <w:rPr>
          <w:rFonts w:ascii="Times New Roman" w:cs="Times New Roman" w:eastAsia="Times New Roman" w:hAnsi="Times New Roman"/>
          <w:sz w:val="16"/>
          <w:szCs w:val="16"/>
          <w:color w:val="auto"/>
        </w:rPr>
        <w:t>”) or in any Executive Order issued by the President of the United States and administered by OFAC (“</w:t>
      </w:r>
      <w:r>
        <w:rPr>
          <w:rFonts w:ascii="Times New Roman" w:cs="Times New Roman" w:eastAsia="Times New Roman" w:hAnsi="Times New Roman"/>
          <w:sz w:val="16"/>
          <w:szCs w:val="16"/>
          <w:u w:val="single" w:color="auto"/>
          <w:color w:val="auto"/>
        </w:rPr>
        <w:t>OFAC List</w:t>
      </w:r>
      <w:r>
        <w:rPr>
          <w:rFonts w:ascii="Times New Roman" w:cs="Times New Roman" w:eastAsia="Times New Roman" w:hAnsi="Times New Roman"/>
          <w:sz w:val="16"/>
          <w:szCs w:val="16"/>
          <w:color w:val="auto"/>
        </w:rPr>
        <w:t>”), or a person or entity prohibited by any OFAC sanctions program; (ii) a Designated National as defined in the Cuban Assets Control Regulations, 31 C.F.R. Part 515; or (iii) a non-U.S. shell bank or providing banking services indirectly to a non-U.S. shell bank (collectively, a “</w:t>
      </w:r>
      <w:r>
        <w:rPr>
          <w:rFonts w:ascii="Times New Roman" w:cs="Times New Roman" w:eastAsia="Times New Roman" w:hAnsi="Times New Roman"/>
          <w:sz w:val="16"/>
          <w:szCs w:val="16"/>
          <w:u w:val="single" w:color="auto"/>
          <w:color w:val="auto"/>
        </w:rPr>
        <w:t>Prohibited Investor</w:t>
      </w:r>
      <w:r>
        <w:rPr>
          <w:rFonts w:ascii="Times New Roman" w:cs="Times New Roman" w:eastAsia="Times New Roman" w:hAnsi="Times New Roman"/>
          <w:sz w:val="16"/>
          <w:szCs w:val="16"/>
          <w:color w:val="auto"/>
        </w:rPr>
        <w:t xml:space="preserve">”). Subscriber agrees to provide law enforcement agencies, if requested thereby, such records as required by applicable law,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Subscriber is permitted to do so under applicable law. Subscriber represents that if it is a financial institution subject to the Bank Secrecy Act (31 U.S.C. Section 5311 et seq.), as amended by the USA PATRIOT Act of 2001 and its implementing regulations (collectively, the “</w:t>
      </w:r>
      <w:r>
        <w:rPr>
          <w:rFonts w:ascii="Times New Roman" w:cs="Times New Roman" w:eastAsia="Times New Roman" w:hAnsi="Times New Roman"/>
          <w:sz w:val="16"/>
          <w:szCs w:val="16"/>
          <w:u w:val="single" w:color="auto"/>
          <w:color w:val="auto"/>
        </w:rPr>
        <w:t>BSA/PATRIOT Act</w:t>
      </w:r>
      <w:r>
        <w:rPr>
          <w:rFonts w:ascii="Times New Roman" w:cs="Times New Roman" w:eastAsia="Times New Roman" w:hAnsi="Times New Roman"/>
          <w:sz w:val="16"/>
          <w:szCs w:val="16"/>
          <w:color w:val="auto"/>
        </w:rPr>
        <w:t>”), that Subscriber maintains policies and procedures reasonably designed to comply with applicable obligations under the BSA/PATRIOT Act. Subscriber also represents that, to the extent required, it maintains policies and procedures reasonably designed for the screening of its investors against the OFAC sanctions programs, including the OFAC List. Subscriber further represents and warrants that, to the extent required, it maintains policies and procedures reasonably designed to ensure that the funds held by Subscriber and used to purchase the Subscribed Securities were legally derived.</w:t>
      </w:r>
    </w:p>
    <w:p>
      <w:pPr>
        <w:spacing w:after="0" w:line="171" w:lineRule="exact"/>
        <w:rPr>
          <w:rFonts w:ascii="Times New Roman" w:cs="Times New Roman" w:eastAsia="Times New Roman" w:hAnsi="Times New Roman"/>
          <w:sz w:val="16"/>
          <w:szCs w:val="16"/>
          <w:color w:val="auto"/>
        </w:rPr>
      </w:pPr>
    </w:p>
    <w:p>
      <w:pPr>
        <w:jc w:val="both"/>
        <w:ind w:firstLine="760"/>
        <w:spacing w:after="0" w:line="255" w:lineRule="auto"/>
        <w:tabs>
          <w:tab w:leader="none" w:pos="945"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Amendment Date, and during the 30-day period immediately prior to the Amendment Date, Subscriber has not entered into, any “put equivalent position” as such term is defined in Rule 16a-1 under the Exchange Act or short sale positions with respect to the securities of the Company. Notwithstanding the foregoing, in the case of a Subscriber that is a multi-managed investment vehicle whereby separate portfolio managers manage separate portions of such Subscriber’s assets and the portfolio managers have no direct knowledge of the investment decisions made by the portfolio managers managing other portions of such Subscriber’s assets, the representation set forth above shall only apply with respect to the portion of assets managed by the portfolio manager that made the investment decision to purchase the Subscribed Securities covered by this Subscription Agreement.</w:t>
      </w:r>
    </w:p>
    <w:p>
      <w:pPr>
        <w:spacing w:after="0" w:line="165" w:lineRule="exact"/>
        <w:rPr>
          <w:rFonts w:ascii="Times New Roman" w:cs="Times New Roman" w:eastAsia="Times New Roman" w:hAnsi="Times New Roman"/>
          <w:sz w:val="16"/>
          <w:szCs w:val="16"/>
          <w:color w:val="auto"/>
        </w:rPr>
      </w:pPr>
    </w:p>
    <w:p>
      <w:pPr>
        <w:jc w:val="both"/>
        <w:ind w:firstLine="760"/>
        <w:spacing w:after="0" w:line="252" w:lineRule="auto"/>
        <w:tabs>
          <w:tab w:leader="none" w:pos="941"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Subscriber is an employee benefit plan that is subject to Title I of ERISA, a plan, an individual retirement account or other arrangement that is subject to section 4975 of the Code or an employee benefit plan that is a governmental plan (as defined in section 3(32) of ERISA), a church plan (as defined in section 3(33) of ERISA), a non-U.S. plan (as described in section 4(b)(4) of ERISA) or other plan that is not subject to the foregoing but may be subject to provisions under any other federal, state, local, non-U.S. or other laws or regulations that are similar to such provisions of ERISA or the Internal Revenue Code of 1986, as amended, or an entity whose underlying assets are considered to include “plan assets” of any such plan, account or arrangement (each, a “Plan”) subject to the fiduciary or prohibited transaction provisions of ERISA or section 4975 of the Code, Subscriber represents and warrants that neither the Company, nor any of its respective affiliates (the “</w:t>
      </w:r>
      <w:r>
        <w:rPr>
          <w:rFonts w:ascii="Times New Roman" w:cs="Times New Roman" w:eastAsia="Times New Roman" w:hAnsi="Times New Roman"/>
          <w:sz w:val="16"/>
          <w:szCs w:val="16"/>
          <w:u w:val="single" w:color="auto"/>
          <w:color w:val="auto"/>
        </w:rPr>
        <w:t>Transaction Parties</w:t>
      </w:r>
      <w:r>
        <w:rPr>
          <w:rFonts w:ascii="Times New Roman" w:cs="Times New Roman" w:eastAsia="Times New Roman" w:hAnsi="Times New Roman"/>
          <w:sz w:val="16"/>
          <w:szCs w:val="16"/>
          <w:color w:val="auto"/>
        </w:rPr>
        <w:t>”) has acted as the Plan’s fiduciary, or has been relied on for advice, with respect to its decision to acquire and hold the Subscribed Securities, and none of the Transaction Parties shall at any time be relied upon as the Plan’s fiduciary with respect to any decision to acquire, continue to hold or transfer the Subscribed Securities and the Underlying Shares and none of the acquisition, holding and/or transfer or disposition of the Subscribed Securities and the Underlying Shares will result in a non-exempt prohibited Transactions under ERISA or Section 4975 of the Code or any similar law or regulation.</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28" w:name="page129"/>
    <w:bookmarkEnd w:id="128"/>
    <w:p>
      <w:pPr>
        <w:ind w:left="764"/>
        <w:spacing w:after="0"/>
        <w:rPr>
          <w:sz w:val="20"/>
          <w:szCs w:val="20"/>
          <w:color w:val="auto"/>
        </w:rPr>
      </w:pPr>
      <w:r>
        <w:rPr>
          <w:rFonts w:ascii="Times New Roman" w:cs="Times New Roman" w:eastAsia="Times New Roman" w:hAnsi="Times New Roman"/>
          <w:sz w:val="16"/>
          <w:szCs w:val="16"/>
          <w:color w:val="auto"/>
        </w:rPr>
        <w:t xml:space="preserve">r. Subscriber at the Closing will have sufficient funds to pay the Purchase Price pursuant to </w:t>
      </w:r>
      <w:r>
        <w:rPr>
          <w:rFonts w:ascii="Times New Roman" w:cs="Times New Roman" w:eastAsia="Times New Roman" w:hAnsi="Times New Roman"/>
          <w:sz w:val="16"/>
          <w:szCs w:val="16"/>
          <w:u w:val="single" w:color="auto"/>
          <w:color w:val="auto"/>
        </w:rPr>
        <w:t>Section 2(a)</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4" w:right="20" w:firstLine="765"/>
        <w:spacing w:after="0" w:line="280" w:lineRule="auto"/>
        <w:rPr>
          <w:sz w:val="20"/>
          <w:szCs w:val="20"/>
          <w:color w:val="auto"/>
        </w:rPr>
      </w:pPr>
      <w:r>
        <w:rPr>
          <w:rFonts w:ascii="Times New Roman" w:cs="Times New Roman" w:eastAsia="Times New Roman" w:hAnsi="Times New Roman"/>
          <w:sz w:val="16"/>
          <w:szCs w:val="16"/>
          <w:color w:val="auto"/>
        </w:rPr>
        <w:t xml:space="preserve">s. Subscriber agrees that, notwithstanding </w:t>
      </w:r>
      <w:r>
        <w:rPr>
          <w:rFonts w:ascii="Times New Roman" w:cs="Times New Roman" w:eastAsia="Times New Roman" w:hAnsi="Times New Roman"/>
          <w:sz w:val="16"/>
          <w:szCs w:val="16"/>
          <w:u w:val="single" w:color="auto"/>
          <w:color w:val="auto"/>
        </w:rPr>
        <w:t>Section 8(i)</w:t>
      </w:r>
      <w:r>
        <w:rPr>
          <w:rFonts w:ascii="Times New Roman" w:cs="Times New Roman" w:eastAsia="Times New Roman" w:hAnsi="Times New Roman"/>
          <w:sz w:val="16"/>
          <w:szCs w:val="16"/>
          <w:color w:val="auto"/>
        </w:rPr>
        <w:t>, the Placement Agent may rely upon the representations and warranties made by Subscriber to the Company in this Subscription Agreement.</w:t>
      </w:r>
    </w:p>
    <w:p>
      <w:pPr>
        <w:spacing w:after="0" w:line="144" w:lineRule="exact"/>
        <w:rPr>
          <w:sz w:val="20"/>
          <w:szCs w:val="20"/>
          <w:color w:val="auto"/>
        </w:rPr>
      </w:pPr>
    </w:p>
    <w:p>
      <w:pPr>
        <w:jc w:val="both"/>
        <w:ind w:left="4" w:firstLine="378"/>
        <w:spacing w:after="0" w:line="254" w:lineRule="auto"/>
        <w:tabs>
          <w:tab w:leader="none" w:pos="558" w:val="left"/>
        </w:tabs>
        <w:numPr>
          <w:ilvl w:val="1"/>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Registration of Subscribed Securities</w:t>
      </w:r>
      <w:r>
        <w:rPr>
          <w:rFonts w:ascii="Times New Roman" w:cs="Times New Roman" w:eastAsia="Times New Roman" w:hAnsi="Times New Roman"/>
          <w:sz w:val="16"/>
          <w:szCs w:val="16"/>
          <w:color w:val="auto"/>
        </w:rPr>
        <w:t>. On the Closing Date, the Company and Subscriber shall execute the registration rights agreement, in substantially the form attached as Exhibit F to the Transaction Agreement (the “</w:t>
      </w:r>
      <w:r>
        <w:rPr>
          <w:rFonts w:ascii="Times New Roman" w:cs="Times New Roman" w:eastAsia="Times New Roman" w:hAnsi="Times New Roman"/>
          <w:sz w:val="16"/>
          <w:szCs w:val="16"/>
          <w:u w:val="single" w:color="auto"/>
          <w:color w:val="auto"/>
        </w:rPr>
        <w:t>Registration Rights Agreement</w:t>
      </w:r>
      <w:r>
        <w:rPr>
          <w:rFonts w:ascii="Times New Roman" w:cs="Times New Roman" w:eastAsia="Times New Roman" w:hAnsi="Times New Roman"/>
          <w:sz w:val="16"/>
          <w:szCs w:val="16"/>
          <w:color w:val="auto"/>
        </w:rPr>
        <w:t>”), pursuant to which the Company shall agree to register the resale of the (i) the Subscribed Notes, (ii) shares of Common Stock issuable upon (x) conversion of the Subscribed Notes and (y) exercise of the Subscribed Warrants, (iii) the Warrants in accordance with the terms provided therein and (iv) any shares of Common Stock then held by Subscriber that have not been registered for resale. Upon execution and delivery of the Registration Rights Agreement by Subscriber, Subscriber and each permitted transferee of a Subscribed Security that receives Subscribed Securities in compliance with the restrictions on transfer contained in and pursuant to the Registration Right Agreement shall have the rights of a “Holder” therein, and all of the Subscribed Securities shall constitute “Registrable Securities” under the Registration Rights Agreement.</w:t>
      </w:r>
    </w:p>
    <w:p>
      <w:pPr>
        <w:spacing w:after="0" w:line="166" w:lineRule="exact"/>
        <w:rPr>
          <w:rFonts w:ascii="Times New Roman" w:cs="Times New Roman" w:eastAsia="Times New Roman" w:hAnsi="Times New Roman"/>
          <w:sz w:val="16"/>
          <w:szCs w:val="16"/>
          <w:color w:val="auto"/>
        </w:rPr>
      </w:pPr>
    </w:p>
    <w:p>
      <w:pPr>
        <w:jc w:val="both"/>
        <w:ind w:left="4" w:firstLine="378"/>
        <w:spacing w:after="0" w:line="253" w:lineRule="auto"/>
        <w:tabs>
          <w:tab w:leader="none" w:pos="546" w:val="left"/>
        </w:tabs>
        <w:numPr>
          <w:ilvl w:val="1"/>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w:t>
      </w:r>
      <w:r>
        <w:rPr>
          <w:rFonts w:ascii="Times New Roman" w:cs="Times New Roman" w:eastAsia="Times New Roman" w:hAnsi="Times New Roman"/>
          <w:sz w:val="16"/>
          <w:szCs w:val="16"/>
          <w:color w:val="auto"/>
        </w:rPr>
        <w:t>. This Subscription Agreement shall terminate and be void and of no further force and effect, and all rights and obligations of the parties hereunder shall terminate without any further liability on the part of any party in respect thereof, upon the date (the “</w:t>
      </w:r>
      <w:r>
        <w:rPr>
          <w:rFonts w:ascii="Times New Roman" w:cs="Times New Roman" w:eastAsia="Times New Roman" w:hAnsi="Times New Roman"/>
          <w:sz w:val="16"/>
          <w:szCs w:val="16"/>
          <w:u w:val="single" w:color="auto"/>
          <w:color w:val="auto"/>
        </w:rPr>
        <w:t>Termination Date</w:t>
      </w:r>
      <w:r>
        <w:rPr>
          <w:rFonts w:ascii="Times New Roman" w:cs="Times New Roman" w:eastAsia="Times New Roman" w:hAnsi="Times New Roman"/>
          <w:sz w:val="16"/>
          <w:szCs w:val="16"/>
          <w:color w:val="auto"/>
        </w:rPr>
        <w:t xml:space="preserve">”) that is the earlier to occur of (a)September 30, 2022, (b) such date and time as the Transaction Agreement is terminated in accordance with its terms, (c) the mutual written agreement of the Company and Subscriber to terminate this Subscription Agreement or (d) if, on the Closing Date of the Transaction, any of the conditions to Closing set forth in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xml:space="preserve"> of this Subscription Agreement have not been satisfied as of the time required hereunder to be so satisfied or waived (to the extent a valid waiver is capable of being issued) by the party entitled to grant such waiver and, as a result thereof, the transactions contemplated by this Subscription Agreement are not consummated;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nothing herein will relieve any party from liability for any willful breach hereof prior to the time of termination, and each party will be entitled to any remedies at law or in equity to recover losses, liabilities or damages arising from such breach. The Company shall notify Subscriber of the termination of the Transaction Agreement promptly after the termination thereof.</w:t>
      </w:r>
    </w:p>
    <w:p>
      <w:pPr>
        <w:spacing w:after="0" w:line="169" w:lineRule="exact"/>
        <w:rPr>
          <w:rFonts w:ascii="Times New Roman" w:cs="Times New Roman" w:eastAsia="Times New Roman" w:hAnsi="Times New Roman"/>
          <w:sz w:val="16"/>
          <w:szCs w:val="16"/>
          <w:color w:val="auto"/>
        </w:rPr>
      </w:pPr>
    </w:p>
    <w:p>
      <w:pPr>
        <w:jc w:val="both"/>
        <w:ind w:left="4" w:firstLine="378"/>
        <w:spacing w:after="0" w:line="268" w:lineRule="auto"/>
        <w:tabs>
          <w:tab w:leader="none" w:pos="546" w:val="left"/>
        </w:tabs>
        <w:numPr>
          <w:ilvl w:val="1"/>
          <w:numId w:val="1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Trust Account Waiver</w:t>
      </w:r>
      <w:r>
        <w:rPr>
          <w:rFonts w:ascii="Times New Roman" w:cs="Times New Roman" w:eastAsia="Times New Roman" w:hAnsi="Times New Roman"/>
          <w:sz w:val="15"/>
          <w:szCs w:val="15"/>
          <w:color w:val="auto"/>
        </w:rPr>
        <w:t>. Subscriber hereby acknowledges that the Company has established a trust account (the “</w:t>
      </w:r>
      <w:r>
        <w:rPr>
          <w:rFonts w:ascii="Times New Roman" w:cs="Times New Roman" w:eastAsia="Times New Roman" w:hAnsi="Times New Roman"/>
          <w:sz w:val="15"/>
          <w:szCs w:val="15"/>
          <w:u w:val="single" w:color="auto"/>
          <w:color w:val="auto"/>
        </w:rPr>
        <w:t>Trust Account</w:t>
      </w:r>
      <w:r>
        <w:rPr>
          <w:rFonts w:ascii="Times New Roman" w:cs="Times New Roman" w:eastAsia="Times New Roman" w:hAnsi="Times New Roman"/>
          <w:sz w:val="15"/>
          <w:szCs w:val="15"/>
          <w:color w:val="auto"/>
        </w:rPr>
        <w:t>”) containing the proceeds of its initial public offering (the “</w:t>
      </w:r>
      <w:r>
        <w:rPr>
          <w:rFonts w:ascii="Times New Roman" w:cs="Times New Roman" w:eastAsia="Times New Roman" w:hAnsi="Times New Roman"/>
          <w:sz w:val="15"/>
          <w:szCs w:val="15"/>
          <w:u w:val="single" w:color="auto"/>
          <w:color w:val="auto"/>
        </w:rPr>
        <w:t>IPO</w:t>
      </w:r>
      <w:r>
        <w:rPr>
          <w:rFonts w:ascii="Times New Roman" w:cs="Times New Roman" w:eastAsia="Times New Roman" w:hAnsi="Times New Roman"/>
          <w:sz w:val="15"/>
          <w:szCs w:val="15"/>
          <w:color w:val="auto"/>
        </w:rPr>
        <w:t>”) and from certain private placements occurring simultaneously with the IPO (including interest accrued from time to time thereon) for the benefit of the Company’s public stockholders and certain other parties (including the underwriters of the IPO). For and in consideration of the Company entering into this Subscription Agreement, and for other good and valuable consideration, the receipt and sufficiency of which are hereby acknowledged, Subscriber hereby (i) agrees that it does not now and shall not at any time hereafter have any right, title, interest or claim of any kind in or to any assets held in the Trust Account, and shall not make any claim against the Trust Account, regardless of whether such claim arises as a result of, in connection with or relating in any way to this Subscription Agreement or any other matter, and regardless of whether such claim arises based on contract, tort, equity or any other theory of legal liability (any and all such claims are collectively referred to hereafter as the “</w:t>
      </w:r>
      <w:r>
        <w:rPr>
          <w:rFonts w:ascii="Times New Roman" w:cs="Times New Roman" w:eastAsia="Times New Roman" w:hAnsi="Times New Roman"/>
          <w:sz w:val="15"/>
          <w:szCs w:val="15"/>
          <w:u w:val="single" w:color="auto"/>
          <w:color w:val="auto"/>
        </w:rPr>
        <w:t>Released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Claims</w:t>
      </w:r>
      <w:r>
        <w:rPr>
          <w:rFonts w:ascii="Times New Roman" w:cs="Times New Roman" w:eastAsia="Times New Roman" w:hAnsi="Times New Roman"/>
          <w:sz w:val="15"/>
          <w:szCs w:val="15"/>
          <w:color w:val="auto"/>
        </w:rPr>
        <w:t xml:space="preserve">”); (ii) irrevocably waives any Released Claims that it may have against the Trust Account now or in the future as a result of, or arising out of, any negotiations, contracts or agreements with the Company; and (iii) will not seek recourse against the Trust Account for any reason whatsoever;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xml:space="preserve">, that nothing in this </w:t>
      </w:r>
      <w:r>
        <w:rPr>
          <w:rFonts w:ascii="Times New Roman" w:cs="Times New Roman" w:eastAsia="Times New Roman" w:hAnsi="Times New Roman"/>
          <w:sz w:val="15"/>
          <w:szCs w:val="15"/>
          <w:u w:val="single" w:color="auto"/>
          <w:color w:val="auto"/>
        </w:rPr>
        <w:t>Section 7</w:t>
      </w:r>
      <w:r>
        <w:rPr>
          <w:rFonts w:ascii="Times New Roman" w:cs="Times New Roman" w:eastAsia="Times New Roman" w:hAnsi="Times New Roman"/>
          <w:sz w:val="15"/>
          <w:szCs w:val="15"/>
          <w:color w:val="auto"/>
        </w:rPr>
        <w:t xml:space="preserve"> shall be deemed to limit (x) any Subscriber’s right to distributions from the Trust Account in accordance with the Company’s amended and restated certificate of incorporation in respect of any redemptions by Subscriber of its shares of public Common Stock of the Company acquired by any means other than pursuant to this Subscription Agreement or</w:t>
      </w:r>
    </w:p>
    <w:p>
      <w:pPr>
        <w:spacing w:after="0" w:line="1" w:lineRule="exact"/>
        <w:rPr>
          <w:rFonts w:ascii="Times New Roman" w:cs="Times New Roman" w:eastAsia="Times New Roman" w:hAnsi="Times New Roman"/>
          <w:sz w:val="15"/>
          <w:szCs w:val="15"/>
          <w:color w:val="auto"/>
        </w:rPr>
      </w:pPr>
    </w:p>
    <w:p>
      <w:pPr>
        <w:jc w:val="both"/>
        <w:ind w:left="4" w:right="20" w:hanging="4"/>
        <w:spacing w:after="0" w:line="254" w:lineRule="auto"/>
        <w:tabs>
          <w:tab w:leader="none" w:pos="241"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Subscriber’s recourse against assets held outside of the Trust Account or held by the post-Closing combined entity. Each Subscriber acknowledges and agrees that it shall not have any redemption rights with respect to the Subscribed Securities pursuant to the Company’s organizational documents in connection with the Transaction or any other business combination, any subsequent liquidation of the Trust Account, the Company or otherwise, except as set forth in the Indenture.</w:t>
      </w:r>
    </w:p>
    <w:p>
      <w:pPr>
        <w:spacing w:after="0" w:line="35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129" w:name="page130"/>
    <w:bookmarkEnd w:id="129"/>
    <w:p>
      <w:pPr>
        <w:ind w:left="164" w:hanging="164"/>
        <w:spacing w:after="0"/>
        <w:tabs>
          <w:tab w:leader="none" w:pos="164"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Miscellaneous</w:t>
      </w:r>
      <w:r>
        <w:rPr>
          <w:rFonts w:ascii="Times New Roman" w:cs="Times New Roman" w:eastAsia="Times New Roman" w:hAnsi="Times New Roman"/>
          <w:sz w:val="16"/>
          <w:szCs w:val="16"/>
          <w:color w:val="auto"/>
        </w:rPr>
        <w:t>.</w:t>
      </w:r>
    </w:p>
    <w:p>
      <w:pPr>
        <w:spacing w:after="0" w:line="198" w:lineRule="exact"/>
        <w:rPr>
          <w:rFonts w:ascii="Times New Roman" w:cs="Times New Roman" w:eastAsia="Times New Roman" w:hAnsi="Times New Roman"/>
          <w:sz w:val="16"/>
          <w:szCs w:val="16"/>
          <w:color w:val="auto"/>
        </w:rPr>
      </w:pPr>
    </w:p>
    <w:p>
      <w:pPr>
        <w:jc w:val="both"/>
        <w:ind w:left="4" w:right="20" w:firstLine="760"/>
        <w:spacing w:after="0" w:line="255" w:lineRule="auto"/>
        <w:tabs>
          <w:tab w:leader="none" w:pos="934" w:val="left"/>
        </w:tabs>
        <w:numPr>
          <w:ilvl w:val="1"/>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All notices, requests, demands, claims, and other communications hereunder shall be in writing. Any notice, request, demand, claim, or other communication hereunder shall be deemed duly given (i) when delivered personally to the recipient; (ii) when sent by electronic mail, on the date of transmission to such recipient;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such notice, request, demand, claim or other communication is also sent to the recipient pursuant to clauses (i), (iii) or (iv) of this </w:t>
      </w:r>
      <w:r>
        <w:rPr>
          <w:rFonts w:ascii="Times New Roman" w:cs="Times New Roman" w:eastAsia="Times New Roman" w:hAnsi="Times New Roman"/>
          <w:sz w:val="16"/>
          <w:szCs w:val="16"/>
          <w:u w:val="single" w:color="auto"/>
          <w:color w:val="auto"/>
        </w:rPr>
        <w:t>Section 8(a)</w:t>
      </w:r>
      <w:r>
        <w:rPr>
          <w:rFonts w:ascii="Times New Roman" w:cs="Times New Roman" w:eastAsia="Times New Roman" w:hAnsi="Times New Roman"/>
          <w:sz w:val="16"/>
          <w:szCs w:val="16"/>
          <w:color w:val="auto"/>
        </w:rPr>
        <w:t xml:space="preserve">; (iii) one Business Day after being sent to the recipient by reputable overnight courier service (charges prepaid), or (iv) four (4) Business Days after being mailed to the recipient by certified or registered mail, return receipt requested and postage prepaid, and, in each case, addressed to the intended recipient at its address specified on the signature page hereof or to such electronic mail address or address as subsequently modified by written notice given in accordance with this </w:t>
      </w:r>
      <w:r>
        <w:rPr>
          <w:rFonts w:ascii="Times New Roman" w:cs="Times New Roman" w:eastAsia="Times New Roman" w:hAnsi="Times New Roman"/>
          <w:sz w:val="16"/>
          <w:szCs w:val="16"/>
          <w:u w:val="single" w:color="auto"/>
          <w:color w:val="auto"/>
        </w:rPr>
        <w:t>Section 8(a)</w:t>
      </w:r>
      <w:r>
        <w:rPr>
          <w:rFonts w:ascii="Times New Roman" w:cs="Times New Roman" w:eastAsia="Times New Roman" w:hAnsi="Times New Roman"/>
          <w:sz w:val="16"/>
          <w:szCs w:val="16"/>
          <w:color w:val="auto"/>
        </w:rPr>
        <w:t>.</w:t>
      </w:r>
    </w:p>
    <w:p>
      <w:pPr>
        <w:spacing w:after="0" w:line="165" w:lineRule="exact"/>
        <w:rPr>
          <w:rFonts w:ascii="Times New Roman" w:cs="Times New Roman" w:eastAsia="Times New Roman" w:hAnsi="Times New Roman"/>
          <w:sz w:val="16"/>
          <w:szCs w:val="16"/>
          <w:color w:val="auto"/>
        </w:rPr>
      </w:pPr>
    </w:p>
    <w:p>
      <w:pPr>
        <w:jc w:val="both"/>
        <w:ind w:left="4" w:right="20" w:firstLine="760"/>
        <w:spacing w:after="0" w:line="255" w:lineRule="auto"/>
        <w:tabs>
          <w:tab w:leader="none" w:pos="934" w:val="left"/>
        </w:tabs>
        <w:numPr>
          <w:ilvl w:val="1"/>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Subscriber acknowledges that the Company and others will rely on the acknowledgments, understandings, agreements, representations and warranties contained in this Subscription Agreement. Prior to the Closing, Subscriber agrees to promptly notify the Company if it becomes aware that any of the acknowledgments, understandings, agreements, representations and warranties of Subscriber set forth herein are no longer accurate in all material respects. The Company acknowledges that Subscriber and others will rely on the acknowledgments, understandings, agreements, representations and warranties contained in this Subscription Agreement. Prior to the Closing, the Company agrees to promptly notify Subscriber if it becomes aware that any of the acknowledgments, understandings, agreements, representations and warranties of the Company set forth herein are no longer accurate in all material respects.</w:t>
      </w:r>
    </w:p>
    <w:p>
      <w:pPr>
        <w:spacing w:after="0" w:line="165" w:lineRule="exact"/>
        <w:rPr>
          <w:rFonts w:ascii="Times New Roman" w:cs="Times New Roman" w:eastAsia="Times New Roman" w:hAnsi="Times New Roman"/>
          <w:sz w:val="16"/>
          <w:szCs w:val="16"/>
          <w:color w:val="auto"/>
        </w:rPr>
      </w:pPr>
    </w:p>
    <w:p>
      <w:pPr>
        <w:ind w:left="4" w:right="20" w:firstLine="760"/>
        <w:spacing w:after="0" w:line="280" w:lineRule="auto"/>
        <w:tabs>
          <w:tab w:leader="none" w:pos="952" w:val="left"/>
        </w:tabs>
        <w:numPr>
          <w:ilvl w:val="1"/>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Company and Subscriber is irrevocably authorized to produce this Subscription Agreement or a copy hereof to any interested party in any administrative or legal proceeding or official inquiry with respect to the matters covered hereby.</w:t>
      </w:r>
    </w:p>
    <w:p>
      <w:pPr>
        <w:spacing w:after="0" w:line="144" w:lineRule="exact"/>
        <w:rPr>
          <w:rFonts w:ascii="Times New Roman" w:cs="Times New Roman" w:eastAsia="Times New Roman" w:hAnsi="Times New Roman"/>
          <w:sz w:val="16"/>
          <w:szCs w:val="16"/>
          <w:color w:val="auto"/>
        </w:rPr>
      </w:pPr>
    </w:p>
    <w:p>
      <w:pPr>
        <w:jc w:val="both"/>
        <w:ind w:left="4" w:firstLine="760"/>
        <w:spacing w:after="0" w:line="252" w:lineRule="auto"/>
        <w:tabs>
          <w:tab w:leader="none" w:pos="958" w:val="left"/>
        </w:tabs>
        <w:numPr>
          <w:ilvl w:val="1"/>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be solely responsible for and shall bear all of costs and expenses incurred by or on behalf of the Company in connection with this Subscription Agreement. If the transaction is consummated, the Company shall reimburse Subscriber on the Closing Date for all reasonable and documented out-of-pocket legal, accounting and diligence fees and expenses of Subscriber incurred in connection with this Subscription Agreement, the Indenture and the other documents relating thereto, including the reasonable and documented fees and expenses of Milbank LLP, as counsel to Subscriber, such fees and expenses not to exceed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in the aggregate, to the extent invoiced at least one (1) Business Day prior to the Closing Date. In the event the Transaction is not consummated, unless Subscriber has materially breached its obligations hereunder, Presto shall reimburse Subscriber within 10 Business Days from the Subscriber’s request for reimbursement for all reasonable and documented out-of-pocket legal, accounting and diligence fees and expenses of Subscriber incurred in connection with this Subscription Agreement, the Indenture and the other documents relating thereto, including the reasonable and documented fees and expenses of Milbank LLP, as counsel to Subscriber, such fees and expenses not to exceed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in the aggregate. This </w:t>
      </w:r>
      <w:r>
        <w:rPr>
          <w:rFonts w:ascii="Times New Roman" w:cs="Times New Roman" w:eastAsia="Times New Roman" w:hAnsi="Times New Roman"/>
          <w:sz w:val="16"/>
          <w:szCs w:val="16"/>
          <w:u w:val="single" w:color="auto"/>
          <w:color w:val="auto"/>
        </w:rPr>
        <w:t>Section 8(d)</w:t>
      </w:r>
      <w:r>
        <w:rPr>
          <w:rFonts w:ascii="Times New Roman" w:cs="Times New Roman" w:eastAsia="Times New Roman" w:hAnsi="Times New Roman"/>
          <w:sz w:val="16"/>
          <w:szCs w:val="16"/>
          <w:color w:val="auto"/>
        </w:rPr>
        <w:t xml:space="preserve"> shall survive the termination of this Subscription Agreement. Neither this Subscription Agreement nor any rights that may accrue to Subscriber hereunder (other than the Subscribed Securities acquired hereunder, if any) may be transferred or assigned.</w:t>
      </w:r>
    </w:p>
    <w:p>
      <w:pPr>
        <w:spacing w:after="0" w:line="171" w:lineRule="exact"/>
        <w:rPr>
          <w:rFonts w:ascii="Times New Roman" w:cs="Times New Roman" w:eastAsia="Times New Roman" w:hAnsi="Times New Roman"/>
          <w:sz w:val="16"/>
          <w:szCs w:val="16"/>
          <w:color w:val="auto"/>
        </w:rPr>
      </w:pPr>
    </w:p>
    <w:p>
      <w:pPr>
        <w:jc w:val="both"/>
        <w:ind w:left="4" w:right="20" w:firstLine="760"/>
        <w:spacing w:after="0" w:line="255" w:lineRule="auto"/>
        <w:tabs>
          <w:tab w:leader="none" w:pos="920" w:val="left"/>
        </w:tabs>
        <w:numPr>
          <w:ilvl w:val="1"/>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this Subscription Agreement nor any rights that may accrue to the Company hereunder may be transferred or assigned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for the avoidance of doubt, the Company may transfer the Subscription Agreement and its rights hereunder solely in connection with the consummation of the Transaction and exclusively to another entity under the control of, or under common control with, the Company). Notwithstanding the foregoing, Subscriber may assign its rights and obligations under this Subscription Agreement to one or more of its affiliates (including other investment funds or accounts managed or advised by the investment manager who acts on behalf of Subscriber) or, with the Company’s prior written consent, to another person,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no such assignment shall relieve Subscriber of its obligations hereunder if any such assignee fails to perform such obligations, unless the Company has given its prior written consent to such relief.</w:t>
      </w:r>
    </w:p>
    <w:p>
      <w:pPr>
        <w:spacing w:after="0" w:line="165" w:lineRule="exact"/>
        <w:rPr>
          <w:rFonts w:ascii="Times New Roman" w:cs="Times New Roman" w:eastAsia="Times New Roman" w:hAnsi="Times New Roman"/>
          <w:sz w:val="16"/>
          <w:szCs w:val="16"/>
          <w:color w:val="auto"/>
        </w:rPr>
      </w:pPr>
    </w:p>
    <w:p>
      <w:pPr>
        <w:ind w:left="904" w:hanging="140"/>
        <w:spacing w:after="0"/>
        <w:tabs>
          <w:tab w:leader="none" w:pos="904" w:val="left"/>
        </w:tabs>
        <w:numPr>
          <w:ilvl w:val="1"/>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the agreements, representations and warranties made by each party hereto in this Subscription Agreement shall survive the Closing.</w:t>
      </w:r>
    </w:p>
    <w:p>
      <w:pPr>
        <w:spacing w:after="0" w:line="3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130" w:name="page131"/>
    <w:bookmarkEnd w:id="130"/>
    <w:p>
      <w:pPr>
        <w:jc w:val="both"/>
        <w:ind w:left="4" w:right="20" w:firstLine="765"/>
        <w:spacing w:after="0" w:line="265" w:lineRule="auto"/>
        <w:rPr>
          <w:sz w:val="20"/>
          <w:szCs w:val="20"/>
          <w:color w:val="auto"/>
        </w:rPr>
      </w:pPr>
      <w:r>
        <w:rPr>
          <w:rFonts w:ascii="Times New Roman" w:cs="Times New Roman" w:eastAsia="Times New Roman" w:hAnsi="Times New Roman"/>
          <w:sz w:val="16"/>
          <w:szCs w:val="16"/>
          <w:color w:val="auto"/>
        </w:rPr>
        <w:t>g. The Company may request from Subscriber such additional information as the Company may deem necessary to evaluate the eligibility of Subscriber to acquire the Subscribed Securities, and Subscriber shall provide such information as may be reasonably requested, to the extent readily available and to the extent consistent with its internal policies and procedures.</w:t>
      </w:r>
    </w:p>
    <w:p>
      <w:pPr>
        <w:spacing w:after="0" w:line="155" w:lineRule="exact"/>
        <w:rPr>
          <w:sz w:val="20"/>
          <w:szCs w:val="20"/>
          <w:color w:val="auto"/>
        </w:rPr>
      </w:pPr>
    </w:p>
    <w:p>
      <w:pPr>
        <w:jc w:val="both"/>
        <w:ind w:left="4" w:firstLine="765"/>
        <w:spacing w:after="0" w:line="268" w:lineRule="auto"/>
        <w:rPr>
          <w:sz w:val="20"/>
          <w:szCs w:val="20"/>
          <w:color w:val="auto"/>
        </w:rPr>
      </w:pPr>
      <w:r>
        <w:rPr>
          <w:rFonts w:ascii="Times New Roman" w:cs="Times New Roman" w:eastAsia="Times New Roman" w:hAnsi="Times New Roman"/>
          <w:sz w:val="15"/>
          <w:szCs w:val="15"/>
          <w:color w:val="auto"/>
        </w:rPr>
        <w:t xml:space="preserve">h. This Subscription Agreement may not be amended, modified, waived or terminated except by an instrument in writing, signed by the party against whom enforcement of such modification, waiver, or termination is sought;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this Subscription Agreement may be amended, modified, waived or terminated with the written consent of the Company and Subscribers then holding a majority of the Aggregate Subscribed Securities then committed to be purchased at the Closing by (or, if after the Closing, then held by) all Subscribers (the “</w:t>
      </w:r>
      <w:r>
        <w:rPr>
          <w:rFonts w:ascii="Times New Roman" w:cs="Times New Roman" w:eastAsia="Times New Roman" w:hAnsi="Times New Roman"/>
          <w:sz w:val="15"/>
          <w:szCs w:val="15"/>
          <w:u w:val="single" w:color="auto"/>
          <w:color w:val="auto"/>
        </w:rPr>
        <w:t>Required Subscribers</w:t>
      </w:r>
      <w:r>
        <w:rPr>
          <w:rFonts w:ascii="Times New Roman" w:cs="Times New Roman" w:eastAsia="Times New Roman" w:hAnsi="Times New Roman"/>
          <w:sz w:val="15"/>
          <w:szCs w:val="15"/>
          <w:color w:val="auto"/>
        </w:rPr>
        <w:t xml:space="preserve">”). Upon the effectuation of such waiver, modification, amendment or termination with the consent of the Required Subscribers in conformance with this </w:t>
      </w:r>
      <w:r>
        <w:rPr>
          <w:rFonts w:ascii="Times New Roman" w:cs="Times New Roman" w:eastAsia="Times New Roman" w:hAnsi="Times New Roman"/>
          <w:sz w:val="15"/>
          <w:szCs w:val="15"/>
          <w:u w:val="single" w:color="auto"/>
          <w:color w:val="auto"/>
        </w:rPr>
        <w:t>Section 8(h)</w:t>
      </w:r>
      <w:r>
        <w:rPr>
          <w:rFonts w:ascii="Times New Roman" w:cs="Times New Roman" w:eastAsia="Times New Roman" w:hAnsi="Times New Roman"/>
          <w:sz w:val="15"/>
          <w:szCs w:val="15"/>
          <w:color w:val="auto"/>
        </w:rPr>
        <w:t xml:space="preserve">, such amendment, modification, waiver or termination shall be binding on all Subscribers and effective as to all of the Subscription Agreements. The Company shall promptly give written notice thereof to Subscriber if Subscriber has not previously consented to such amendment, modification, waiver or termination in writing;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the failure to give such notice shall not affect the validity of such amendment, modification, waiver or termination. Notwithstanding anything to the contrary herein, (i) no amendment, modification or waiver shall be effective against any Subscriber unless such amendment, modification or waiver applies to all Subscribers equally; (ii) any amendment, modification or waiver that has a disproportionate effect on a Subscriber (considered apart from any disproportionate effect owing to the number of Subscribed Securities held by such Subscriber), shall require the consent of such Subscriber; (iii) any amendment to </w:t>
      </w:r>
      <w:r>
        <w:rPr>
          <w:rFonts w:ascii="Times New Roman" w:cs="Times New Roman" w:eastAsia="Times New Roman" w:hAnsi="Times New Roman"/>
          <w:sz w:val="15"/>
          <w:szCs w:val="15"/>
          <w:u w:val="single" w:color="auto"/>
          <w:color w:val="auto"/>
        </w:rPr>
        <w:t>Section 2(e)</w:t>
      </w:r>
    </w:p>
    <w:p>
      <w:pPr>
        <w:spacing w:after="0" w:line="3" w:lineRule="exact"/>
        <w:rPr>
          <w:sz w:val="20"/>
          <w:szCs w:val="20"/>
          <w:color w:val="auto"/>
        </w:rPr>
      </w:pPr>
    </w:p>
    <w:p>
      <w:pPr>
        <w:ind w:left="4" w:right="20" w:hanging="4"/>
        <w:spacing w:after="0" w:line="258" w:lineRule="auto"/>
        <w:tabs>
          <w:tab w:leader="none" w:pos="318" w:val="left"/>
        </w:tabs>
        <w:numPr>
          <w:ilvl w:val="0"/>
          <w:numId w:val="159"/>
        </w:numPr>
        <w:rPr>
          <w:rFonts w:ascii="Times New Roman" w:cs="Times New Roman" w:eastAsia="Times New Roman" w:hAnsi="Times New Roman"/>
          <w:sz w:val="16"/>
          <w:szCs w:val="16"/>
          <w:u w:val="single" w:color="auto"/>
          <w:color w:val="auto"/>
        </w:rPr>
      </w:pPr>
      <w:r>
        <w:rPr>
          <w:rFonts w:ascii="Times New Roman" w:cs="Times New Roman" w:eastAsia="Times New Roman" w:hAnsi="Times New Roman"/>
          <w:sz w:val="16"/>
          <w:szCs w:val="16"/>
          <w:color w:val="auto"/>
        </w:rPr>
        <w:t xml:space="preserve">and </w:t>
      </w:r>
      <w:r>
        <w:rPr>
          <w:rFonts w:ascii="Times New Roman" w:cs="Times New Roman" w:eastAsia="Times New Roman" w:hAnsi="Times New Roman"/>
          <w:sz w:val="16"/>
          <w:szCs w:val="16"/>
          <w:u w:val="single" w:color="auto"/>
          <w:color w:val="auto"/>
        </w:rPr>
        <w:t>(viii)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3(g)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5</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6</w:t>
      </w:r>
      <w:r>
        <w:rPr>
          <w:rFonts w:ascii="Times New Roman" w:cs="Times New Roman" w:eastAsia="Times New Roman" w:hAnsi="Times New Roman"/>
          <w:sz w:val="16"/>
          <w:szCs w:val="16"/>
          <w:color w:val="auto"/>
        </w:rPr>
        <w:t xml:space="preserve"> (to amend the definition of Termination Date) or this </w:t>
      </w:r>
      <w:r>
        <w:rPr>
          <w:rFonts w:ascii="Times New Roman" w:cs="Times New Roman" w:eastAsia="Times New Roman" w:hAnsi="Times New Roman"/>
          <w:sz w:val="16"/>
          <w:szCs w:val="16"/>
          <w:u w:val="single" w:color="auto"/>
          <w:color w:val="auto"/>
        </w:rPr>
        <w:t>Section 8(h)</w:t>
      </w:r>
      <w:r>
        <w:rPr>
          <w:rFonts w:ascii="Times New Roman" w:cs="Times New Roman" w:eastAsia="Times New Roman" w:hAnsi="Times New Roman"/>
          <w:sz w:val="16"/>
          <w:szCs w:val="16"/>
          <w:color w:val="auto"/>
        </w:rPr>
        <w:t xml:space="preserve"> of this Subscription Agreement; and (iv) any amendment, modification or other change that alters the Purchase Price, or the number of Subscribed Securities shall require the consent of the undersigned Subscriber.</w:t>
      </w:r>
    </w:p>
    <w:p>
      <w:pPr>
        <w:spacing w:after="0" w:line="161" w:lineRule="exact"/>
        <w:rPr>
          <w:rFonts w:ascii="Times New Roman" w:cs="Times New Roman" w:eastAsia="Times New Roman" w:hAnsi="Times New Roman"/>
          <w:sz w:val="16"/>
          <w:szCs w:val="16"/>
          <w:u w:val="single" w:color="auto"/>
          <w:color w:val="auto"/>
        </w:rPr>
      </w:pPr>
    </w:p>
    <w:p>
      <w:pPr>
        <w:ind w:left="4" w:right="20" w:firstLine="760"/>
        <w:spacing w:after="0" w:line="280" w:lineRule="auto"/>
        <w:tabs>
          <w:tab w:leader="none" w:pos="909" w:val="left"/>
        </w:tabs>
        <w:numPr>
          <w:ilvl w:val="1"/>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Subscription Agreement constitutes the entire agreement, and supersedes all other prior agreements, understandings, representations and warranties, both written and oral, among the parties, with respect to the subject matter hereof.</w:t>
      </w:r>
    </w:p>
    <w:p>
      <w:pPr>
        <w:spacing w:after="0" w:line="144" w:lineRule="exact"/>
        <w:rPr>
          <w:rFonts w:ascii="Times New Roman" w:cs="Times New Roman" w:eastAsia="Times New Roman" w:hAnsi="Times New Roman"/>
          <w:sz w:val="16"/>
          <w:szCs w:val="16"/>
          <w:color w:val="auto"/>
        </w:rPr>
      </w:pPr>
    </w:p>
    <w:p>
      <w:pPr>
        <w:jc w:val="both"/>
        <w:ind w:left="4" w:right="20" w:firstLine="760"/>
        <w:spacing w:after="0" w:line="265" w:lineRule="auto"/>
        <w:tabs>
          <w:tab w:leader="none" w:pos="900" w:val="left"/>
        </w:tabs>
        <w:numPr>
          <w:ilvl w:val="1"/>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provided herein,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155" w:lineRule="exact"/>
        <w:rPr>
          <w:rFonts w:ascii="Times New Roman" w:cs="Times New Roman" w:eastAsia="Times New Roman" w:hAnsi="Times New Roman"/>
          <w:sz w:val="16"/>
          <w:szCs w:val="16"/>
          <w:color w:val="auto"/>
        </w:rPr>
      </w:pPr>
    </w:p>
    <w:p>
      <w:pPr>
        <w:ind w:left="4" w:firstLine="760"/>
        <w:spacing w:after="0" w:line="280" w:lineRule="auto"/>
        <w:tabs>
          <w:tab w:leader="none" w:pos="940" w:val="left"/>
        </w:tabs>
        <w:numPr>
          <w:ilvl w:val="1"/>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any provision of this Subscription Agreement shall be invalid, illegal or unenforceable, the validity, legality or enforceability of the remaining provisions of this Subscription Agreement shall not in any way be affected or impaired thereby and shall continue in full force and effect.</w:t>
      </w:r>
    </w:p>
    <w:p>
      <w:pPr>
        <w:spacing w:after="0" w:line="144" w:lineRule="exact"/>
        <w:rPr>
          <w:rFonts w:ascii="Times New Roman" w:cs="Times New Roman" w:eastAsia="Times New Roman" w:hAnsi="Times New Roman"/>
          <w:sz w:val="16"/>
          <w:szCs w:val="16"/>
          <w:color w:val="auto"/>
        </w:rPr>
      </w:pPr>
    </w:p>
    <w:p>
      <w:pPr>
        <w:jc w:val="both"/>
        <w:ind w:left="4" w:right="20" w:firstLine="760"/>
        <w:spacing w:after="0" w:line="265" w:lineRule="auto"/>
        <w:tabs>
          <w:tab w:leader="none" w:pos="904" w:val="left"/>
        </w:tabs>
        <w:numPr>
          <w:ilvl w:val="1"/>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Subscription Agreement may be executed and delivered in one or more counterparts (including by facsimile or electronic mail or in .pdf) and by different parties in separate counterparts, with the same effect as if all parties hereto had signed the same document. All counterparts so executed and delivered shall be construed together and shall constitute one and the same agreement.</w:t>
      </w:r>
    </w:p>
    <w:p>
      <w:pPr>
        <w:spacing w:after="0" w:line="155" w:lineRule="exact"/>
        <w:rPr>
          <w:rFonts w:ascii="Times New Roman" w:cs="Times New Roman" w:eastAsia="Times New Roman" w:hAnsi="Times New Roman"/>
          <w:sz w:val="16"/>
          <w:szCs w:val="16"/>
          <w:color w:val="auto"/>
        </w:rPr>
      </w:pPr>
    </w:p>
    <w:p>
      <w:pPr>
        <w:jc w:val="both"/>
        <w:ind w:left="4" w:firstLine="760"/>
        <w:spacing w:after="0" w:line="265" w:lineRule="auto"/>
        <w:tabs>
          <w:tab w:leader="none" w:pos="1022" w:val="left"/>
        </w:tabs>
        <w:numPr>
          <w:ilvl w:val="1"/>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This Subscription Agreement is intended for the benefit of the parties hereto and their respective successors and permitted assigns and is not for the benefit of, nor may any provision hereof be enforced by, any other person;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the Placement Agent shall be an intended third-party beneficiary of the representations and warranties of the Company in </w:t>
      </w:r>
      <w:r>
        <w:rPr>
          <w:rFonts w:ascii="Times New Roman" w:cs="Times New Roman" w:eastAsia="Times New Roman" w:hAnsi="Times New Roman"/>
          <w:sz w:val="16"/>
          <w:szCs w:val="16"/>
          <w:u w:val="single" w:color="auto"/>
          <w:color w:val="auto"/>
        </w:rPr>
        <w:t>Section 3</w:t>
      </w:r>
      <w:r>
        <w:rPr>
          <w:rFonts w:ascii="Times New Roman" w:cs="Times New Roman" w:eastAsia="Times New Roman" w:hAnsi="Times New Roman"/>
          <w:sz w:val="16"/>
          <w:szCs w:val="16"/>
          <w:color w:val="auto"/>
        </w:rPr>
        <w:t xml:space="preserve"> hereof and of Subscriber in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xml:space="preserve"> hereof.</w:t>
      </w:r>
    </w:p>
    <w:p>
      <w:pPr>
        <w:spacing w:after="0" w:line="155" w:lineRule="exact"/>
        <w:rPr>
          <w:rFonts w:ascii="Times New Roman" w:cs="Times New Roman" w:eastAsia="Times New Roman" w:hAnsi="Times New Roman"/>
          <w:sz w:val="16"/>
          <w:szCs w:val="16"/>
          <w:color w:val="auto"/>
        </w:rPr>
      </w:pPr>
    </w:p>
    <w:p>
      <w:pPr>
        <w:jc w:val="both"/>
        <w:ind w:left="4" w:right="20" w:firstLine="760"/>
        <w:spacing w:after="0" w:line="259" w:lineRule="auto"/>
        <w:tabs>
          <w:tab w:leader="none" w:pos="948" w:val="left"/>
        </w:tabs>
        <w:numPr>
          <w:ilvl w:val="1"/>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parties hereto agree that irreparable damage would occur in the event that any of the provisions of this Subscription Agreement were not performed in accordance with their specific terms or were otherwise breached. It is accordingly agreed that the parties shall be entitled to seek an injunction or injunctions to prevent breaches of this Subscription Agreement and to enforce specifically the terms and provisions of this Subscription Agreement, this being in addition to any other remedy to which such party is entitled at law, in equity, in contract, in tort or otherwise.</w:t>
      </w:r>
    </w:p>
    <w:p>
      <w:pPr>
        <w:spacing w:after="0" w:line="35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131" w:name="page132"/>
    <w:bookmarkEnd w:id="131"/>
    <w:p>
      <w:pPr>
        <w:jc w:val="both"/>
        <w:ind w:right="20" w:firstLine="765"/>
        <w:spacing w:after="0" w:line="280" w:lineRule="auto"/>
        <w:rPr>
          <w:sz w:val="20"/>
          <w:szCs w:val="20"/>
          <w:color w:val="auto"/>
        </w:rPr>
      </w:pPr>
      <w:r>
        <w:rPr>
          <w:rFonts w:ascii="Times New Roman" w:cs="Times New Roman" w:eastAsia="Times New Roman" w:hAnsi="Times New Roman"/>
          <w:sz w:val="16"/>
          <w:szCs w:val="16"/>
          <w:color w:val="auto"/>
        </w:rPr>
        <w:t>o. This Subscription Agreement shall be governed by, and construed in accordance with, the laws of the State of Delaware, without regard to the principles of conflicts of laws that would otherwise require the application of the law of any other state.</w:t>
      </w:r>
    </w:p>
    <w:p>
      <w:pPr>
        <w:spacing w:after="0" w:line="142" w:lineRule="exact"/>
        <w:rPr>
          <w:sz w:val="20"/>
          <w:szCs w:val="20"/>
          <w:color w:val="auto"/>
        </w:rPr>
      </w:pPr>
    </w:p>
    <w:p>
      <w:pPr>
        <w:jc w:val="both"/>
        <w:ind w:firstLine="765"/>
        <w:spacing w:after="0" w:line="253" w:lineRule="auto"/>
        <w:rPr>
          <w:sz w:val="20"/>
          <w:szCs w:val="20"/>
          <w:color w:val="auto"/>
        </w:rPr>
      </w:pPr>
      <w:r>
        <w:rPr>
          <w:rFonts w:ascii="Times New Roman" w:cs="Times New Roman" w:eastAsia="Times New Roman" w:hAnsi="Times New Roman"/>
          <w:sz w:val="16"/>
          <w:szCs w:val="16"/>
          <w:color w:val="auto"/>
        </w:rPr>
        <w:t xml:space="preserve">p. </w:t>
      </w:r>
      <w:r>
        <w:rPr>
          <w:rFonts w:ascii="Times New Roman" w:cs="Times New Roman" w:eastAsia="Times New Roman" w:hAnsi="Times New Roman"/>
          <w:sz w:val="16"/>
          <w:szCs w:val="16"/>
          <w:b w:val="1"/>
          <w:bCs w:val="1"/>
          <w:color w:val="auto"/>
        </w:rPr>
        <w:t>EACH PARTY HEREBY WAIVES ITS RESPECTIVE RIGHTS TO A TRIAL BY JURY OF ANY CLAIM OR CAUSE OF ACTION BASED UPON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OR ARISING OUT OR RELATED TO THIS SUBSCRIPTION AGREEMENT OR THE TRANSACTIONS CONTEMPLATED HEREBY IN ANY ACTION, PROCEEDING OR OTHER LITIGATION OF ANY TYPE BROUGHT BY ANY PARTY AGAINST ANY OTHER PARTY OR ANY AFFILIATE OF ANY OTHER SUCH PARTY, WHETHER WITH RESPECT TO CONTRACT CLAIMS, TORT CLAIMS OR OTHERWISE. THE PARTIES AGREE THAT ANY SUCH CLAIM OR CAUSE OF ACTION SHALL BE TRIED BY A COURT TRIAL WITHOUT A JURY. WITHOUT LIMITING THE FOREGOING, THE PARTIES FURTHER AGREE THAT THEIR RESPECTIVE RIGHT TO A TRIAL BY JURY IS WAIVED BY OPERATION OF THIS SECTION AS TO ANY ACTION, COUNTERCLAIM OR OTHER PROCEEDING WHICH SEEKS, IN WHOLE OR IN PART, TO CHALLENGE THE VALIDITY OR ENFORCEABILITY OF THIS SUBSCRIPTION AGREEMENT OR ANY PROVISION HEREOF. THIS WAIVER SHALL APPLY TO ANY SUBSEQUENT AMENDMENTS, RENEWALS, SUPPLEMENTS OR MODIFICATIONS TO THIS SUBSCRIPTION AGREEMENT.</w:t>
      </w:r>
    </w:p>
    <w:p>
      <w:pPr>
        <w:spacing w:after="0" w:line="168" w:lineRule="exact"/>
        <w:rPr>
          <w:sz w:val="20"/>
          <w:szCs w:val="20"/>
          <w:color w:val="auto"/>
        </w:rPr>
      </w:pPr>
    </w:p>
    <w:p>
      <w:pPr>
        <w:jc w:val="both"/>
        <w:ind w:firstLine="765"/>
        <w:spacing w:after="0" w:line="270" w:lineRule="auto"/>
        <w:rPr>
          <w:sz w:val="20"/>
          <w:szCs w:val="20"/>
          <w:color w:val="auto"/>
        </w:rPr>
      </w:pPr>
      <w:r>
        <w:rPr>
          <w:rFonts w:ascii="Times New Roman" w:cs="Times New Roman" w:eastAsia="Times New Roman" w:hAnsi="Times New Roman"/>
          <w:sz w:val="15"/>
          <w:szCs w:val="15"/>
          <w:color w:val="auto"/>
        </w:rPr>
        <w:t>q. The parties agree that all disputes, legal actions, suits and proceedings arising out of or relating to this Subscription Agreement must be brought exclusively in the Court of Chancery of the State of Delaware and any state appellate court therefrom within the State of Delaware (or, if the Court of Chancery of the State of Delaware declines to accept jurisdiction over a particular matter, any federal court within the State of Delaware or, in the event each federal court within the State of Delaware declines to accept jurisdiction over a particular matter, any state court within the State of Delaware) (collectively the “</w:t>
      </w:r>
      <w:r>
        <w:rPr>
          <w:rFonts w:ascii="Times New Roman" w:cs="Times New Roman" w:eastAsia="Times New Roman" w:hAnsi="Times New Roman"/>
          <w:sz w:val="15"/>
          <w:szCs w:val="15"/>
          <w:u w:val="single" w:color="auto"/>
          <w:color w:val="auto"/>
        </w:rPr>
        <w:t>Designated Courts</w:t>
      </w:r>
      <w:r>
        <w:rPr>
          <w:rFonts w:ascii="Times New Roman" w:cs="Times New Roman" w:eastAsia="Times New Roman" w:hAnsi="Times New Roman"/>
          <w:sz w:val="15"/>
          <w:szCs w:val="15"/>
          <w:color w:val="auto"/>
        </w:rPr>
        <w:t xml:space="preserve">”). Each party hereby consents and submits to the exclusive jurisdiction of the Designated Courts. No legal action, suit or proceeding with respect to this subscription agreement may be brought in any other forum. Each party hereby irrevocably waives all claims of immunity from jurisdiction and any objection which such party may now or hereafter have to the laying of venue of any suit, action or proceeding in any Designated Court, including any right to object on the basis that any dispute, action, suit or proceeding brought in the Designated Courts has been brought in an improper or inconvenient forum or venue. Each of the parties also agrees that delivery of any process, summons, notice or document to a party hereof in compliance with </w:t>
      </w:r>
      <w:r>
        <w:rPr>
          <w:rFonts w:ascii="Times New Roman" w:cs="Times New Roman" w:eastAsia="Times New Roman" w:hAnsi="Times New Roman"/>
          <w:sz w:val="15"/>
          <w:szCs w:val="15"/>
          <w:u w:val="single" w:color="auto"/>
          <w:color w:val="auto"/>
        </w:rPr>
        <w:t>Section 8(a)</w:t>
      </w:r>
      <w:r>
        <w:rPr>
          <w:rFonts w:ascii="Times New Roman" w:cs="Times New Roman" w:eastAsia="Times New Roman" w:hAnsi="Times New Roman"/>
          <w:sz w:val="15"/>
          <w:szCs w:val="15"/>
          <w:color w:val="auto"/>
        </w:rPr>
        <w:t xml:space="preserve"> of this Subscription Agreement shall be effective service of process for any action, suit or proceeding in a Designated Court with respect to any matters to which the parties have submitted to jurisdiction as set forth above. For the avoidance of doubt, in accordance with </w:t>
      </w:r>
      <w:r>
        <w:rPr>
          <w:rFonts w:ascii="Times New Roman" w:cs="Times New Roman" w:eastAsia="Times New Roman" w:hAnsi="Times New Roman"/>
          <w:sz w:val="15"/>
          <w:szCs w:val="15"/>
          <w:u w:val="single" w:color="auto"/>
          <w:color w:val="auto"/>
        </w:rPr>
        <w:t>Section 6</w:t>
      </w:r>
      <w:r>
        <w:rPr>
          <w:rFonts w:ascii="Times New Roman" w:cs="Times New Roman" w:eastAsia="Times New Roman" w:hAnsi="Times New Roman"/>
          <w:sz w:val="15"/>
          <w:szCs w:val="15"/>
          <w:color w:val="auto"/>
        </w:rPr>
        <w:t>, all rights and obligations of the parties hereunder shall terminate without any further liability on the part of any party in respect thereof by September 30, 2022 (if this Subscription Agreement has not been terminated earlier, in which case all rights and obligations of the parties hereunder shall terminate without any further liability on the part of any party in respect thereof on such termination date).</w:t>
      </w:r>
    </w:p>
    <w:p>
      <w:pPr>
        <w:spacing w:after="0" w:line="157" w:lineRule="exact"/>
        <w:rPr>
          <w:sz w:val="20"/>
          <w:szCs w:val="20"/>
          <w:color w:val="auto"/>
        </w:rPr>
      </w:pPr>
    </w:p>
    <w:p>
      <w:pPr>
        <w:jc w:val="both"/>
        <w:ind w:right="20" w:firstLine="765"/>
        <w:spacing w:after="0" w:line="253" w:lineRule="auto"/>
        <w:rPr>
          <w:sz w:val="20"/>
          <w:szCs w:val="20"/>
          <w:color w:val="auto"/>
        </w:rPr>
      </w:pPr>
      <w:r>
        <w:rPr>
          <w:rFonts w:ascii="Times New Roman" w:cs="Times New Roman" w:eastAsia="Times New Roman" w:hAnsi="Times New Roman"/>
          <w:sz w:val="16"/>
          <w:szCs w:val="16"/>
          <w:color w:val="auto"/>
        </w:rPr>
        <w:t xml:space="preserve">r. This Subscription Agreement may only be enforced against, and any claim, action, suit or other legal proceeding based upon, arising out of, or related to this Subscription Agreement, or the negotiation, execution or performance of this Subscription Agreement, may only be brought against the entities that are expressly named as parties hereto and then only with respect to the specific obligations set forth herein with respect to such party. No past, present or future director, officer, employee, incorporator, manager, member, partner, stockholder, affiliate, agent, attorney or other representative of any party hereto or of any affiliate of any party hereto, or any of their successors or permitted assigns, shall have any liability for any obligations or liabilities of any party hereto under this Subscription Agreement or for any claim, action, suit or other legal proceeding based on, in respect of or by reason of the transactions contemplated hereby. For the avoidance of doubt, in accordance with </w:t>
      </w:r>
      <w:r>
        <w:rPr>
          <w:rFonts w:ascii="Times New Roman" w:cs="Times New Roman" w:eastAsia="Times New Roman" w:hAnsi="Times New Roman"/>
          <w:sz w:val="16"/>
          <w:szCs w:val="16"/>
          <w:u w:val="single" w:color="auto"/>
          <w:color w:val="auto"/>
        </w:rPr>
        <w:t>Section 6</w:t>
      </w:r>
      <w:r>
        <w:rPr>
          <w:rFonts w:ascii="Times New Roman" w:cs="Times New Roman" w:eastAsia="Times New Roman" w:hAnsi="Times New Roman"/>
          <w:sz w:val="16"/>
          <w:szCs w:val="16"/>
          <w:color w:val="auto"/>
        </w:rPr>
        <w:t>, all rights and obligations of the parties hereunder shall terminate without any further liability on the part of any party in respect thereof by September 30, 2022 (if this Subscription Agreement has not been terminated earlier, in which case all rights and obligations of the parties hereunder shall terminate without any further liability on the part of any party in respect thereof on such termination date).</w:t>
      </w:r>
    </w:p>
    <w:p>
      <w:pPr>
        <w:spacing w:after="0" w:line="170" w:lineRule="exact"/>
        <w:rPr>
          <w:sz w:val="20"/>
          <w:szCs w:val="20"/>
          <w:color w:val="auto"/>
        </w:rPr>
      </w:pPr>
    </w:p>
    <w:p>
      <w:pPr>
        <w:jc w:val="both"/>
        <w:ind w:firstLine="765"/>
        <w:spacing w:after="0"/>
        <w:rPr>
          <w:sz w:val="20"/>
          <w:szCs w:val="20"/>
          <w:color w:val="auto"/>
        </w:rPr>
      </w:pPr>
      <w:r>
        <w:rPr>
          <w:rFonts w:ascii="Times New Roman" w:cs="Times New Roman" w:eastAsia="Times New Roman" w:hAnsi="Times New Roman"/>
          <w:sz w:val="16"/>
          <w:szCs w:val="16"/>
          <w:color w:val="auto"/>
        </w:rPr>
        <w:t>s. The Company shall, by 9:00 a.m., New York City time, on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6"/>
          <w:szCs w:val="16"/>
          <w:color w:val="auto"/>
        </w:rPr>
        <w:t>) business day immediately following the Amendment Date, issue one or more press releases or file with the Commission a Current Report on Form 8-K (collectively, the “</w:t>
      </w:r>
      <w:r>
        <w:rPr>
          <w:rFonts w:ascii="Times New Roman" w:cs="Times New Roman" w:eastAsia="Times New Roman" w:hAnsi="Times New Roman"/>
          <w:sz w:val="16"/>
          <w:szCs w:val="16"/>
          <w:u w:val="single" w:color="auto"/>
          <w:color w:val="auto"/>
        </w:rPr>
        <w:t>Disclosure Document</w:t>
      </w:r>
      <w:r>
        <w:rPr>
          <w:rFonts w:ascii="Times New Roman" w:cs="Times New Roman" w:eastAsia="Times New Roman" w:hAnsi="Times New Roman"/>
          <w:sz w:val="16"/>
          <w:szCs w:val="16"/>
          <w:color w:val="auto"/>
        </w:rPr>
        <w:t>”) disclosing, to the extent not previously publicly disclosed, all material terms of the transactions contemplated hereby, the Transaction and any other material, nonpublic information that the Company has provided to Subscriber at any time prior to the filing of the Disclosure Document. From and after the issuance of the Disclosure Document, Subscriber shall not be in possession of any material, non-public information received from the Company or any of its officers, directors or employees or the Placement Agent. Notwithstanding the foregoing, the Company shall not publicly disclose the name of Subscriber or any affiliate or investment adviser of Subscriber, or include the name of Subscriber or any affiliate or investment adviser of Subscriber in any press release or in any filing with the Commission or any regulatory agency or trading market, without the prior written consent (including by e-mail) of Subscriber, except as required by the federal securities laws, rules or regulations and to the extent such disclosure is required by other laws, rules or regulations, at the request of the staff of the Commission or regulatory agency or under Nasdaq Stock Market regulations, in which case the Company shall provide Subscriber with prior written notice (including by e-mail) of such permitted disclosure, and shall reasonably consult with Subscriber regarding such disclosure.</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32" w:name="page133"/>
    <w:bookmarkEnd w:id="132"/>
    <w:p>
      <w:pPr>
        <w:jc w:val="both"/>
        <w:ind w:firstLine="765"/>
        <w:spacing w:after="0" w:line="251" w:lineRule="auto"/>
        <w:rPr>
          <w:sz w:val="20"/>
          <w:szCs w:val="20"/>
          <w:color w:val="auto"/>
        </w:rPr>
      </w:pPr>
      <w:r>
        <w:rPr>
          <w:rFonts w:ascii="Times New Roman" w:cs="Times New Roman" w:eastAsia="Times New Roman" w:hAnsi="Times New Roman"/>
          <w:sz w:val="16"/>
          <w:szCs w:val="16"/>
          <w:color w:val="auto"/>
        </w:rPr>
        <w:t>t. The obligations of Subscriber under this Subscription Agreement are several and not joint with the obligations of any Other Subscriber or any other investor under the Other Subscription Agreements, and Subscriber shall not be responsible in any way for the performance of the obligations of any Other Subscriber under this Subscription Agreement or any other investor under the Other Subscription Agreements. The decision of Subscriber to purchase Subscribed Securities pursuant to this Subscription Agreement has been made by Subscriber independently of any Other Subscriber or any other investor and independently of any information, materials, statements or opinions as to the business, affairs, operations, assets, properties, liabilities, results of operations, condition (financial or otherwise) or prospects of the Company or any of its subsidiaries which may have been made or given by any Other Subscriber or investor or by any agent or employee of any Other Subscriber or investor, and neither Subscriber nor any of its agents or employees shall have any liability to any Other Subscriber or investor (or any other person) relating to or arising from any such information, materials, statements or opinions. Nothing contained herein or in any Other Subscription Agreement, and no action taken by Subscriber or investor pursuant hereto or thereto, shall be deemed to constitute Subscriber and other investors as a partnership, an association, a joint venture or any other kind of entity, or create a presumption that Subscriber and other investors are in any way acting in concert or as a group with respect to such obligations or the transactions contemplated by this Subscription Agreement and the Other Subscription Agreements. Subscriber acknowledges that no Other Subscriber has acted as agent for Subscriber in connection with making its investment hereunder and no Other Subscriber will be acting as agent of Subscriber in connection with monitoring its investment in the Subscribed Securities or enforcing its rights under this Subscription Agreement. Subscriber shall be entitled to independently protect and enforce its rights, including without limitation the rights arising out of this Subscription Agreement, and it shall not be necessary for any Other Subscriber or investor to be joined as an additional party in any proceeding for such purpose.</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u. Following the Closing Date, Company shall hold regular quarterly conference calls to discuss the Company’s financial results during the previous quarter.</w:t>
      </w:r>
    </w:p>
    <w:p>
      <w:pPr>
        <w:spacing w:after="0" w:line="198" w:lineRule="exact"/>
        <w:rPr>
          <w:sz w:val="20"/>
          <w:szCs w:val="20"/>
          <w:color w:val="auto"/>
        </w:rPr>
      </w:pPr>
    </w:p>
    <w:p>
      <w:pPr>
        <w:jc w:val="both"/>
        <w:ind w:firstLine="765"/>
        <w:spacing w:after="0" w:line="268" w:lineRule="auto"/>
        <w:rPr>
          <w:sz w:val="20"/>
          <w:szCs w:val="20"/>
          <w:color w:val="auto"/>
        </w:rPr>
      </w:pPr>
      <w:r>
        <w:rPr>
          <w:rFonts w:ascii="Times New Roman" w:cs="Times New Roman" w:eastAsia="Times New Roman" w:hAnsi="Times New Roman"/>
          <w:sz w:val="15"/>
          <w:szCs w:val="15"/>
          <w:color w:val="auto"/>
        </w:rPr>
        <w:t>v. Following the Closing Date, for so long as Subscriber holds no less than 50.0% of the Subscribed Notes (or shares issued in conversion thereof) purchased on the Closing Date, Subscriber shall be entitled to designate one natural person from time to time to serve as an observer of the board of directors of the Company (the “</w:t>
      </w:r>
      <w:r>
        <w:rPr>
          <w:rFonts w:ascii="Times New Roman" w:cs="Times New Roman" w:eastAsia="Times New Roman" w:hAnsi="Times New Roman"/>
          <w:sz w:val="15"/>
          <w:szCs w:val="15"/>
          <w:u w:val="single" w:color="auto"/>
          <w:color w:val="auto"/>
        </w:rPr>
        <w:t>Board</w:t>
      </w:r>
      <w:r>
        <w:rPr>
          <w:rFonts w:ascii="Times New Roman" w:cs="Times New Roman" w:eastAsia="Times New Roman" w:hAnsi="Times New Roman"/>
          <w:sz w:val="15"/>
          <w:szCs w:val="15"/>
          <w:color w:val="auto"/>
        </w:rPr>
        <w:t>”) (a “</w:t>
      </w:r>
      <w:r>
        <w:rPr>
          <w:rFonts w:ascii="Times New Roman" w:cs="Times New Roman" w:eastAsia="Times New Roman" w:hAnsi="Times New Roman"/>
          <w:sz w:val="15"/>
          <w:szCs w:val="15"/>
          <w:u w:val="single" w:color="auto"/>
          <w:color w:val="auto"/>
        </w:rPr>
        <w:t>Board Observer</w:t>
      </w:r>
      <w:r>
        <w:rPr>
          <w:rFonts w:ascii="Times New Roman" w:cs="Times New Roman" w:eastAsia="Times New Roman" w:hAnsi="Times New Roman"/>
          <w:sz w:val="15"/>
          <w:szCs w:val="15"/>
          <w:color w:val="auto"/>
        </w:rPr>
        <w:t>”). Each of the Company and Subscriber shall take commercially reasonable efforts to negotiate in good faith a customary non-disclosure agreement between the Company and Subscriber in a customary form provided by the Company and to be agreed between the parties including a “cleansing protocol” (the “</w:t>
      </w:r>
      <w:r>
        <w:rPr>
          <w:rFonts w:ascii="Times New Roman" w:cs="Times New Roman" w:eastAsia="Times New Roman" w:hAnsi="Times New Roman"/>
          <w:sz w:val="15"/>
          <w:szCs w:val="15"/>
          <w:u w:val="single" w:color="auto"/>
          <w:color w:val="auto"/>
        </w:rPr>
        <w:t>Confidentiality</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Agreement</w:t>
      </w:r>
      <w:r>
        <w:rPr>
          <w:rFonts w:ascii="Times New Roman" w:cs="Times New Roman" w:eastAsia="Times New Roman" w:hAnsi="Times New Roman"/>
          <w:sz w:val="15"/>
          <w:szCs w:val="15"/>
          <w:color w:val="auto"/>
        </w:rPr>
        <w:t xml:space="preserve">”). Subject to entry into the Confidentiality Agreement, the Board Observer may attend and participate in any meeting of the Board or any committee thereof as a non-voting observer (for the avoidance of doubt, the Board Observer shall not be obligated to attend and participate in meetings of the Board or any committee thereof). The Board Observer shall not (i) be deemed to be a member of the Board, (ii) have the right to vote on any matter presented to the Board or committee thereof, (iii) be considered or required for purposes of establishing quorum, and (iv) have the right to propose or offer any motions or resolutions to the Board. The Board Observer shall, subject to execution of the Confidentiality Agreement, have the right to (i) receive the same materials distributed to the Board and any committee thereof, (ii) receive notice of all meetings of the Board and any committee thereof and (iii) otherwise fully participate in meetings and discussions of the Board and any committee thereof (whether in person or by telephone), except for the right to vote;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xml:space="preserve">, the Board Observer shall adhere and be subject to, and act consistently with, the policies of the Board. Notwithstanding the foregoing, Subscriber agrees that the Board Observer may be excluded from access to any material or meeting or portion thereof if the Board or committee of the Board determines in good faith that (A) such exclusion is reasonably necessary to preserve the attorney-client privilege between the Company or its subsidiaries and counsel, or any privilege under any common interest or joint defense doctrine, (B) such materials or discussion relates to items in which Subscriber or its Affiliates have a conflict of interest or otherwise relate to any potential transactions (including but not limited to transactions relating to the convertible notes or common stock issuable upon conversion) between or among the Company or its Affiliates and such persons, or (C) such exclusion is necessary to avoid disclosure that is restricted by any agreement to which the Company or its Affiliates is a party or otherwise bound and (iii) nothing herein shall prevent the Board or any committee of the Board from taking any action by written consent;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the Company shall provide notice to the Board Observer of (a) any meeting of the Board or any committee thereof from which the Board Observer was excluded and (b) any action taken by written consent of the Board or any committee of the Board within 24 hours after such meet has been held or such action has been taken. At any time and from time to time, Subscriber may revoke such Board Observer designation, for any period of time, by providing notice to the Company.</w:t>
      </w:r>
    </w:p>
    <w:p>
      <w:pPr>
        <w:spacing w:after="0" w:line="355" w:lineRule="exact"/>
        <w:rPr>
          <w:sz w:val="20"/>
          <w:szCs w:val="20"/>
          <w:color w:val="auto"/>
        </w:rPr>
      </w:pPr>
    </w:p>
    <w:p>
      <w:pPr>
        <w:jc w:val="both"/>
        <w:ind w:right="20" w:firstLine="765"/>
        <w:spacing w:after="0" w:line="265" w:lineRule="auto"/>
        <w:rPr>
          <w:sz w:val="20"/>
          <w:szCs w:val="20"/>
          <w:color w:val="auto"/>
        </w:rPr>
      </w:pPr>
      <w:r>
        <w:rPr>
          <w:rFonts w:ascii="Times New Roman" w:cs="Times New Roman" w:eastAsia="Times New Roman" w:hAnsi="Times New Roman"/>
          <w:sz w:val="16"/>
          <w:szCs w:val="16"/>
          <w:color w:val="auto"/>
        </w:rPr>
        <w:t>w. This Subscription Agreement amends and restates the Original Subscription Agreement in its entirety. All amendments to the Original Subscription Agreement effected by this Subscription Agreement, and all other covenants, agreements, terms and provisions of this Subscription Agreement, shall have effect as of the date hereof unless expressly stated otherwise.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pages follow.]</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33" w:name="page134"/>
    <w:bookmarkEnd w:id="133"/>
    <w:p>
      <w:pPr>
        <w:ind w:firstLine="382"/>
        <w:spacing w:after="0" w:line="283" w:lineRule="auto"/>
        <w:rPr>
          <w:sz w:val="20"/>
          <w:szCs w:val="20"/>
          <w:color w:val="auto"/>
        </w:rPr>
      </w:pPr>
      <w:r>
        <w:rPr>
          <w:rFonts w:ascii="Times New Roman" w:cs="Times New Roman" w:eastAsia="Times New Roman" w:hAnsi="Times New Roman"/>
          <w:sz w:val="16"/>
          <w:szCs w:val="16"/>
          <w:b w:val="1"/>
          <w:bCs w:val="1"/>
          <w:color w:val="auto"/>
        </w:rPr>
        <w:t>IN WITNESS WHEREOF</w:t>
      </w:r>
      <w:r>
        <w:rPr>
          <w:rFonts w:ascii="Times New Roman" w:cs="Times New Roman" w:eastAsia="Times New Roman" w:hAnsi="Times New Roman"/>
          <w:sz w:val="16"/>
          <w:szCs w:val="16"/>
          <w:color w:val="auto"/>
        </w:rPr>
        <w:t>, each of the Company, Subscriber and Presto has executed or caused this Subscription Agreement to be executed by its duly authorized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representative as of the date first set forth above.</w:t>
      </w:r>
    </w:p>
    <w:p>
      <w:pPr>
        <w:spacing w:after="0" w:line="14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VENTOUX CCM ACQUISITION CORP.</w:t>
      </w:r>
    </w:p>
    <w:p>
      <w:pPr>
        <w:spacing w:after="0" w:line="198"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6"/>
          <w:szCs w:val="16"/>
          <w:color w:val="auto"/>
        </w:rPr>
        <w:t>By:</w:t>
        <w:tab/>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15240</wp:posOffset>
            </wp:positionV>
            <wp:extent cx="2572385" cy="152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6" w:lineRule="exact"/>
        <w:rPr>
          <w:sz w:val="20"/>
          <w:szCs w:val="20"/>
          <w:color w:val="auto"/>
        </w:rPr>
      </w:pPr>
    </w:p>
    <w:p>
      <w:pPr>
        <w:ind w:left="7200"/>
        <w:spacing w:after="0"/>
        <w:tabs>
          <w:tab w:leader="none" w:pos="7740" w:val="left"/>
        </w:tabs>
        <w:rPr>
          <w:sz w:val="20"/>
          <w:szCs w:val="20"/>
          <w:color w:val="auto"/>
        </w:rPr>
      </w:pPr>
      <w:r>
        <w:rPr>
          <w:rFonts w:ascii="Times New Roman" w:cs="Times New Roman" w:eastAsia="Times New Roman" w:hAnsi="Times New Roman"/>
          <w:sz w:val="16"/>
          <w:szCs w:val="16"/>
          <w:color w:val="auto"/>
        </w:rPr>
        <w:t>Name:</w:t>
        <w:tab/>
        <w:t>Edward Scheetz</w:t>
      </w:r>
    </w:p>
    <w:p>
      <w:pPr>
        <w:spacing w:after="0" w:line="19" w:lineRule="exact"/>
        <w:rPr>
          <w:sz w:val="20"/>
          <w:szCs w:val="20"/>
          <w:color w:val="auto"/>
        </w:rPr>
      </w:pPr>
    </w:p>
    <w:p>
      <w:pPr>
        <w:ind w:left="7200"/>
        <w:spacing w:after="0"/>
        <w:tabs>
          <w:tab w:leader="none" w:pos="7740" w:val="left"/>
        </w:tabs>
        <w:rPr>
          <w:sz w:val="20"/>
          <w:szCs w:val="20"/>
          <w:color w:val="auto"/>
        </w:rPr>
      </w:pPr>
      <w:r>
        <w:rPr>
          <w:rFonts w:ascii="Times New Roman" w:cs="Times New Roman" w:eastAsia="Times New Roman" w:hAnsi="Times New Roman"/>
          <w:sz w:val="16"/>
          <w:szCs w:val="16"/>
          <w:color w:val="auto"/>
        </w:rPr>
        <w:t>Title:</w:t>
        <w:tab/>
        <w:t>Chairman and Chief Executive Officer</w:t>
      </w:r>
    </w:p>
    <w:p>
      <w:pPr>
        <w:spacing w:after="0" w:line="18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Address for Notices:</w:t>
      </w:r>
    </w:p>
    <w:p>
      <w:pPr>
        <w:spacing w:after="0" w:line="19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1 East Putnam Avenue, Floor 4</w:t>
      </w:r>
    </w:p>
    <w:p>
      <w:pPr>
        <w:spacing w:after="0" w:line="2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Greenwich, CT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Ventoux CCM Acquisition Corp Subscription Agreement]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08"/>
        </w:trPr>
        <w:tc>
          <w:tcPr>
            <w:tcW w:w="10540" w:type="dxa"/>
            <w:vAlign w:val="bottom"/>
            <w:gridSpan w:val="4"/>
          </w:tcPr>
          <w:p>
            <w:pPr>
              <w:ind w:left="6760"/>
              <w:spacing w:after="0"/>
              <w:rPr>
                <w:sz w:val="20"/>
                <w:szCs w:val="20"/>
                <w:color w:val="auto"/>
              </w:rPr>
            </w:pPr>
            <w:r>
              <w:rPr>
                <w:rFonts w:ascii="Times New Roman" w:cs="Times New Roman" w:eastAsia="Times New Roman" w:hAnsi="Times New Roman"/>
                <w:sz w:val="16"/>
                <w:szCs w:val="16"/>
                <w:color w:val="auto"/>
              </w:rPr>
              <w:t>SUBSCRIBER:</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82"/>
        </w:trPr>
        <w:tc>
          <w:tcPr>
            <w:tcW w:w="10540" w:type="dxa"/>
            <w:vAlign w:val="bottom"/>
            <w:gridSpan w:val="4"/>
          </w:tcPr>
          <w:p>
            <w:pPr>
              <w:ind w:left="6760"/>
              <w:spacing w:after="0"/>
              <w:rPr>
                <w:sz w:val="20"/>
                <w:szCs w:val="20"/>
                <w:color w:val="auto"/>
              </w:rPr>
            </w:pPr>
            <w:r>
              <w:rPr>
                <w:rFonts w:ascii="Times New Roman" w:cs="Times New Roman" w:eastAsia="Times New Roman" w:hAnsi="Times New Roman"/>
                <w:sz w:val="16"/>
                <w:szCs w:val="16"/>
                <w:b w:val="1"/>
                <w:bCs w:val="1"/>
                <w:color w:val="auto"/>
              </w:rPr>
              <w:t>Lake Vineyard Fund LP</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82"/>
        </w:trPr>
        <w:tc>
          <w:tcPr>
            <w:tcW w:w="10540" w:type="dxa"/>
            <w:vAlign w:val="bottom"/>
            <w:gridSpan w:val="4"/>
          </w:tcPr>
          <w:p>
            <w:pPr>
              <w:ind w:left="6760"/>
              <w:spacing w:after="0"/>
              <w:rPr>
                <w:sz w:val="20"/>
                <w:szCs w:val="20"/>
                <w:color w:val="auto"/>
              </w:rPr>
            </w:pPr>
            <w:r>
              <w:rPr>
                <w:rFonts w:ascii="Times New Roman" w:cs="Times New Roman" w:eastAsia="Times New Roman" w:hAnsi="Times New Roman"/>
                <w:sz w:val="16"/>
                <w:szCs w:val="16"/>
                <w:color w:val="auto"/>
              </w:rPr>
              <w:t>By: Silver Rock Capital Partners LP, its trading adviser</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86"/>
        </w:trPr>
        <w:tc>
          <w:tcPr>
            <w:tcW w:w="7320" w:type="dxa"/>
            <w:vAlign w:val="bottom"/>
            <w:gridSpan w:val="2"/>
          </w:tcPr>
          <w:p>
            <w:pPr>
              <w:ind w:left="6760"/>
              <w:spacing w:after="0"/>
              <w:rPr>
                <w:sz w:val="20"/>
                <w:szCs w:val="20"/>
                <w:color w:val="auto"/>
              </w:rPr>
            </w:pPr>
            <w:r>
              <w:rPr>
                <w:rFonts w:ascii="Times New Roman" w:cs="Times New Roman" w:eastAsia="Times New Roman" w:hAnsi="Times New Roman"/>
                <w:sz w:val="16"/>
                <w:szCs w:val="16"/>
                <w:color w:val="auto"/>
              </w:rPr>
              <w:t>By:</w:t>
            </w:r>
          </w:p>
        </w:tc>
        <w:tc>
          <w:tcPr>
            <w:tcW w:w="3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/s/ Patrick Hunnius</w:t>
            </w: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r>
        <w:trPr>
          <w:trHeight w:val="175"/>
        </w:trPr>
        <w:tc>
          <w:tcPr>
            <w:tcW w:w="7320" w:type="dxa"/>
            <w:vAlign w:val="bottom"/>
            <w:gridSpan w:val="2"/>
          </w:tcPr>
          <w:p>
            <w:pPr>
              <w:ind w:left="6760"/>
              <w:spacing w:after="0" w:line="175" w:lineRule="exact"/>
              <w:rPr>
                <w:sz w:val="20"/>
                <w:szCs w:val="20"/>
                <w:color w:val="auto"/>
              </w:rPr>
            </w:pPr>
            <w:r>
              <w:rPr>
                <w:rFonts w:ascii="Times New Roman" w:cs="Times New Roman" w:eastAsia="Times New Roman" w:hAnsi="Times New Roman"/>
                <w:sz w:val="16"/>
                <w:szCs w:val="16"/>
                <w:color w:val="auto"/>
              </w:rPr>
              <w:t>Name:</w:t>
            </w:r>
          </w:p>
        </w:tc>
        <w:tc>
          <w:tcPr>
            <w:tcW w:w="322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Patrick Hunnius</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8"/>
        </w:trPr>
        <w:tc>
          <w:tcPr>
            <w:tcW w:w="7320" w:type="dxa"/>
            <w:vAlign w:val="bottom"/>
            <w:gridSpan w:val="2"/>
          </w:tcPr>
          <w:p>
            <w:pPr>
              <w:ind w:left="6760"/>
              <w:spacing w:after="0"/>
              <w:rPr>
                <w:sz w:val="20"/>
                <w:szCs w:val="20"/>
                <w:color w:val="auto"/>
              </w:rPr>
            </w:pPr>
            <w:r>
              <w:rPr>
                <w:rFonts w:ascii="Times New Roman" w:cs="Times New Roman" w:eastAsia="Times New Roman" w:hAnsi="Times New Roman"/>
                <w:sz w:val="16"/>
                <w:szCs w:val="16"/>
                <w:color w:val="auto"/>
              </w:rPr>
              <w:t>Title:</w:t>
            </w:r>
          </w:p>
        </w:tc>
        <w:tc>
          <w:tcPr>
            <w:tcW w:w="3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General Counsel and CCO</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82"/>
        </w:trPr>
        <w:tc>
          <w:tcPr>
            <w:tcW w:w="10540" w:type="dxa"/>
            <w:vAlign w:val="bottom"/>
            <w:gridSpan w:val="4"/>
          </w:tcPr>
          <w:p>
            <w:pPr>
              <w:ind w:left="6760"/>
              <w:spacing w:after="0"/>
              <w:rPr>
                <w:sz w:val="20"/>
                <w:szCs w:val="20"/>
                <w:color w:val="auto"/>
              </w:rPr>
            </w:pPr>
            <w:r>
              <w:rPr>
                <w:rFonts w:ascii="Times New Roman" w:cs="Times New Roman" w:eastAsia="Times New Roman" w:hAnsi="Times New Roman"/>
                <w:sz w:val="16"/>
                <w:szCs w:val="16"/>
                <w:color w:val="auto"/>
              </w:rPr>
              <w:t>Address for Notices:</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6"/>
        </w:trPr>
        <w:tc>
          <w:tcPr>
            <w:tcW w:w="10540" w:type="dxa"/>
            <w:vAlign w:val="bottom"/>
            <w:gridSpan w:val="4"/>
          </w:tcPr>
          <w:p>
            <w:pPr>
              <w:ind w:left="6760"/>
              <w:spacing w:after="0"/>
              <w:rPr>
                <w:sz w:val="20"/>
                <w:szCs w:val="20"/>
                <w:color w:val="auto"/>
              </w:rPr>
            </w:pPr>
            <w:r>
              <w:rPr>
                <w:rFonts w:ascii="Times New Roman" w:cs="Times New Roman" w:eastAsia="Times New Roman" w:hAnsi="Times New Roman"/>
                <w:sz w:val="16"/>
                <w:szCs w:val="16"/>
                <w:color w:val="auto"/>
              </w:rPr>
              <w:t>12100 Wilshire Blvd., Suite 1000</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8"/>
        </w:trPr>
        <w:tc>
          <w:tcPr>
            <w:tcW w:w="10540" w:type="dxa"/>
            <w:vAlign w:val="bottom"/>
            <w:gridSpan w:val="4"/>
          </w:tcPr>
          <w:p>
            <w:pPr>
              <w:ind w:left="6760"/>
              <w:spacing w:after="0"/>
              <w:rPr>
                <w:sz w:val="20"/>
                <w:szCs w:val="20"/>
                <w:color w:val="auto"/>
              </w:rPr>
            </w:pPr>
            <w:r>
              <w:rPr>
                <w:rFonts w:ascii="Times New Roman" w:cs="Times New Roman" w:eastAsia="Times New Roman" w:hAnsi="Times New Roman"/>
                <w:sz w:val="16"/>
                <w:szCs w:val="16"/>
                <w:color w:val="auto"/>
              </w:rPr>
              <w:t>Los Angeles, California 90025</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66"/>
        </w:trPr>
        <w:tc>
          <w:tcPr>
            <w:tcW w:w="10540" w:type="dxa"/>
            <w:vAlign w:val="bottom"/>
            <w:gridSpan w:val="4"/>
          </w:tcPr>
          <w:p>
            <w:pPr>
              <w:ind w:left="6760"/>
              <w:spacing w:after="0"/>
              <w:rPr>
                <w:sz w:val="20"/>
                <w:szCs w:val="20"/>
                <w:color w:val="auto"/>
              </w:rPr>
            </w:pPr>
            <w:r>
              <w:rPr>
                <w:rFonts w:ascii="Times New Roman" w:cs="Times New Roman" w:eastAsia="Times New Roman" w:hAnsi="Times New Roman"/>
                <w:sz w:val="16"/>
                <w:szCs w:val="16"/>
                <w:color w:val="auto"/>
              </w:rPr>
              <w:t>Name in which shares are to be registered:</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2"/>
        </w:trPr>
        <w:tc>
          <w:tcPr>
            <w:tcW w:w="7320" w:type="dxa"/>
            <w:vAlign w:val="bottom"/>
            <w:gridSpan w:val="2"/>
          </w:tcPr>
          <w:p>
            <w:pPr>
              <w:ind w:left="6760"/>
              <w:spacing w:after="0"/>
              <w:rPr>
                <w:sz w:val="20"/>
                <w:szCs w:val="20"/>
                <w:color w:val="auto"/>
              </w:rPr>
            </w:pPr>
            <w:r>
              <w:rPr>
                <w:rFonts w:ascii="Times New Roman" w:cs="Times New Roman" w:eastAsia="Times New Roman" w:hAnsi="Times New Roman"/>
                <w:sz w:val="16"/>
                <w:szCs w:val="16"/>
                <w:color w:val="auto"/>
              </w:rPr>
              <w:t>[***]</w:t>
            </w:r>
          </w:p>
        </w:tc>
        <w:tc>
          <w:tcPr>
            <w:tcW w:w="2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1"/>
        </w:trPr>
        <w:tc>
          <w:tcPr>
            <w:tcW w:w="676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7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r>
      <w:tr>
        <w:trPr>
          <w:trHeight w:val="223"/>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Aggregate Principal Amount of Subscribed Notes subscribed for:</w:t>
            </w:r>
          </w:p>
        </w:tc>
        <w:tc>
          <w:tcPr>
            <w:tcW w:w="3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r>
      <w:tr>
        <w:trPr>
          <w:trHeight w:val="179"/>
        </w:trPr>
        <w:tc>
          <w:tcPr>
            <w:tcW w:w="7320" w:type="dxa"/>
            <w:vAlign w:val="bottom"/>
            <w:tcBorders>
              <w:top w:val="single" w:sz="8" w:color="CCEEFF"/>
              <w:bottom w:val="single" w:sz="8" w:color="CCEEFF"/>
            </w:tcBorders>
            <w:gridSpan w:val="2"/>
          </w:tcPr>
          <w:p>
            <w:pPr>
              <w:spacing w:after="0" w:line="175" w:lineRule="exact"/>
              <w:rPr>
                <w:sz w:val="20"/>
                <w:szCs w:val="20"/>
                <w:color w:val="auto"/>
              </w:rPr>
            </w:pPr>
            <w:r>
              <w:rPr>
                <w:rFonts w:ascii="Times New Roman" w:cs="Times New Roman" w:eastAsia="Times New Roman" w:hAnsi="Times New Roman"/>
                <w:sz w:val="16"/>
                <w:szCs w:val="16"/>
                <w:color w:val="auto"/>
              </w:rPr>
              <w:t>Aggregate Number of Subscribed Warrants subscribed for:</w:t>
            </w:r>
          </w:p>
        </w:tc>
        <w:tc>
          <w:tcPr>
            <w:tcW w:w="2700" w:type="dxa"/>
            <w:vAlign w:val="bottom"/>
            <w:tcBorders>
              <w:top w:val="single" w:sz="8" w:color="CCEEFF"/>
              <w:bottom w:val="single" w:sz="8" w:color="CCEEFF"/>
            </w:tcBorders>
          </w:tcPr>
          <w:p>
            <w:pPr>
              <w:spacing w:after="0"/>
              <w:rPr>
                <w:sz w:val="15"/>
                <w:szCs w:val="15"/>
                <w:color w:val="auto"/>
              </w:rPr>
            </w:pPr>
          </w:p>
        </w:tc>
        <w:tc>
          <w:tcPr>
            <w:tcW w:w="52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tcPr>
          <w:p>
            <w:pPr>
              <w:spacing w:after="0"/>
              <w:rPr>
                <w:sz w:val="15"/>
                <w:szCs w:val="15"/>
                <w:color w:val="auto"/>
              </w:rPr>
            </w:pPr>
          </w:p>
        </w:tc>
      </w:tr>
      <w:tr>
        <w:trPr>
          <w:trHeight w:val="195"/>
        </w:trPr>
        <w:tc>
          <w:tcPr>
            <w:tcW w:w="7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Aggregate Purchase Price:</w:t>
            </w:r>
          </w:p>
        </w:tc>
        <w:tc>
          <w:tcPr>
            <w:tcW w:w="27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6"/>
                <w:szCs w:val="16"/>
                <w:color w:val="auto"/>
              </w:rPr>
            </w:pPr>
          </w:p>
        </w:tc>
      </w:tr>
    </w:tbl>
    <w:p>
      <w:pPr>
        <w:spacing w:after="0" w:line="175" w:lineRule="exact"/>
        <w:rPr>
          <w:sz w:val="20"/>
          <w:szCs w:val="20"/>
          <w:color w:val="auto"/>
        </w:rPr>
      </w:pPr>
    </w:p>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You must pay the Purchase Price by wire transfer of United States dollars in immediately available funds to the account of the Company specified by the Company in the Closing Notice.</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Ventoux CCM Acquisition Corp Subscription Agreement]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08"/>
        </w:trPr>
        <w:tc>
          <w:tcPr>
            <w:tcW w:w="10660" w:type="dxa"/>
            <w:vAlign w:val="bottom"/>
            <w:gridSpan w:val="4"/>
          </w:tcPr>
          <w:p>
            <w:pPr>
              <w:ind w:left="6760"/>
              <w:spacing w:after="0"/>
              <w:rPr>
                <w:sz w:val="20"/>
                <w:szCs w:val="20"/>
                <w:color w:val="auto"/>
              </w:rPr>
            </w:pPr>
            <w:r>
              <w:rPr>
                <w:rFonts w:ascii="Times New Roman" w:cs="Times New Roman" w:eastAsia="Times New Roman" w:hAnsi="Times New Roman"/>
                <w:sz w:val="16"/>
                <w:szCs w:val="16"/>
                <w:color w:val="auto"/>
              </w:rPr>
              <w:t>SUBSCRIBER:</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82"/>
        </w:trPr>
        <w:tc>
          <w:tcPr>
            <w:tcW w:w="10660" w:type="dxa"/>
            <w:vAlign w:val="bottom"/>
            <w:gridSpan w:val="4"/>
          </w:tcPr>
          <w:p>
            <w:pPr>
              <w:ind w:left="6760"/>
              <w:spacing w:after="0"/>
              <w:rPr>
                <w:sz w:val="20"/>
                <w:szCs w:val="20"/>
                <w:color w:val="auto"/>
              </w:rPr>
            </w:pPr>
            <w:r>
              <w:rPr>
                <w:rFonts w:ascii="Times New Roman" w:cs="Times New Roman" w:eastAsia="Times New Roman" w:hAnsi="Times New Roman"/>
                <w:sz w:val="16"/>
                <w:szCs w:val="16"/>
                <w:b w:val="1"/>
                <w:bCs w:val="1"/>
                <w:color w:val="auto"/>
              </w:rPr>
              <w:t>Silver Rock Empire Fund LP — Series 2022</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82"/>
        </w:trPr>
        <w:tc>
          <w:tcPr>
            <w:tcW w:w="10660" w:type="dxa"/>
            <w:vAlign w:val="bottom"/>
            <w:gridSpan w:val="4"/>
          </w:tcPr>
          <w:p>
            <w:pPr>
              <w:ind w:left="6760"/>
              <w:spacing w:after="0"/>
              <w:rPr>
                <w:sz w:val="20"/>
                <w:szCs w:val="20"/>
                <w:color w:val="auto"/>
              </w:rPr>
            </w:pPr>
            <w:r>
              <w:rPr>
                <w:rFonts w:ascii="Times New Roman" w:cs="Times New Roman" w:eastAsia="Times New Roman" w:hAnsi="Times New Roman"/>
                <w:sz w:val="16"/>
                <w:szCs w:val="16"/>
                <w:color w:val="auto"/>
              </w:rPr>
              <w:t>By: Silver Rock Capital Partners LP, its investment adviser</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86"/>
        </w:trPr>
        <w:tc>
          <w:tcPr>
            <w:tcW w:w="7320" w:type="dxa"/>
            <w:vAlign w:val="bottom"/>
            <w:gridSpan w:val="2"/>
          </w:tcPr>
          <w:p>
            <w:pPr>
              <w:ind w:left="6760"/>
              <w:spacing w:after="0"/>
              <w:rPr>
                <w:sz w:val="20"/>
                <w:szCs w:val="20"/>
                <w:color w:val="auto"/>
              </w:rPr>
            </w:pPr>
            <w:r>
              <w:rPr>
                <w:rFonts w:ascii="Times New Roman" w:cs="Times New Roman" w:eastAsia="Times New Roman" w:hAnsi="Times New Roman"/>
                <w:sz w:val="16"/>
                <w:szCs w:val="16"/>
                <w:color w:val="auto"/>
              </w:rPr>
              <w:t>By:</w:t>
            </w:r>
          </w:p>
        </w:tc>
        <w:tc>
          <w:tcPr>
            <w:tcW w:w="3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/s/ Patrick Hunnius</w:t>
            </w: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r>
        <w:trPr>
          <w:trHeight w:val="175"/>
        </w:trPr>
        <w:tc>
          <w:tcPr>
            <w:tcW w:w="7320" w:type="dxa"/>
            <w:vAlign w:val="bottom"/>
            <w:gridSpan w:val="2"/>
          </w:tcPr>
          <w:p>
            <w:pPr>
              <w:ind w:left="6760"/>
              <w:spacing w:after="0" w:line="175" w:lineRule="exact"/>
              <w:rPr>
                <w:sz w:val="20"/>
                <w:szCs w:val="20"/>
                <w:color w:val="auto"/>
              </w:rPr>
            </w:pPr>
            <w:r>
              <w:rPr>
                <w:rFonts w:ascii="Times New Roman" w:cs="Times New Roman" w:eastAsia="Times New Roman" w:hAnsi="Times New Roman"/>
                <w:sz w:val="16"/>
                <w:szCs w:val="16"/>
                <w:color w:val="auto"/>
              </w:rPr>
              <w:t>Name:</w:t>
            </w:r>
          </w:p>
        </w:tc>
        <w:tc>
          <w:tcPr>
            <w:tcW w:w="334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Patrick Hunnius</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8"/>
        </w:trPr>
        <w:tc>
          <w:tcPr>
            <w:tcW w:w="7320" w:type="dxa"/>
            <w:vAlign w:val="bottom"/>
            <w:gridSpan w:val="2"/>
          </w:tcPr>
          <w:p>
            <w:pPr>
              <w:ind w:left="6760"/>
              <w:spacing w:after="0"/>
              <w:rPr>
                <w:sz w:val="20"/>
                <w:szCs w:val="20"/>
                <w:color w:val="auto"/>
              </w:rPr>
            </w:pPr>
            <w:r>
              <w:rPr>
                <w:rFonts w:ascii="Times New Roman" w:cs="Times New Roman" w:eastAsia="Times New Roman" w:hAnsi="Times New Roman"/>
                <w:sz w:val="16"/>
                <w:szCs w:val="16"/>
                <w:color w:val="auto"/>
              </w:rPr>
              <w:t>Title:</w:t>
            </w:r>
          </w:p>
        </w:tc>
        <w:tc>
          <w:tcPr>
            <w:tcW w:w="3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General Counsel and CCO</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82"/>
        </w:trPr>
        <w:tc>
          <w:tcPr>
            <w:tcW w:w="10660" w:type="dxa"/>
            <w:vAlign w:val="bottom"/>
            <w:gridSpan w:val="4"/>
          </w:tcPr>
          <w:p>
            <w:pPr>
              <w:ind w:left="6760"/>
              <w:spacing w:after="0"/>
              <w:rPr>
                <w:sz w:val="20"/>
                <w:szCs w:val="20"/>
                <w:color w:val="auto"/>
              </w:rPr>
            </w:pPr>
            <w:r>
              <w:rPr>
                <w:rFonts w:ascii="Times New Roman" w:cs="Times New Roman" w:eastAsia="Times New Roman" w:hAnsi="Times New Roman"/>
                <w:sz w:val="16"/>
                <w:szCs w:val="16"/>
                <w:color w:val="auto"/>
              </w:rPr>
              <w:t>Address for Notices:</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6"/>
        </w:trPr>
        <w:tc>
          <w:tcPr>
            <w:tcW w:w="10660" w:type="dxa"/>
            <w:vAlign w:val="bottom"/>
            <w:gridSpan w:val="4"/>
          </w:tcPr>
          <w:p>
            <w:pPr>
              <w:ind w:left="6760"/>
              <w:spacing w:after="0"/>
              <w:rPr>
                <w:sz w:val="20"/>
                <w:szCs w:val="20"/>
                <w:color w:val="auto"/>
              </w:rPr>
            </w:pPr>
            <w:r>
              <w:rPr>
                <w:rFonts w:ascii="Times New Roman" w:cs="Times New Roman" w:eastAsia="Times New Roman" w:hAnsi="Times New Roman"/>
                <w:sz w:val="16"/>
                <w:szCs w:val="16"/>
                <w:color w:val="auto"/>
              </w:rPr>
              <w:t>12100 Wilshire Blvd., Suite 1000</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8"/>
        </w:trPr>
        <w:tc>
          <w:tcPr>
            <w:tcW w:w="10660" w:type="dxa"/>
            <w:vAlign w:val="bottom"/>
            <w:gridSpan w:val="4"/>
          </w:tcPr>
          <w:p>
            <w:pPr>
              <w:ind w:left="6760"/>
              <w:spacing w:after="0"/>
              <w:rPr>
                <w:sz w:val="20"/>
                <w:szCs w:val="20"/>
                <w:color w:val="auto"/>
              </w:rPr>
            </w:pPr>
            <w:r>
              <w:rPr>
                <w:rFonts w:ascii="Times New Roman" w:cs="Times New Roman" w:eastAsia="Times New Roman" w:hAnsi="Times New Roman"/>
                <w:sz w:val="16"/>
                <w:szCs w:val="16"/>
                <w:color w:val="auto"/>
              </w:rPr>
              <w:t>Los Angeles, California 90025</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66"/>
        </w:trPr>
        <w:tc>
          <w:tcPr>
            <w:tcW w:w="10660" w:type="dxa"/>
            <w:vAlign w:val="bottom"/>
            <w:gridSpan w:val="4"/>
          </w:tcPr>
          <w:p>
            <w:pPr>
              <w:ind w:left="6760"/>
              <w:spacing w:after="0"/>
              <w:rPr>
                <w:sz w:val="20"/>
                <w:szCs w:val="20"/>
                <w:color w:val="auto"/>
              </w:rPr>
            </w:pPr>
            <w:r>
              <w:rPr>
                <w:rFonts w:ascii="Times New Roman" w:cs="Times New Roman" w:eastAsia="Times New Roman" w:hAnsi="Times New Roman"/>
                <w:sz w:val="16"/>
                <w:szCs w:val="16"/>
                <w:color w:val="auto"/>
              </w:rPr>
              <w:t>Name in which shares are to be registered:</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2"/>
        </w:trPr>
        <w:tc>
          <w:tcPr>
            <w:tcW w:w="7320" w:type="dxa"/>
            <w:vAlign w:val="bottom"/>
            <w:gridSpan w:val="2"/>
          </w:tcPr>
          <w:p>
            <w:pPr>
              <w:ind w:left="6760"/>
              <w:spacing w:after="0"/>
              <w:rPr>
                <w:sz w:val="20"/>
                <w:szCs w:val="20"/>
                <w:color w:val="auto"/>
              </w:rPr>
            </w:pPr>
            <w:r>
              <w:rPr>
                <w:rFonts w:ascii="Times New Roman" w:cs="Times New Roman" w:eastAsia="Times New Roman" w:hAnsi="Times New Roman"/>
                <w:sz w:val="16"/>
                <w:szCs w:val="16"/>
                <w:color w:val="auto"/>
              </w:rPr>
              <w:t>[***]</w:t>
            </w:r>
          </w:p>
        </w:tc>
        <w:tc>
          <w:tcPr>
            <w:tcW w:w="2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1"/>
        </w:trPr>
        <w:tc>
          <w:tcPr>
            <w:tcW w:w="676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7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r>
      <w:tr>
        <w:trPr>
          <w:trHeight w:val="223"/>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Aggregate Principal Amount of Subscribed Notes subscribed for:</w:t>
            </w:r>
          </w:p>
        </w:tc>
        <w:tc>
          <w:tcPr>
            <w:tcW w:w="33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r>
      <w:tr>
        <w:trPr>
          <w:trHeight w:val="179"/>
        </w:trPr>
        <w:tc>
          <w:tcPr>
            <w:tcW w:w="7320" w:type="dxa"/>
            <w:vAlign w:val="bottom"/>
            <w:tcBorders>
              <w:top w:val="single" w:sz="8" w:color="CCEEFF"/>
              <w:bottom w:val="single" w:sz="8" w:color="CCEEFF"/>
            </w:tcBorders>
            <w:gridSpan w:val="2"/>
          </w:tcPr>
          <w:p>
            <w:pPr>
              <w:spacing w:after="0" w:line="175" w:lineRule="exact"/>
              <w:rPr>
                <w:sz w:val="20"/>
                <w:szCs w:val="20"/>
                <w:color w:val="auto"/>
              </w:rPr>
            </w:pPr>
            <w:r>
              <w:rPr>
                <w:rFonts w:ascii="Times New Roman" w:cs="Times New Roman" w:eastAsia="Times New Roman" w:hAnsi="Times New Roman"/>
                <w:sz w:val="16"/>
                <w:szCs w:val="16"/>
                <w:color w:val="auto"/>
              </w:rPr>
              <w:t>Aggregate Number of Subscribed Warrants subscribed for:</w:t>
            </w:r>
          </w:p>
        </w:tc>
        <w:tc>
          <w:tcPr>
            <w:tcW w:w="2700" w:type="dxa"/>
            <w:vAlign w:val="bottom"/>
            <w:tcBorders>
              <w:top w:val="single" w:sz="8" w:color="CCEEFF"/>
              <w:bottom w:val="single" w:sz="8" w:color="CCEEFF"/>
            </w:tcBorders>
          </w:tcPr>
          <w:p>
            <w:pPr>
              <w:spacing w:after="0"/>
              <w:rPr>
                <w:sz w:val="15"/>
                <w:szCs w:val="15"/>
                <w:color w:val="auto"/>
              </w:rPr>
            </w:pPr>
          </w:p>
        </w:tc>
        <w:tc>
          <w:tcPr>
            <w:tcW w:w="64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tcPr>
          <w:p>
            <w:pPr>
              <w:spacing w:after="0"/>
              <w:rPr>
                <w:sz w:val="15"/>
                <w:szCs w:val="15"/>
                <w:color w:val="auto"/>
              </w:rPr>
            </w:pPr>
          </w:p>
        </w:tc>
      </w:tr>
      <w:tr>
        <w:trPr>
          <w:trHeight w:val="195"/>
        </w:trPr>
        <w:tc>
          <w:tcPr>
            <w:tcW w:w="7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Aggregate Purchase Price:</w:t>
            </w:r>
          </w:p>
        </w:tc>
        <w:tc>
          <w:tcPr>
            <w:tcW w:w="27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6"/>
                <w:szCs w:val="16"/>
                <w:color w:val="auto"/>
              </w:rPr>
            </w:pPr>
          </w:p>
        </w:tc>
      </w:tr>
    </w:tbl>
    <w:p>
      <w:pPr>
        <w:spacing w:after="0" w:line="175" w:lineRule="exact"/>
        <w:rPr>
          <w:sz w:val="20"/>
          <w:szCs w:val="20"/>
          <w:color w:val="auto"/>
        </w:rPr>
      </w:pPr>
    </w:p>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You must pay the Purchase Price by wire transfer of United States dollars in immediately available funds to the account of the Company specified by the Company in the Closing Notice.</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Ventoux CCM Acquisition Corp Subscription Agreement]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36" w:name="page137"/>
    <w:bookmarkEnd w:id="136"/>
    <w:p>
      <w:pPr>
        <w:ind w:left="5640"/>
        <w:spacing w:after="0"/>
        <w:rPr>
          <w:sz w:val="20"/>
          <w:szCs w:val="20"/>
          <w:color w:val="auto"/>
        </w:rPr>
      </w:pPr>
      <w:r>
        <w:rPr>
          <w:rFonts w:ascii="Times New Roman" w:cs="Times New Roman" w:eastAsia="Times New Roman" w:hAnsi="Times New Roman"/>
          <w:sz w:val="16"/>
          <w:szCs w:val="16"/>
          <w:color w:val="auto"/>
        </w:rPr>
        <w:t>PRESTO</w:t>
      </w:r>
    </w:p>
    <w:p>
      <w:pPr>
        <w:spacing w:after="0" w:line="19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b w:val="1"/>
          <w:bCs w:val="1"/>
          <w:color w:val="auto"/>
        </w:rPr>
        <w:t>E la Carte, Inc.</w:t>
      </w:r>
    </w:p>
    <w:p>
      <w:pPr>
        <w:spacing w:after="0" w:line="200" w:lineRule="exact"/>
        <w:rPr>
          <w:sz w:val="20"/>
          <w:szCs w:val="20"/>
          <w:color w:val="auto"/>
        </w:rPr>
      </w:pPr>
    </w:p>
    <w:tbl>
      <w:tblPr>
        <w:tblLayout w:type="fixed"/>
        <w:tblInd w:w="5640" w:type="dxa"/>
        <w:tblCellMar>
          <w:top w:w="0" w:type="dxa"/>
          <w:left w:w="0" w:type="dxa"/>
          <w:bottom w:w="0" w:type="dxa"/>
          <w:right w:w="0" w:type="dxa"/>
        </w:tblCellMar>
      </w:tblPr>
      <w:tr>
        <w:trPr>
          <w:trHeight w:val="212"/>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Rajat Suri</w:t>
            </w:r>
          </w:p>
        </w:tc>
      </w:tr>
      <w:tr>
        <w:trPr>
          <w:trHeight w:val="175"/>
        </w:trPr>
        <w:tc>
          <w:tcPr>
            <w:tcW w:w="5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Name:</w:t>
            </w:r>
          </w:p>
        </w:tc>
        <w:tc>
          <w:tcPr>
            <w:tcW w:w="39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Rajat Suri</w:t>
            </w:r>
          </w:p>
        </w:tc>
      </w:tr>
      <w:tr>
        <w:trPr>
          <w:trHeight w:val="208"/>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w:t>
            </w:r>
          </w:p>
        </w:tc>
      </w:tr>
    </w:tbl>
    <w:p>
      <w:pPr>
        <w:spacing w:after="0" w:line="174"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6"/>
          <w:szCs w:val="16"/>
          <w:color w:val="auto"/>
        </w:rPr>
        <w:t>[Signature Page to Ventoux CCM Acquisition Corp Subscription Agreement]</w:t>
      </w:r>
    </w:p>
    <w:p>
      <w:pPr>
        <w:spacing w:after="0" w:line="39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15240</wp:posOffset>
            </wp:positionV>
            <wp:extent cx="7148195" cy="152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0"/>
          </w:cols>
          <w:pgMar w:left="1440" w:top="816" w:right="319" w:bottom="1440" w:gutter="0" w:footer="0" w:header="0"/>
        </w:sectPr>
      </w:pPr>
    </w:p>
    <w:bookmarkStart w:id="137" w:name="page138"/>
    <w:bookmarkEnd w:id="137"/>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ANNEX A</w:t>
      </w:r>
    </w:p>
    <w:p>
      <w:pPr>
        <w:spacing w:after="0" w:line="19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ELIGIBILITY REPRESENTATIONS OF SUBSCRIBER</w:t>
      </w:r>
    </w:p>
    <w:p>
      <w:pPr>
        <w:spacing w:after="0" w:line="20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This Annex A should be completed and signed by Subscriber</w:t>
      </w:r>
    </w:p>
    <w:p>
      <w:pPr>
        <w:spacing w:after="0" w:line="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and constitutes a part of the Subscription Agreement.</w:t>
      </w:r>
    </w:p>
    <w:p>
      <w:pPr>
        <w:spacing w:after="0" w:line="18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A. QUALIFIED INSTITUTIONAL BUYER STATUS (Please check the box, if applicable)</w:t>
      </w:r>
    </w:p>
    <w:p>
      <w:pPr>
        <w:spacing w:after="0" w:line="198" w:lineRule="exact"/>
        <w:rPr>
          <w:sz w:val="20"/>
          <w:szCs w:val="20"/>
          <w:color w:val="auto"/>
        </w:rPr>
      </w:pPr>
    </w:p>
    <w:p>
      <w:pPr>
        <w:ind w:left="4" w:right="4780" w:hanging="4"/>
        <w:spacing w:after="0" w:line="481" w:lineRule="auto"/>
        <w:tabs>
          <w:tab w:leader="none" w:pos="291" w:val="left"/>
        </w:tabs>
        <w:numPr>
          <w:ilvl w:val="0"/>
          <w:numId w:val="160"/>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Subscriber is a “qualified institutional buyer” (as defined in Rule 144A under the Securities Act). B. ACCREDITED INVESTOR STATUS (Please check the box)</w:t>
      </w:r>
    </w:p>
    <w:p>
      <w:pPr>
        <w:spacing w:after="0" w:line="27" w:lineRule="exact"/>
        <w:rPr>
          <w:rFonts w:ascii="MS PGothic" w:cs="MS PGothic" w:eastAsia="MS PGothic" w:hAnsi="MS PGothic"/>
          <w:sz w:val="16"/>
          <w:szCs w:val="16"/>
          <w:color w:val="auto"/>
        </w:rPr>
      </w:pPr>
    </w:p>
    <w:p>
      <w:pPr>
        <w:ind w:left="284" w:hanging="284"/>
        <w:spacing w:after="0" w:line="280" w:lineRule="auto"/>
        <w:tabs>
          <w:tab w:leader="none" w:pos="284" w:val="left"/>
        </w:tabs>
        <w:numPr>
          <w:ilvl w:val="0"/>
          <w:numId w:val="160"/>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Subscriber is an “accredited investor” (within the meaning of Rule 501(a) under the Securities Act) and has marked and initialed the appropriate box below indicating the provision under which it qualifies as an “accredited investor.”</w:t>
      </w:r>
    </w:p>
    <w:p>
      <w:pPr>
        <w:spacing w:after="0" w:line="1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C. AFFILIATE STATUS</w:t>
      </w:r>
    </w:p>
    <w:p>
      <w:pPr>
        <w:spacing w:after="0" w:line="24"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(Please check the applicable box)</w:t>
      </w:r>
    </w:p>
    <w:p>
      <w:pPr>
        <w:spacing w:after="0" w:line="182"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SUBSCRIBER:</w:t>
      </w:r>
    </w:p>
    <w:p>
      <w:pPr>
        <w:spacing w:after="0" w:line="198" w:lineRule="exact"/>
        <w:rPr>
          <w:sz w:val="20"/>
          <w:szCs w:val="20"/>
          <w:color w:val="auto"/>
        </w:rPr>
      </w:pPr>
    </w:p>
    <w:p>
      <w:pPr>
        <w:ind w:left="284" w:hanging="284"/>
        <w:spacing w:after="0"/>
        <w:tabs>
          <w:tab w:leader="none" w:pos="284" w:val="left"/>
        </w:tabs>
        <w:numPr>
          <w:ilvl w:val="0"/>
          <w:numId w:val="16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is:</w:t>
      </w:r>
    </w:p>
    <w:p>
      <w:pPr>
        <w:spacing w:after="0" w:line="198" w:lineRule="exact"/>
        <w:rPr>
          <w:rFonts w:ascii="MS PGothic" w:cs="MS PGothic" w:eastAsia="MS PGothic" w:hAnsi="MS PGothic"/>
          <w:sz w:val="16"/>
          <w:szCs w:val="16"/>
          <w:color w:val="auto"/>
        </w:rPr>
      </w:pPr>
    </w:p>
    <w:p>
      <w:pPr>
        <w:ind w:left="284" w:hanging="284"/>
        <w:spacing w:after="0"/>
        <w:tabs>
          <w:tab w:leader="none" w:pos="284" w:val="left"/>
        </w:tabs>
        <w:numPr>
          <w:ilvl w:val="0"/>
          <w:numId w:val="16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is not:</w:t>
      </w:r>
    </w:p>
    <w:p>
      <w:pPr>
        <w:spacing w:after="0" w:line="198" w:lineRule="exact"/>
        <w:rPr>
          <w:rFonts w:ascii="MS PGothic" w:cs="MS PGothic" w:eastAsia="MS PGothic" w:hAnsi="MS PGothic"/>
          <w:sz w:val="16"/>
          <w:szCs w:val="16"/>
          <w:color w:val="auto"/>
        </w:rPr>
      </w:pPr>
    </w:p>
    <w:p>
      <w:pPr>
        <w:ind w:left="284"/>
        <w:spacing w:after="0"/>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 “affiliate” (as defined in Rule 144 under the Securities Act) of the Company or acting on behalf of an affiliate of the Company.</w:t>
      </w:r>
    </w:p>
    <w:p>
      <w:pPr>
        <w:spacing w:after="0" w:line="198" w:lineRule="exact"/>
        <w:rPr>
          <w:sz w:val="20"/>
          <w:szCs w:val="20"/>
          <w:color w:val="auto"/>
        </w:rPr>
      </w:pPr>
    </w:p>
    <w:p>
      <w:pPr>
        <w:jc w:val="both"/>
        <w:ind w:left="4" w:right="20" w:firstLine="287"/>
        <w:spacing w:after="0" w:line="265" w:lineRule="auto"/>
        <w:rPr>
          <w:sz w:val="20"/>
          <w:szCs w:val="20"/>
          <w:color w:val="auto"/>
        </w:rPr>
      </w:pPr>
      <w:r>
        <w:rPr>
          <w:rFonts w:ascii="Times New Roman" w:cs="Times New Roman" w:eastAsia="Times New Roman" w:hAnsi="Times New Roman"/>
          <w:sz w:val="16"/>
          <w:szCs w:val="16"/>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Subscriber has indicated, by marking and initialing the appropriate box below, the provision(s) below which apply to Subscriber and under which Subscriber accordingly qualifies as an “accredited investor.”</w:t>
      </w:r>
    </w:p>
    <w:p>
      <w:pPr>
        <w:spacing w:after="0" w:line="155" w:lineRule="exact"/>
        <w:rPr>
          <w:sz w:val="20"/>
          <w:szCs w:val="20"/>
          <w:color w:val="auto"/>
        </w:rPr>
      </w:pPr>
    </w:p>
    <w:p>
      <w:pPr>
        <w:ind w:left="284" w:hanging="284"/>
        <w:spacing w:after="0"/>
        <w:tabs>
          <w:tab w:leader="none" w:pos="284" w:val="left"/>
        </w:tabs>
        <w:numPr>
          <w:ilvl w:val="0"/>
          <w:numId w:val="16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bank, registered broker or dealer, insurance company, registered investment company, business development company, or small business investment company;</w:t>
      </w:r>
    </w:p>
    <w:p>
      <w:pPr>
        <w:spacing w:after="0" w:line="198" w:lineRule="exact"/>
        <w:rPr>
          <w:rFonts w:ascii="MS PGothic" w:cs="MS PGothic" w:eastAsia="MS PGothic" w:hAnsi="MS PGothic"/>
          <w:sz w:val="16"/>
          <w:szCs w:val="16"/>
          <w:color w:val="auto"/>
        </w:rPr>
      </w:pPr>
    </w:p>
    <w:p>
      <w:pPr>
        <w:ind w:left="284" w:right="20" w:hanging="284"/>
        <w:spacing w:after="0" w:line="280" w:lineRule="auto"/>
        <w:tabs>
          <w:tab w:leader="none" w:pos="284" w:val="left"/>
        </w:tabs>
        <w:numPr>
          <w:ilvl w:val="0"/>
          <w:numId w:val="16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plan established and maintained by a state, its political subdivisions, or any agency or instrumentality of a state or its political subdivisions for the benefit of its employees, if such plan has total assets in excess of $5,000,000, or, if a self-directed plan, with investment decisions made solely by persons that are accredited investors;</w:t>
      </w:r>
    </w:p>
    <w:p>
      <w:pPr>
        <w:spacing w:after="0" w:line="144" w:lineRule="exact"/>
        <w:rPr>
          <w:rFonts w:ascii="MS PGothic" w:cs="MS PGothic" w:eastAsia="MS PGothic" w:hAnsi="MS PGothic"/>
          <w:sz w:val="16"/>
          <w:szCs w:val="16"/>
          <w:color w:val="auto"/>
        </w:rPr>
      </w:pPr>
    </w:p>
    <w:p>
      <w:pPr>
        <w:ind w:left="284" w:hanging="284"/>
        <w:spacing w:after="0" w:line="280" w:lineRule="auto"/>
        <w:tabs>
          <w:tab w:leader="none" w:pos="284" w:val="left"/>
        </w:tabs>
        <w:numPr>
          <w:ilvl w:val="0"/>
          <w:numId w:val="16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employee benefit plan, within the meaning of the Employee Retirement Income Security Act of 1974, if a bank, insurance company, or registered investment adviser makes the investment decisions, or if the plan has total assets in excess of $5,000,000;</w:t>
      </w:r>
    </w:p>
    <w:p>
      <w:pPr>
        <w:spacing w:after="0" w:line="144" w:lineRule="exact"/>
        <w:rPr>
          <w:rFonts w:ascii="MS PGothic" w:cs="MS PGothic" w:eastAsia="MS PGothic" w:hAnsi="MS PGothic"/>
          <w:sz w:val="16"/>
          <w:szCs w:val="16"/>
          <w:color w:val="auto"/>
        </w:rPr>
      </w:pPr>
    </w:p>
    <w:p>
      <w:pPr>
        <w:ind w:left="284" w:hanging="284"/>
        <w:spacing w:after="0"/>
        <w:tabs>
          <w:tab w:leader="none" w:pos="284" w:val="left"/>
        </w:tabs>
        <w:numPr>
          <w:ilvl w:val="0"/>
          <w:numId w:val="16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private business development company as defined in section 202(a)(22) of the Investment Advisers Act of 1940;</w:t>
      </w:r>
    </w:p>
    <w:p>
      <w:pPr>
        <w:spacing w:after="0" w:line="198" w:lineRule="exact"/>
        <w:rPr>
          <w:rFonts w:ascii="MS PGothic" w:cs="MS PGothic" w:eastAsia="MS PGothic" w:hAnsi="MS PGothic"/>
          <w:sz w:val="16"/>
          <w:szCs w:val="16"/>
          <w:color w:val="auto"/>
        </w:rPr>
      </w:pPr>
    </w:p>
    <w:p>
      <w:pPr>
        <w:ind w:left="284" w:right="20" w:hanging="284"/>
        <w:spacing w:after="0" w:line="280" w:lineRule="auto"/>
        <w:tabs>
          <w:tab w:leader="none" w:pos="284" w:val="left"/>
        </w:tabs>
        <w:numPr>
          <w:ilvl w:val="0"/>
          <w:numId w:val="16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organization described in section 501(c)(3) of the Internal Revenue Code, corporation, Massachusetts or similar business trust, partnership, or limited liability company, not formed for the specific purpose of acquiring the securities offered, with total assets in excess of $5,000,000;</w:t>
      </w:r>
    </w:p>
    <w:p>
      <w:pPr>
        <w:spacing w:after="0" w:line="144" w:lineRule="exact"/>
        <w:rPr>
          <w:rFonts w:ascii="MS PGothic" w:cs="MS PGothic" w:eastAsia="MS PGothic" w:hAnsi="MS PGothic"/>
          <w:sz w:val="16"/>
          <w:szCs w:val="16"/>
          <w:color w:val="auto"/>
        </w:rPr>
      </w:pPr>
    </w:p>
    <w:p>
      <w:pPr>
        <w:ind w:left="284" w:right="20" w:hanging="284"/>
        <w:spacing w:after="0" w:line="280" w:lineRule="auto"/>
        <w:tabs>
          <w:tab w:leader="none" w:pos="284" w:val="left"/>
        </w:tabs>
        <w:numPr>
          <w:ilvl w:val="0"/>
          <w:numId w:val="16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director, executive officer, or general partner of the issuer of the securities being offered or sold, or any director, executive officer, or general partner of a general partner of that issuer;</w:t>
      </w:r>
    </w:p>
    <w:p>
      <w:pPr>
        <w:spacing w:after="0" w:line="144" w:lineRule="exact"/>
        <w:rPr>
          <w:rFonts w:ascii="MS PGothic" w:cs="MS PGothic" w:eastAsia="MS PGothic" w:hAnsi="MS PGothic"/>
          <w:sz w:val="16"/>
          <w:szCs w:val="16"/>
          <w:color w:val="auto"/>
        </w:rPr>
      </w:pPr>
    </w:p>
    <w:p>
      <w:pPr>
        <w:ind w:left="284" w:hanging="284"/>
        <w:spacing w:after="0"/>
        <w:tabs>
          <w:tab w:leader="none" w:pos="284" w:val="left"/>
        </w:tabs>
        <w:numPr>
          <w:ilvl w:val="0"/>
          <w:numId w:val="16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natural person whose individual net worth, or joint net worth with that person’s spouse or spousal equivalent, exceeds $1,000,000;</w:t>
      </w:r>
    </w:p>
    <w:p>
      <w:pPr>
        <w:spacing w:after="0" w:line="3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4" w:right="319" w:bottom="1440" w:gutter="0" w:footer="0" w:header="0"/>
        </w:sectPr>
      </w:pPr>
    </w:p>
    <w:bookmarkStart w:id="138" w:name="page139"/>
    <w:bookmarkEnd w:id="138"/>
    <w:p>
      <w:pPr>
        <w:ind w:left="284" w:right="20" w:hanging="284"/>
        <w:spacing w:after="0" w:line="280" w:lineRule="auto"/>
        <w:tabs>
          <w:tab w:leader="none" w:pos="284" w:val="left"/>
        </w:tabs>
        <w:numPr>
          <w:ilvl w:val="0"/>
          <w:numId w:val="16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natural person who had an individual income in excess of $200,000 in each of the two most recent years or joint income with that person’s spouse or spousal equivalent in excess of $300,000 in each of those years and has a reasonable expectation of reaching the same income level in the current year;</w:t>
      </w:r>
    </w:p>
    <w:p>
      <w:pPr>
        <w:spacing w:after="0" w:line="144" w:lineRule="exact"/>
        <w:rPr>
          <w:rFonts w:ascii="MS PGothic" w:cs="MS PGothic" w:eastAsia="MS PGothic" w:hAnsi="MS PGothic"/>
          <w:sz w:val="16"/>
          <w:szCs w:val="16"/>
          <w:color w:val="auto"/>
        </w:rPr>
      </w:pPr>
    </w:p>
    <w:p>
      <w:pPr>
        <w:ind w:left="284" w:right="20" w:hanging="284"/>
        <w:spacing w:after="0" w:line="280" w:lineRule="auto"/>
        <w:tabs>
          <w:tab w:leader="none" w:pos="284" w:val="left"/>
        </w:tabs>
        <w:numPr>
          <w:ilvl w:val="0"/>
          <w:numId w:val="16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trust, with total assets in excess of $5,000,000, not formed for the specific purpose of acquiring the securities offered, whose purchase is directed by a sophisticated person as described in § 230.506(b)(2)(ii);</w:t>
      </w:r>
    </w:p>
    <w:p>
      <w:pPr>
        <w:spacing w:after="0" w:line="144" w:lineRule="exact"/>
        <w:rPr>
          <w:rFonts w:ascii="MS PGothic" w:cs="MS PGothic" w:eastAsia="MS PGothic" w:hAnsi="MS PGothic"/>
          <w:sz w:val="16"/>
          <w:szCs w:val="16"/>
          <w:color w:val="auto"/>
        </w:rPr>
      </w:pPr>
    </w:p>
    <w:p>
      <w:pPr>
        <w:ind w:left="284" w:hanging="284"/>
        <w:spacing w:after="0"/>
        <w:tabs>
          <w:tab w:leader="none" w:pos="284" w:val="left"/>
        </w:tabs>
        <w:numPr>
          <w:ilvl w:val="0"/>
          <w:numId w:val="16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entity in which all of the equity owners are accredited investors;</w:t>
      </w:r>
    </w:p>
    <w:p>
      <w:pPr>
        <w:spacing w:after="0" w:line="198" w:lineRule="exact"/>
        <w:rPr>
          <w:rFonts w:ascii="MS PGothic" w:cs="MS PGothic" w:eastAsia="MS PGothic" w:hAnsi="MS PGothic"/>
          <w:sz w:val="16"/>
          <w:szCs w:val="16"/>
          <w:color w:val="auto"/>
        </w:rPr>
      </w:pPr>
    </w:p>
    <w:p>
      <w:pPr>
        <w:ind w:left="284" w:hanging="284"/>
        <w:spacing w:after="0"/>
        <w:tabs>
          <w:tab w:leader="none" w:pos="284" w:val="left"/>
        </w:tabs>
        <w:numPr>
          <w:ilvl w:val="0"/>
          <w:numId w:val="16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entity, of a type not listed above, not formed for the specific purpose of acquiring the securities offered, owning investments in excess of $5,000,000;</w:t>
      </w:r>
    </w:p>
    <w:p>
      <w:pPr>
        <w:spacing w:after="0" w:line="198" w:lineRule="exact"/>
        <w:rPr>
          <w:rFonts w:ascii="MS PGothic" w:cs="MS PGothic" w:eastAsia="MS PGothic" w:hAnsi="MS PGothic"/>
          <w:sz w:val="16"/>
          <w:szCs w:val="16"/>
          <w:color w:val="auto"/>
        </w:rPr>
      </w:pPr>
    </w:p>
    <w:p>
      <w:pPr>
        <w:ind w:left="284" w:right="20" w:hanging="284"/>
        <w:spacing w:after="0" w:line="280" w:lineRule="auto"/>
        <w:tabs>
          <w:tab w:leader="none" w:pos="284" w:val="left"/>
        </w:tabs>
        <w:numPr>
          <w:ilvl w:val="0"/>
          <w:numId w:val="16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natural person holding in good standing one or more professional certifications or designations or credentials from an accredited educational institution that the Commission has designated as qualifying an individual for accredited investor status;</w:t>
      </w:r>
    </w:p>
    <w:p>
      <w:pPr>
        <w:spacing w:after="0" w:line="144" w:lineRule="exact"/>
        <w:rPr>
          <w:rFonts w:ascii="MS PGothic" w:cs="MS PGothic" w:eastAsia="MS PGothic" w:hAnsi="MS PGothic"/>
          <w:sz w:val="16"/>
          <w:szCs w:val="16"/>
          <w:color w:val="auto"/>
        </w:rPr>
      </w:pPr>
    </w:p>
    <w:p>
      <w:pPr>
        <w:jc w:val="both"/>
        <w:ind w:left="284" w:right="20" w:hanging="284"/>
        <w:spacing w:after="0" w:line="265" w:lineRule="auto"/>
        <w:tabs>
          <w:tab w:leader="none" w:pos="284" w:val="left"/>
        </w:tabs>
        <w:numPr>
          <w:ilvl w:val="0"/>
          <w:numId w:val="16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natural person who is a “knowledgeable employee,” as defined in rule 3c-5(a)(4) under the Investment Company Act of 1940 (17 CFR 270.3c-5(a)(4)), of the issuer of the securities being offered or sold where the issuer would be an investment company, as defined in section 3 of such act, but for the exclusion provided by either section 3(c)(1) or section 3(c)(7) of such Act;</w:t>
      </w:r>
    </w:p>
    <w:p>
      <w:pPr>
        <w:spacing w:after="0" w:line="155" w:lineRule="exact"/>
        <w:rPr>
          <w:rFonts w:ascii="MS PGothic" w:cs="MS PGothic" w:eastAsia="MS PGothic" w:hAnsi="MS PGothic"/>
          <w:sz w:val="16"/>
          <w:szCs w:val="16"/>
          <w:color w:val="auto"/>
        </w:rPr>
      </w:pPr>
    </w:p>
    <w:p>
      <w:pPr>
        <w:jc w:val="both"/>
        <w:ind w:left="284" w:hanging="284"/>
        <w:spacing w:after="0" w:line="290" w:lineRule="auto"/>
        <w:tabs>
          <w:tab w:leader="none" w:pos="284" w:val="left"/>
        </w:tabs>
        <w:numPr>
          <w:ilvl w:val="0"/>
          <w:numId w:val="163"/>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Any “family office,” as defined in rule 202(a)(11)(G)–1 under the Investment Advisers Act of 1940 (17 CFR 275.202(a)(11)(G)–1): (i) With assets under management in excess of $5,000,000, (ii) That is not formed for the specific purpose of acquiring the securities offered, and (iii) Whose prospective investment is directed by a person who has such knowledge and experience in financial and business matters that such family office is capable of evaluating the merits and risks of the prospective investment; and</w:t>
      </w:r>
    </w:p>
    <w:p>
      <w:pPr>
        <w:spacing w:after="0" w:line="139" w:lineRule="exact"/>
        <w:rPr>
          <w:rFonts w:ascii="MS PGothic" w:cs="MS PGothic" w:eastAsia="MS PGothic" w:hAnsi="MS PGothic"/>
          <w:sz w:val="15"/>
          <w:szCs w:val="15"/>
          <w:color w:val="auto"/>
        </w:rPr>
      </w:pPr>
    </w:p>
    <w:p>
      <w:pPr>
        <w:ind w:left="284" w:right="20" w:hanging="284"/>
        <w:spacing w:after="0" w:line="280" w:lineRule="auto"/>
        <w:tabs>
          <w:tab w:leader="none" w:pos="284" w:val="left"/>
        </w:tabs>
        <w:numPr>
          <w:ilvl w:val="0"/>
          <w:numId w:val="16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“family client,” as defined in rule 202(a)(11)(G)–1 under the Investment Advisers Act of 1940 (17 CFR 275.202(a)(11)(G)–1), of a family office meeting the requirements in paragraph (a)(12) of this section 501(a) and whose prospective investment in the issuer is directed by such family office pursuant to paragraph (a)(12)(iii).</w:t>
      </w:r>
    </w:p>
    <w:p>
      <w:pPr>
        <w:spacing w:after="0" w:line="144" w:lineRule="exact"/>
        <w:rPr>
          <w:sz w:val="20"/>
          <w:szCs w:val="20"/>
          <w:color w:val="auto"/>
        </w:rPr>
      </w:pPr>
    </w:p>
    <w:p>
      <w:pPr>
        <w:ind w:left="4"/>
        <w:spacing w:after="0"/>
        <w:tabs>
          <w:tab w:leader="none" w:pos="6744" w:val="left"/>
        </w:tabs>
        <w:rPr>
          <w:sz w:val="20"/>
          <w:szCs w:val="20"/>
          <w:color w:val="auto"/>
        </w:rPr>
      </w:pPr>
      <w:r>
        <w:rPr>
          <w:rFonts w:ascii="Times New Roman" w:cs="Times New Roman" w:eastAsia="Times New Roman" w:hAnsi="Times New Roman"/>
          <w:sz w:val="16"/>
          <w:szCs w:val="16"/>
          <w:color w:val="auto"/>
        </w:rPr>
        <w:t>[Specify which tests: ___________________________________</w:t>
      </w:r>
      <w:r>
        <w:rPr>
          <w:sz w:val="20"/>
          <w:szCs w:val="20"/>
          <w:color w:val="auto"/>
        </w:rPr>
        <w:tab/>
      </w:r>
      <w:r>
        <w:rPr>
          <w:rFonts w:ascii="Times New Roman" w:cs="Times New Roman" w:eastAsia="Times New Roman" w:hAnsi="Times New Roman"/>
          <w:sz w:val="16"/>
          <w:szCs w:val="16"/>
          <w:color w:val="auto"/>
        </w:rPr>
        <w:t>]</w:t>
      </w:r>
    </w:p>
    <w:p>
      <w:pPr>
        <w:spacing w:after="0" w:line="234" w:lineRule="exact"/>
        <w:rPr>
          <w:sz w:val="20"/>
          <w:szCs w:val="20"/>
          <w:color w:val="auto"/>
        </w:rPr>
      </w:pPr>
    </w:p>
    <w:p>
      <w:pPr>
        <w:ind w:left="6764"/>
        <w:spacing w:after="0"/>
        <w:rPr>
          <w:sz w:val="20"/>
          <w:szCs w:val="20"/>
          <w:color w:val="auto"/>
        </w:rPr>
      </w:pPr>
      <w:r>
        <w:rPr>
          <w:rFonts w:ascii="Times New Roman" w:cs="Times New Roman" w:eastAsia="Times New Roman" w:hAnsi="Times New Roman"/>
          <w:sz w:val="16"/>
          <w:szCs w:val="16"/>
          <w:color w:val="auto"/>
        </w:rPr>
        <w:t>SUBSCRIBER:</w:t>
      </w:r>
    </w:p>
    <w:p>
      <w:pPr>
        <w:spacing w:after="0" w:line="270" w:lineRule="exact"/>
        <w:rPr>
          <w:sz w:val="20"/>
          <w:szCs w:val="20"/>
          <w:color w:val="auto"/>
        </w:rPr>
      </w:pPr>
    </w:p>
    <w:p>
      <w:pPr>
        <w:ind w:left="6764"/>
        <w:spacing w:after="0"/>
        <w:rPr>
          <w:sz w:val="20"/>
          <w:szCs w:val="20"/>
          <w:color w:val="auto"/>
        </w:rPr>
      </w:pPr>
      <w:r>
        <w:rPr>
          <w:rFonts w:ascii="Times New Roman" w:cs="Times New Roman" w:eastAsia="Times New Roman" w:hAnsi="Times New Roman"/>
          <w:sz w:val="16"/>
          <w:szCs w:val="16"/>
          <w:color w:val="auto"/>
        </w:rPr>
        <w:t>Print Name:</w:t>
      </w:r>
    </w:p>
    <w:p>
      <w:pPr>
        <w:spacing w:after="0" w:line="270" w:lineRule="exact"/>
        <w:rPr>
          <w:sz w:val="20"/>
          <w:szCs w:val="20"/>
          <w:color w:val="auto"/>
        </w:rPr>
      </w:pPr>
    </w:p>
    <w:p>
      <w:pPr>
        <w:ind w:left="6764"/>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7620</wp:posOffset>
            </wp:positionV>
            <wp:extent cx="2572385" cy="152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23" w:lineRule="exact"/>
        <w:rPr>
          <w:sz w:val="20"/>
          <w:szCs w:val="20"/>
          <w:color w:val="auto"/>
        </w:rPr>
      </w:pPr>
    </w:p>
    <w:p>
      <w:pPr>
        <w:ind w:left="7204"/>
        <w:spacing w:after="0"/>
        <w:rPr>
          <w:sz w:val="20"/>
          <w:szCs w:val="20"/>
          <w:color w:val="auto"/>
        </w:rPr>
      </w:pPr>
      <w:r>
        <w:rPr>
          <w:rFonts w:ascii="Times New Roman" w:cs="Times New Roman" w:eastAsia="Times New Roman" w:hAnsi="Times New Roman"/>
          <w:sz w:val="16"/>
          <w:szCs w:val="16"/>
          <w:color w:val="auto"/>
        </w:rPr>
        <w:t>Name:</w:t>
      </w:r>
    </w:p>
    <w:p>
      <w:pPr>
        <w:spacing w:after="0" w:line="43" w:lineRule="exact"/>
        <w:rPr>
          <w:sz w:val="20"/>
          <w:szCs w:val="20"/>
          <w:color w:val="auto"/>
        </w:rPr>
      </w:pPr>
    </w:p>
    <w:p>
      <w:pPr>
        <w:ind w:left="7204"/>
        <w:spacing w:after="0"/>
        <w:rPr>
          <w:sz w:val="20"/>
          <w:szCs w:val="20"/>
          <w:color w:val="auto"/>
        </w:rPr>
      </w:pPr>
      <w:r>
        <w:rPr>
          <w:rFonts w:ascii="Times New Roman" w:cs="Times New Roman" w:eastAsia="Times New Roman" w:hAnsi="Times New Roman"/>
          <w:sz w:val="16"/>
          <w:szCs w:val="16"/>
          <w:color w:val="auto"/>
        </w:rPr>
        <w:t>Title:</w:t>
      </w:r>
    </w:p>
    <w:p>
      <w:pPr>
        <w:spacing w:after="0" w:line="3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6"/>
          <w:szCs w:val="16"/>
          <w:b w:val="1"/>
          <w:bCs w:val="1"/>
          <w:color w:val="auto"/>
        </w:rPr>
        <w:t>Exhibit 10.2</w:t>
      </w:r>
    </w:p>
    <w:p>
      <w:pPr>
        <w:spacing w:after="0" w:line="1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Execution Version</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SUBSCRIPTION AGREEMENT</w:t>
      </w:r>
    </w:p>
    <w:p>
      <w:pPr>
        <w:spacing w:after="0" w:line="200" w:lineRule="exact"/>
        <w:rPr>
          <w:sz w:val="20"/>
          <w:szCs w:val="20"/>
          <w:color w:val="auto"/>
        </w:rPr>
      </w:pPr>
    </w:p>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This SUBSCRIPTION AGREEMENT (this “</w:t>
      </w:r>
      <w:r>
        <w:rPr>
          <w:rFonts w:ascii="Times New Roman" w:cs="Times New Roman" w:eastAsia="Times New Roman" w:hAnsi="Times New Roman"/>
          <w:sz w:val="16"/>
          <w:szCs w:val="16"/>
          <w:u w:val="single" w:color="auto"/>
          <w:color w:val="auto"/>
        </w:rPr>
        <w:t>Subscription Agreement”)</w:t>
      </w:r>
      <w:r>
        <w:rPr>
          <w:rFonts w:ascii="Times New Roman" w:cs="Times New Roman" w:eastAsia="Times New Roman" w:hAnsi="Times New Roman"/>
          <w:sz w:val="16"/>
          <w:szCs w:val="16"/>
          <w:color w:val="auto"/>
        </w:rPr>
        <w:t xml:space="preserve"> is entered into on July 25, 2022, by and between Ventoux CCM Acquisition Corp., a Delaware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and the undersigned subscriber (“</w:t>
      </w:r>
      <w:r>
        <w:rPr>
          <w:rFonts w:ascii="Times New Roman" w:cs="Times New Roman" w:eastAsia="Times New Roman" w:hAnsi="Times New Roman"/>
          <w:sz w:val="16"/>
          <w:szCs w:val="16"/>
          <w:u w:val="single" w:color="auto"/>
          <w:color w:val="auto"/>
        </w:rPr>
        <w:t>Subscriber</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firstLine="382"/>
        <w:spacing w:after="0" w:line="265" w:lineRule="auto"/>
        <w:rPr>
          <w:sz w:val="20"/>
          <w:szCs w:val="20"/>
          <w:color w:val="auto"/>
        </w:rPr>
      </w:pPr>
      <w:r>
        <w:rPr>
          <w:rFonts w:ascii="Times New Roman" w:cs="Times New Roman" w:eastAsia="Times New Roman" w:hAnsi="Times New Roman"/>
          <w:sz w:val="16"/>
          <w:szCs w:val="16"/>
          <w:color w:val="auto"/>
        </w:rPr>
        <w:t>WHEREAS, on November 10, 2021, the Company entered into a definitive agreement with E la Carte, Inc., a Delaware corporation (“</w:t>
      </w:r>
      <w:r>
        <w:rPr>
          <w:rFonts w:ascii="Times New Roman" w:cs="Times New Roman" w:eastAsia="Times New Roman" w:hAnsi="Times New Roman"/>
          <w:sz w:val="16"/>
          <w:szCs w:val="16"/>
          <w:u w:val="single" w:color="auto"/>
          <w:color w:val="auto"/>
        </w:rPr>
        <w:t>Presto</w:t>
      </w:r>
      <w:r>
        <w:rPr>
          <w:rFonts w:ascii="Times New Roman" w:cs="Times New Roman" w:eastAsia="Times New Roman" w:hAnsi="Times New Roman"/>
          <w:sz w:val="16"/>
          <w:szCs w:val="16"/>
          <w:color w:val="auto"/>
        </w:rPr>
        <w:t>”), and the other parties thereto (as subsequently amended), providing for the combination of the Company and Presto (as amended, the “</w:t>
      </w:r>
      <w:r>
        <w:rPr>
          <w:rFonts w:ascii="Times New Roman" w:cs="Times New Roman" w:eastAsia="Times New Roman" w:hAnsi="Times New Roman"/>
          <w:sz w:val="16"/>
          <w:szCs w:val="16"/>
          <w:u w:val="single" w:color="auto"/>
          <w:color w:val="auto"/>
        </w:rPr>
        <w:t>Transaction Agreement</w:t>
      </w:r>
      <w:r>
        <w:rPr>
          <w:rFonts w:ascii="Times New Roman" w:cs="Times New Roman" w:eastAsia="Times New Roman" w:hAnsi="Times New Roman"/>
          <w:sz w:val="16"/>
          <w:szCs w:val="16"/>
          <w:color w:val="auto"/>
        </w:rPr>
        <w:t>” and the transactions contemplated by the Transaction Agreement, the “</w:t>
      </w:r>
      <w:r>
        <w:rPr>
          <w:rFonts w:ascii="Times New Roman" w:cs="Times New Roman" w:eastAsia="Times New Roman" w:hAnsi="Times New Roman"/>
          <w:sz w:val="16"/>
          <w:szCs w:val="16"/>
          <w:u w:val="single" w:color="auto"/>
          <w:color w:val="auto"/>
        </w:rPr>
        <w:t>Transaction</w:t>
      </w:r>
      <w:r>
        <w:rPr>
          <w:rFonts w:ascii="Times New Roman" w:cs="Times New Roman" w:eastAsia="Times New Roman" w:hAnsi="Times New Roman"/>
          <w:sz w:val="16"/>
          <w:szCs w:val="16"/>
          <w:color w:val="auto"/>
        </w:rPr>
        <w:t>”);</w:t>
      </w:r>
    </w:p>
    <w:p>
      <w:pPr>
        <w:spacing w:after="0" w:line="155"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6"/>
          <w:szCs w:val="16"/>
          <w:color w:val="auto"/>
        </w:rPr>
        <w:t>WHEREAS, in connection with the Transaction, Subscriber desires to subscribe for and purchase from the Company, immediately prior to the consummation of the Transaction, that number of shares of the Company’s common stock, par value $0.0001 per share (the “</w:t>
      </w:r>
      <w:r>
        <w:rPr>
          <w:rFonts w:ascii="Times New Roman" w:cs="Times New Roman" w:eastAsia="Times New Roman" w:hAnsi="Times New Roman"/>
          <w:sz w:val="16"/>
          <w:szCs w:val="16"/>
          <w:u w:val="single" w:color="auto"/>
          <w:color w:val="auto"/>
        </w:rPr>
        <w:t>Common Stock</w:t>
      </w:r>
      <w:r>
        <w:rPr>
          <w:rFonts w:ascii="Times New Roman" w:cs="Times New Roman" w:eastAsia="Times New Roman" w:hAnsi="Times New Roman"/>
          <w:sz w:val="16"/>
          <w:szCs w:val="16"/>
          <w:color w:val="auto"/>
        </w:rPr>
        <w:t>”), set forth on the signature page hereto (the “</w:t>
      </w:r>
      <w:r>
        <w:rPr>
          <w:rFonts w:ascii="Times New Roman" w:cs="Times New Roman" w:eastAsia="Times New Roman" w:hAnsi="Times New Roman"/>
          <w:sz w:val="16"/>
          <w:szCs w:val="16"/>
          <w:u w:val="single" w:color="auto"/>
          <w:color w:val="auto"/>
        </w:rPr>
        <w:t>Subscribed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Shares</w:t>
      </w:r>
      <w:r>
        <w:rPr>
          <w:rFonts w:ascii="Times New Roman" w:cs="Times New Roman" w:eastAsia="Times New Roman" w:hAnsi="Times New Roman"/>
          <w:sz w:val="16"/>
          <w:szCs w:val="16"/>
          <w:color w:val="auto"/>
        </w:rPr>
        <w:t>”) for a purchase price of $10.00 per share (the “</w:t>
      </w:r>
      <w:r>
        <w:rPr>
          <w:rFonts w:ascii="Times New Roman" w:cs="Times New Roman" w:eastAsia="Times New Roman" w:hAnsi="Times New Roman"/>
          <w:sz w:val="16"/>
          <w:szCs w:val="16"/>
          <w:u w:val="single" w:color="auto"/>
          <w:color w:val="auto"/>
        </w:rPr>
        <w:t>Per Share Price</w:t>
      </w:r>
      <w:r>
        <w:rPr>
          <w:rFonts w:ascii="Times New Roman" w:cs="Times New Roman" w:eastAsia="Times New Roman" w:hAnsi="Times New Roman"/>
          <w:sz w:val="16"/>
          <w:szCs w:val="16"/>
          <w:color w:val="auto"/>
        </w:rPr>
        <w:t>” and the aggregate of such Per Share Price for all Subscribed Shares being referred to herein as the “</w:t>
      </w:r>
      <w:r>
        <w:rPr>
          <w:rFonts w:ascii="Times New Roman" w:cs="Times New Roman" w:eastAsia="Times New Roman" w:hAnsi="Times New Roman"/>
          <w:sz w:val="16"/>
          <w:szCs w:val="16"/>
          <w:u w:val="single" w:color="auto"/>
          <w:color w:val="auto"/>
        </w:rPr>
        <w:t>Purchase Price</w:t>
      </w:r>
      <w:r>
        <w:rPr>
          <w:rFonts w:ascii="Times New Roman" w:cs="Times New Roman" w:eastAsia="Times New Roman" w:hAnsi="Times New Roman"/>
          <w:sz w:val="16"/>
          <w:szCs w:val="16"/>
          <w:color w:val="auto"/>
        </w:rPr>
        <w:t>”), and the Company desires to issue and sell to Subscriber the Subscribed Shares in consideration of the payment of the Purchase Price by or on behalf of Subscriber to the Company; and</w:t>
      </w:r>
    </w:p>
    <w:p>
      <w:pPr>
        <w:spacing w:after="0" w:line="162" w:lineRule="exact"/>
        <w:rPr>
          <w:sz w:val="20"/>
          <w:szCs w:val="20"/>
          <w:color w:val="auto"/>
        </w:rPr>
      </w:pPr>
    </w:p>
    <w:p>
      <w:pPr>
        <w:jc w:val="both"/>
        <w:ind w:firstLine="382"/>
        <w:spacing w:after="0" w:line="252" w:lineRule="auto"/>
        <w:rPr>
          <w:sz w:val="20"/>
          <w:szCs w:val="20"/>
          <w:color w:val="auto"/>
        </w:rPr>
      </w:pPr>
      <w:r>
        <w:rPr>
          <w:rFonts w:ascii="Times New Roman" w:cs="Times New Roman" w:eastAsia="Times New Roman" w:hAnsi="Times New Roman"/>
          <w:sz w:val="16"/>
          <w:szCs w:val="16"/>
          <w:color w:val="auto"/>
        </w:rPr>
        <w:t>WHEREAS, substantially concurrently with the execution of the Transaction Agreement or prior to the closing date of the Transaction (the “</w:t>
      </w:r>
      <w:r>
        <w:rPr>
          <w:rFonts w:ascii="Times New Roman" w:cs="Times New Roman" w:eastAsia="Times New Roman" w:hAnsi="Times New Roman"/>
          <w:sz w:val="16"/>
          <w:szCs w:val="16"/>
          <w:u w:val="single" w:color="auto"/>
          <w:color w:val="auto"/>
        </w:rPr>
        <w:t>Closing Date</w:t>
      </w:r>
      <w:r>
        <w:rPr>
          <w:rFonts w:ascii="Times New Roman" w:cs="Times New Roman" w:eastAsia="Times New Roman" w:hAnsi="Times New Roman"/>
          <w:sz w:val="16"/>
          <w:szCs w:val="16"/>
          <w:color w:val="auto"/>
        </w:rPr>
        <w:t>”), the Company entered into or will enter into subscription agreements (the “</w:t>
      </w:r>
      <w:r>
        <w:rPr>
          <w:rFonts w:ascii="Times New Roman" w:cs="Times New Roman" w:eastAsia="Times New Roman" w:hAnsi="Times New Roman"/>
          <w:sz w:val="16"/>
          <w:szCs w:val="16"/>
          <w:u w:val="single" w:color="auto"/>
          <w:color w:val="auto"/>
        </w:rPr>
        <w:t>Other Subscription Agreements</w:t>
      </w:r>
      <w:r>
        <w:rPr>
          <w:rFonts w:ascii="Times New Roman" w:cs="Times New Roman" w:eastAsia="Times New Roman" w:hAnsi="Times New Roman"/>
          <w:sz w:val="16"/>
          <w:szCs w:val="16"/>
          <w:color w:val="auto"/>
        </w:rPr>
        <w:t>” and together with this Subscription Agreement, the “</w:t>
      </w:r>
      <w:r>
        <w:rPr>
          <w:rFonts w:ascii="Times New Roman" w:cs="Times New Roman" w:eastAsia="Times New Roman" w:hAnsi="Times New Roman"/>
          <w:sz w:val="16"/>
          <w:szCs w:val="16"/>
          <w:u w:val="single" w:color="auto"/>
          <w:color w:val="auto"/>
        </w:rPr>
        <w:t>Subscription Agreements</w:t>
      </w:r>
      <w:r>
        <w:rPr>
          <w:rFonts w:ascii="Times New Roman" w:cs="Times New Roman" w:eastAsia="Times New Roman" w:hAnsi="Times New Roman"/>
          <w:sz w:val="16"/>
          <w:szCs w:val="16"/>
          <w:color w:val="auto"/>
        </w:rPr>
        <w:t>”) with certain other accredited investors (the “</w:t>
      </w:r>
      <w:r>
        <w:rPr>
          <w:rFonts w:ascii="Times New Roman" w:cs="Times New Roman" w:eastAsia="Times New Roman" w:hAnsi="Times New Roman"/>
          <w:sz w:val="16"/>
          <w:szCs w:val="16"/>
          <w:u w:val="single" w:color="auto"/>
          <w:color w:val="auto"/>
        </w:rPr>
        <w:t>Other Subscribers</w:t>
      </w:r>
      <w:r>
        <w:rPr>
          <w:rFonts w:ascii="Times New Roman" w:cs="Times New Roman" w:eastAsia="Times New Roman" w:hAnsi="Times New Roman"/>
          <w:sz w:val="16"/>
          <w:szCs w:val="16"/>
          <w:color w:val="auto"/>
        </w:rPr>
        <w:t>” and together with Subscriber, the “</w:t>
      </w:r>
      <w:r>
        <w:rPr>
          <w:rFonts w:ascii="Times New Roman" w:cs="Times New Roman" w:eastAsia="Times New Roman" w:hAnsi="Times New Roman"/>
          <w:sz w:val="16"/>
          <w:szCs w:val="16"/>
          <w:u w:val="single" w:color="auto"/>
          <w:color w:val="auto"/>
        </w:rPr>
        <w:t>Subscribers</w:t>
      </w:r>
      <w:r>
        <w:rPr>
          <w:rFonts w:ascii="Times New Roman" w:cs="Times New Roman" w:eastAsia="Times New Roman" w:hAnsi="Times New Roman"/>
          <w:sz w:val="16"/>
          <w:szCs w:val="16"/>
          <w:color w:val="auto"/>
        </w:rPr>
        <w:t>”), which are on substantially the same terms as the terms of this Subscription Agreement (other than with respect to (t) the amounts, price and types of the Company’s securities to be subscribed for and purchased by the Other Subscribers and any terms relating to such other types of the Company’s securities, (u) certain fees payable by Presto to and certain board observer rights granted to Silver Rock Contingent Credit Fund LP, Silver Rock Tactical Allocation Fund LP, Lake Vineyard Fund LP and Silver Rock Empire Fund LP and their affiliates (collectively, “</w:t>
      </w:r>
      <w:r>
        <w:rPr>
          <w:rFonts w:ascii="Times New Roman" w:cs="Times New Roman" w:eastAsia="Times New Roman" w:hAnsi="Times New Roman"/>
          <w:sz w:val="16"/>
          <w:szCs w:val="16"/>
          <w:u w:val="single" w:color="auto"/>
          <w:color w:val="auto"/>
        </w:rPr>
        <w:t>Silver Rock</w:t>
      </w:r>
      <w:r>
        <w:rPr>
          <w:rFonts w:ascii="Times New Roman" w:cs="Times New Roman" w:eastAsia="Times New Roman" w:hAnsi="Times New Roman"/>
          <w:sz w:val="16"/>
          <w:szCs w:val="16"/>
          <w:color w:val="auto"/>
        </w:rPr>
        <w:t>”), (v) the purchase of Common Stock from the Sponsors (as defined herein), (w) certain rights to nominate a member of the Company’s board of directors after and contingent upon the Closing, (x) certain closing conditions in the Other Subscription Agreements relating to the Notes (as defined below)and certain representations related to the payment of expenses in the Transaction, (y) (i) any rights or benefits granted to an Other Subscriber in connection with such Other Subscriber’s compliance with any law, regulation or policy specifically applicable to such Other Subscriber or in connection with the taxable status of an Other Subscriber and (ii) any rights with respect to the confidentiality or disclosure of an Other Subscriber’s identity and (z) certain registration rights), pursuant to which such investors shall agree or have agreed to purchase on the Closing Date, as applicable (i) shares of Common Stock, at the Per Share Price and (ii) the Company’s convertible senior notes due 2026 (the “</w:t>
      </w:r>
      <w:r>
        <w:rPr>
          <w:rFonts w:ascii="Times New Roman" w:cs="Times New Roman" w:eastAsia="Times New Roman" w:hAnsi="Times New Roman"/>
          <w:sz w:val="16"/>
          <w:szCs w:val="16"/>
          <w:u w:val="single" w:color="auto"/>
          <w:color w:val="auto"/>
        </w:rPr>
        <w:t>Notes</w:t>
      </w:r>
      <w:r>
        <w:rPr>
          <w:rFonts w:ascii="Times New Roman" w:cs="Times New Roman" w:eastAsia="Times New Roman" w:hAnsi="Times New Roman"/>
          <w:sz w:val="16"/>
          <w:szCs w:val="16"/>
          <w:color w:val="auto"/>
        </w:rPr>
        <w:t>”) and related warrants (the “</w:t>
      </w:r>
      <w:r>
        <w:rPr>
          <w:rFonts w:ascii="Times New Roman" w:cs="Times New Roman" w:eastAsia="Times New Roman" w:hAnsi="Times New Roman"/>
          <w:sz w:val="16"/>
          <w:szCs w:val="16"/>
          <w:u w:val="single" w:color="auto"/>
          <w:color w:val="auto"/>
        </w:rPr>
        <w:t>Warrants</w:t>
      </w:r>
      <w:r>
        <w:rPr>
          <w:rFonts w:ascii="Times New Roman" w:cs="Times New Roman" w:eastAsia="Times New Roman" w:hAnsi="Times New Roman"/>
          <w:sz w:val="16"/>
          <w:szCs w:val="16"/>
          <w:color w:val="auto"/>
        </w:rPr>
        <w:t>”) to purchase shares of Common Stock (together with the Subscribed Shares, the “</w:t>
      </w:r>
      <w:r>
        <w:rPr>
          <w:rFonts w:ascii="Times New Roman" w:cs="Times New Roman" w:eastAsia="Times New Roman" w:hAnsi="Times New Roman"/>
          <w:sz w:val="16"/>
          <w:szCs w:val="16"/>
          <w:u w:val="single" w:color="auto"/>
          <w:color w:val="auto"/>
        </w:rPr>
        <w:t>Aggregate Subscribed Securities</w:t>
      </w:r>
      <w:r>
        <w:rPr>
          <w:rFonts w:ascii="Times New Roman" w:cs="Times New Roman" w:eastAsia="Times New Roman" w:hAnsi="Times New Roman"/>
          <w:sz w:val="16"/>
          <w:szCs w:val="16"/>
          <w:color w:val="auto"/>
        </w:rPr>
        <w:t>”); and</w:t>
      </w:r>
    </w:p>
    <w:p>
      <w:pPr>
        <w:spacing w:after="0" w:line="165" w:lineRule="exact"/>
        <w:rPr>
          <w:sz w:val="20"/>
          <w:szCs w:val="20"/>
          <w:color w:val="auto"/>
        </w:rPr>
      </w:pPr>
    </w:p>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WHEREAS, William Blair &amp; Company, L.L.C. (“</w:t>
      </w:r>
      <w:r>
        <w:rPr>
          <w:rFonts w:ascii="Times New Roman" w:cs="Times New Roman" w:eastAsia="Times New Roman" w:hAnsi="Times New Roman"/>
          <w:sz w:val="16"/>
          <w:szCs w:val="16"/>
          <w:u w:val="single" w:color="auto"/>
          <w:color w:val="auto"/>
        </w:rPr>
        <w:t>William Blair</w:t>
      </w:r>
      <w:r>
        <w:rPr>
          <w:rFonts w:ascii="Times New Roman" w:cs="Times New Roman" w:eastAsia="Times New Roman" w:hAnsi="Times New Roman"/>
          <w:sz w:val="16"/>
          <w:szCs w:val="16"/>
          <w:color w:val="auto"/>
        </w:rPr>
        <w:t>”), Truist Securities, Inc. (“</w:t>
      </w:r>
      <w:r>
        <w:rPr>
          <w:rFonts w:ascii="Times New Roman" w:cs="Times New Roman" w:eastAsia="Times New Roman" w:hAnsi="Times New Roman"/>
          <w:sz w:val="16"/>
          <w:szCs w:val="16"/>
          <w:u w:val="single" w:color="auto"/>
          <w:color w:val="auto"/>
        </w:rPr>
        <w:t>Truist</w:t>
      </w:r>
      <w:r>
        <w:rPr>
          <w:rFonts w:ascii="Times New Roman" w:cs="Times New Roman" w:eastAsia="Times New Roman" w:hAnsi="Times New Roman"/>
          <w:sz w:val="16"/>
          <w:szCs w:val="16"/>
          <w:color w:val="auto"/>
        </w:rPr>
        <w:t>”) and Chardan Capital Markets, LLC (“</w:t>
      </w:r>
      <w:r>
        <w:rPr>
          <w:rFonts w:ascii="Times New Roman" w:cs="Times New Roman" w:eastAsia="Times New Roman" w:hAnsi="Times New Roman"/>
          <w:sz w:val="16"/>
          <w:szCs w:val="16"/>
          <w:u w:val="single" w:color="auto"/>
          <w:color w:val="auto"/>
        </w:rPr>
        <w:t>Chardan”</w:t>
      </w:r>
      <w:r>
        <w:rPr>
          <w:rFonts w:ascii="Times New Roman" w:cs="Times New Roman" w:eastAsia="Times New Roman" w:hAnsi="Times New Roman"/>
          <w:sz w:val="16"/>
          <w:szCs w:val="16"/>
          <w:color w:val="auto"/>
        </w:rPr>
        <w:t>) are acting as placement agents to the Company in connection with the issuance and sale of Common Stock to Other Subscribers.</w:t>
      </w:r>
    </w:p>
    <w:p>
      <w:pPr>
        <w:spacing w:after="0" w:line="144" w:lineRule="exact"/>
        <w:rPr>
          <w:sz w:val="20"/>
          <w:szCs w:val="20"/>
          <w:color w:val="auto"/>
        </w:rPr>
      </w:pPr>
    </w:p>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NOW, THEREFORE, in consideration of the foregoing and the mutual representations, warranties and covenants, and subject to the conditions, herein contained, and intending to be legally bound hereby, the parties hereto hereby agree as follows:</w:t>
      </w:r>
    </w:p>
    <w:p>
      <w:pPr>
        <w:spacing w:after="0" w:line="144" w:lineRule="exact"/>
        <w:rPr>
          <w:sz w:val="20"/>
          <w:szCs w:val="20"/>
          <w:color w:val="auto"/>
        </w:rPr>
      </w:pPr>
    </w:p>
    <w:p>
      <w:pPr>
        <w:ind w:right="20" w:firstLine="378"/>
        <w:spacing w:after="0" w:line="280" w:lineRule="auto"/>
        <w:tabs>
          <w:tab w:leader="none" w:pos="542"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Subscription</w:t>
      </w:r>
      <w:r>
        <w:rPr>
          <w:rFonts w:ascii="Times New Roman" w:cs="Times New Roman" w:eastAsia="Times New Roman" w:hAnsi="Times New Roman"/>
          <w:sz w:val="16"/>
          <w:szCs w:val="16"/>
          <w:color w:val="auto"/>
        </w:rPr>
        <w:t>. Subject to the terms and conditions hereof, at the Closing (as defined below), Subscriber hereby agrees to subscribe for and purchase, and the Company hereby agrees to issue and sell to Subscriber, upon the payment of the Purchase Price, the Subscribed Shares (such subscription and issuance, the “</w:t>
      </w:r>
      <w:r>
        <w:rPr>
          <w:rFonts w:ascii="Times New Roman" w:cs="Times New Roman" w:eastAsia="Times New Roman" w:hAnsi="Times New Roman"/>
          <w:sz w:val="16"/>
          <w:szCs w:val="16"/>
          <w:u w:val="single" w:color="auto"/>
          <w:color w:val="auto"/>
        </w:rPr>
        <w:t>Subscription</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360045</wp:posOffset>
            </wp:positionV>
            <wp:extent cx="7148195" cy="152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40" w:name="page141"/>
    <w:bookmarkEnd w:id="140"/>
    <w:p>
      <w:pPr>
        <w:ind w:left="540" w:hanging="162"/>
        <w:spacing w:after="0"/>
        <w:tabs>
          <w:tab w:leader="none" w:pos="540"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Closing</w:t>
      </w:r>
      <w:r>
        <w:rPr>
          <w:rFonts w:ascii="Times New Roman" w:cs="Times New Roman" w:eastAsia="Times New Roman" w:hAnsi="Times New Roman"/>
          <w:sz w:val="16"/>
          <w:szCs w:val="16"/>
          <w:color w:val="auto"/>
        </w:rPr>
        <w:t>.</w:t>
      </w:r>
    </w:p>
    <w:p>
      <w:pPr>
        <w:spacing w:after="0" w:line="198" w:lineRule="exact"/>
        <w:rPr>
          <w:rFonts w:ascii="Times New Roman" w:cs="Times New Roman" w:eastAsia="Times New Roman" w:hAnsi="Times New Roman"/>
          <w:sz w:val="16"/>
          <w:szCs w:val="16"/>
          <w:color w:val="auto"/>
        </w:rPr>
      </w:pPr>
    </w:p>
    <w:p>
      <w:pPr>
        <w:ind w:right="20" w:firstLine="824"/>
        <w:spacing w:after="0" w:line="280" w:lineRule="auto"/>
        <w:tabs>
          <w:tab w:leader="none" w:pos="980" w:val="left"/>
        </w:tabs>
        <w:numPr>
          <w:ilvl w:val="1"/>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terms of this Subscription Agreement, the consummation of the Subscription contemplated hereby (the “</w:t>
      </w:r>
      <w:r>
        <w:rPr>
          <w:rFonts w:ascii="Times New Roman" w:cs="Times New Roman" w:eastAsia="Times New Roman" w:hAnsi="Times New Roman"/>
          <w:sz w:val="16"/>
          <w:szCs w:val="16"/>
          <w:u w:val="single" w:color="auto"/>
          <w:color w:val="auto"/>
        </w:rPr>
        <w:t>Closing</w:t>
      </w:r>
      <w:r>
        <w:rPr>
          <w:rFonts w:ascii="Times New Roman" w:cs="Times New Roman" w:eastAsia="Times New Roman" w:hAnsi="Times New Roman"/>
          <w:sz w:val="16"/>
          <w:szCs w:val="16"/>
          <w:color w:val="auto"/>
        </w:rPr>
        <w:t>”) shall occur on the Closing Date immediately prior to or substantially concurrently with the consummation of the Transaction.</w:t>
      </w:r>
    </w:p>
    <w:p>
      <w:pPr>
        <w:spacing w:after="0" w:line="144" w:lineRule="exact"/>
        <w:rPr>
          <w:rFonts w:ascii="Times New Roman" w:cs="Times New Roman" w:eastAsia="Times New Roman" w:hAnsi="Times New Roman"/>
          <w:sz w:val="16"/>
          <w:szCs w:val="16"/>
          <w:color w:val="auto"/>
        </w:rPr>
      </w:pPr>
    </w:p>
    <w:p>
      <w:pPr>
        <w:jc w:val="both"/>
        <w:ind w:firstLine="824"/>
        <w:spacing w:after="0" w:line="251" w:lineRule="auto"/>
        <w:tabs>
          <w:tab w:leader="none" w:pos="990" w:val="left"/>
        </w:tabs>
        <w:numPr>
          <w:ilvl w:val="1"/>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least five (5) Business Days before the anticipated Closing Date, the Company shall deliver written notice to Subscriber (the “</w:t>
      </w:r>
      <w:r>
        <w:rPr>
          <w:rFonts w:ascii="Times New Roman" w:cs="Times New Roman" w:eastAsia="Times New Roman" w:hAnsi="Times New Roman"/>
          <w:sz w:val="16"/>
          <w:szCs w:val="16"/>
          <w:u w:val="single" w:color="auto"/>
          <w:color w:val="auto"/>
        </w:rPr>
        <w:t>Closing Notice</w:t>
      </w:r>
      <w:r>
        <w:rPr>
          <w:rFonts w:ascii="Times New Roman" w:cs="Times New Roman" w:eastAsia="Times New Roman" w:hAnsi="Times New Roman"/>
          <w:sz w:val="16"/>
          <w:szCs w:val="16"/>
          <w:color w:val="auto"/>
        </w:rPr>
        <w:t xml:space="preserve">”) specifying (i) the anticipated Closing Date and (ii) the wire instructions for delivery of the Purchase Price to the Company. No later than two (2) Business Days after receiving the Closing Notice, Subscriber shall deliver to the Company such information as is reasonably requested in the Closing Notice in order for the Company to issue the Subscribed Shares to Subscriber. Subscriber shall deliver to the Company, no later than one (1) Business Day prior to the Closing Date as set forth in the Closing Notice, (a) the Purchase Price for the Subscribed Shares by wire transfer of United States dollars in immediately available funds to the account specified by the Company in the Closing Notice, such funds to be held by the Company in escrow until the Closing and (b) such information as is reasonably requested in the Closing Notice in order for the Company to issue the Subscribed Shares to Subscriber at the Closing. Upon satisfaction (or, if applicable, waiver) of the conditions set forth in this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xml:space="preserve">, the Company shall deliver to Subscriber (i) at the Closing, the Subscribed Shares in book entry form, free and clear of any liens or other restrictions (other than those arising under this Subscription Agreement or applicable state or federal securities laws), in the name of Subscriber (or its nominee in accordance with its delivery instructions) or to a custodian designated by Subscriber, as applicable, and (ii) written notice from the Company or its transfer agent evidencing the issuance to Subscriber of the Subscribed Shares on and as of the Closing Date. In the event that the consummation of the Transaction does not occur within two (2) Business Days after the anticipated Closing Date specified in the Closing Notice, unless otherwise agreed to in writing by the Company and Subscriber, the Company shall promptly (but in no event later than one (1) Business Day thereafter) return the funds so delivered by Subscriber to the Company by wire transfer in immediately available funds to the account specified by Subscriber and any book entries shall be deemed cancelled. Subscriber shall not be required to deliver to the Company on more than two (2) occasions, the Purchase Price pursuant to a Closing Notice. Notwithstanding such return or cancellation, a failure to close on the anticipated Closing Date shall not, by itself, be deemed to be a failure of any of the conditions to Closing set forth in this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xml:space="preserve"> to be satisfied or waived on or prior to the Closing Date. For the purposes of this Subscription Agreement, “Business Day” means any day other than a Saturday, Sunday or a day on which the Federal Reserve Bank of New York is closed.</w:t>
      </w:r>
    </w:p>
    <w:p>
      <w:pPr>
        <w:spacing w:after="0" w:line="170" w:lineRule="exact"/>
        <w:rPr>
          <w:rFonts w:ascii="Times New Roman" w:cs="Times New Roman" w:eastAsia="Times New Roman" w:hAnsi="Times New Roman"/>
          <w:sz w:val="16"/>
          <w:szCs w:val="16"/>
          <w:color w:val="auto"/>
        </w:rPr>
      </w:pPr>
    </w:p>
    <w:p>
      <w:pPr>
        <w:ind w:right="20" w:firstLine="824"/>
        <w:spacing w:after="0" w:line="280" w:lineRule="auto"/>
        <w:tabs>
          <w:tab w:leader="none" w:pos="980" w:val="left"/>
        </w:tabs>
        <w:numPr>
          <w:ilvl w:val="1"/>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Closing shall be subject to the satisfaction or valid waiver in writing by each of the parties hereto (to the extent a valid waiver is capable of being issued) by the Company, on the one hand, or Subscriber, on the other, of the conditions that, on the Closing Date:</w:t>
      </w:r>
    </w:p>
    <w:p>
      <w:pPr>
        <w:spacing w:after="0" w:line="144" w:lineRule="exact"/>
        <w:rPr>
          <w:rFonts w:ascii="Times New Roman" w:cs="Times New Roman" w:eastAsia="Times New Roman" w:hAnsi="Times New Roman"/>
          <w:sz w:val="16"/>
          <w:szCs w:val="16"/>
          <w:color w:val="auto"/>
        </w:rPr>
      </w:pPr>
    </w:p>
    <w:p>
      <w:pPr>
        <w:jc w:val="both"/>
        <w:ind w:right="20" w:firstLine="1238"/>
        <w:spacing w:after="0" w:line="265" w:lineRule="auto"/>
        <w:tabs>
          <w:tab w:leader="none" w:pos="1438" w:val="left"/>
        </w:tabs>
        <w:numPr>
          <w:ilvl w:val="2"/>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suspension of the qualification of the Common Stock for offering or sale or trading in any jurisdiction, or initiation or threatening of any proceedings for any of such purposes, shall have occurred and the Subscribed Shares shall have been approved for listing on The Nasdaq Stock Market LLC (“</w:t>
      </w:r>
      <w:r>
        <w:rPr>
          <w:rFonts w:ascii="Times New Roman" w:cs="Times New Roman" w:eastAsia="Times New Roman" w:hAnsi="Times New Roman"/>
          <w:sz w:val="16"/>
          <w:szCs w:val="16"/>
          <w:u w:val="single" w:color="auto"/>
          <w:color w:val="auto"/>
        </w:rPr>
        <w:t>NASDAQ</w:t>
      </w:r>
      <w:r>
        <w:rPr>
          <w:rFonts w:ascii="Times New Roman" w:cs="Times New Roman" w:eastAsia="Times New Roman" w:hAnsi="Times New Roman"/>
          <w:sz w:val="16"/>
          <w:szCs w:val="16"/>
          <w:color w:val="auto"/>
        </w:rPr>
        <w:t>”), subject to official notice of issuance;</w:t>
      </w:r>
    </w:p>
    <w:p>
      <w:pPr>
        <w:spacing w:after="0" w:line="155" w:lineRule="exact"/>
        <w:rPr>
          <w:rFonts w:ascii="Times New Roman" w:cs="Times New Roman" w:eastAsia="Times New Roman" w:hAnsi="Times New Roman"/>
          <w:sz w:val="16"/>
          <w:szCs w:val="16"/>
          <w:color w:val="auto"/>
        </w:rPr>
      </w:pPr>
    </w:p>
    <w:p>
      <w:pPr>
        <w:ind w:right="20" w:firstLine="1238"/>
        <w:spacing w:after="0" w:line="280" w:lineRule="auto"/>
        <w:tabs>
          <w:tab w:leader="none" w:pos="1482" w:val="left"/>
        </w:tabs>
        <w:numPr>
          <w:ilvl w:val="2"/>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conditions precedent to the closing of the Transaction set forth in the Transaction Agreement, including the approval of the Company’s stockholders, shall have been satisfied or waived, and the closing of the Transaction shall be scheduled to occur concurrently with or immediately following the Closing;</w:t>
      </w:r>
    </w:p>
    <w:p>
      <w:pPr>
        <w:spacing w:after="0" w:line="144" w:lineRule="exact"/>
        <w:rPr>
          <w:rFonts w:ascii="Times New Roman" w:cs="Times New Roman" w:eastAsia="Times New Roman" w:hAnsi="Times New Roman"/>
          <w:sz w:val="16"/>
          <w:szCs w:val="16"/>
          <w:color w:val="auto"/>
        </w:rPr>
      </w:pPr>
    </w:p>
    <w:p>
      <w:pPr>
        <w:jc w:val="both"/>
        <w:ind w:firstLine="1238"/>
        <w:spacing w:after="0" w:line="255" w:lineRule="auto"/>
        <w:tabs>
          <w:tab w:leader="none" w:pos="1523" w:val="left"/>
        </w:tabs>
        <w:numPr>
          <w:ilvl w:val="2"/>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governmental authority shall have enacted, issued, promulgated, enforced or entered any judgment, order, law, rule or regulation (whether temporary, preliminary or permanent) which is then in effect and has the effect of making consummation of the transactions contemplated hereby illegal or otherwise restraining or prohibiting consummation of the transactions contemplated hereby (except in the case of a governmental authority located outside the United States where such judgment, order, law, rule or regulation would not be reasonably expected to have a Company Material Adverse Effect (as defined below)); and no such governmental authority shall have instituted or threatened in writing a proceeding seeking to impose any such restraint or prohibition (except in the case of a governmental authority located outside the United States where such restraint or prohibition would not be reasonably expected to have a Company Material Adverse Effect).</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41" w:name="page142"/>
    <w:bookmarkEnd w:id="141"/>
    <w:p>
      <w:pPr>
        <w:ind w:right="20" w:firstLine="828"/>
        <w:spacing w:after="0" w:line="280" w:lineRule="auto"/>
        <w:rPr>
          <w:sz w:val="20"/>
          <w:szCs w:val="20"/>
          <w:color w:val="auto"/>
        </w:rPr>
      </w:pPr>
      <w:r>
        <w:rPr>
          <w:rFonts w:ascii="Times New Roman" w:cs="Times New Roman" w:eastAsia="Times New Roman" w:hAnsi="Times New Roman"/>
          <w:sz w:val="16"/>
          <w:szCs w:val="16"/>
          <w:color w:val="auto"/>
        </w:rPr>
        <w:t>d. The obligation of the Company to consummate the Closing shall be subject to the satisfaction or valid waiver in writing by the Company of the additional conditions that, on the Closing Date:</w:t>
      </w:r>
    </w:p>
    <w:p>
      <w:pPr>
        <w:spacing w:after="0" w:line="144" w:lineRule="exact"/>
        <w:rPr>
          <w:sz w:val="20"/>
          <w:szCs w:val="20"/>
          <w:color w:val="auto"/>
        </w:rPr>
      </w:pPr>
    </w:p>
    <w:p>
      <w:pPr>
        <w:jc w:val="both"/>
        <w:ind w:right="20" w:firstLine="1238"/>
        <w:spacing w:after="0" w:line="259" w:lineRule="auto"/>
        <w:tabs>
          <w:tab w:leader="none" w:pos="1433" w:val="left"/>
        </w:tabs>
        <w:numPr>
          <w:ilvl w:val="1"/>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representations and warranties of Subscriber contained in this Subscription Agreement are true and correct in all material respects (other than (x) those representations and warranties expressly made as of an earlier date, which shall be true and correct in all material respects as of such date, and (y) representations and warranties that are qualified as to materiality or Subscriber Material Adverse Effect (as defined below), which representations and warranties shall be true in all respects) at and as of the Closing Date; and</w:t>
      </w:r>
    </w:p>
    <w:p>
      <w:pPr>
        <w:spacing w:after="0" w:line="161" w:lineRule="exact"/>
        <w:rPr>
          <w:rFonts w:ascii="Times New Roman" w:cs="Times New Roman" w:eastAsia="Times New Roman" w:hAnsi="Times New Roman"/>
          <w:sz w:val="16"/>
          <w:szCs w:val="16"/>
          <w:color w:val="auto"/>
        </w:rPr>
      </w:pPr>
    </w:p>
    <w:p>
      <w:pPr>
        <w:jc w:val="both"/>
        <w:ind w:right="20" w:firstLine="1238"/>
        <w:spacing w:after="0" w:line="265" w:lineRule="auto"/>
        <w:tabs>
          <w:tab w:leader="none" w:pos="1512" w:val="left"/>
        </w:tabs>
        <w:numPr>
          <w:ilvl w:val="1"/>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Subscriber shall have performed, satisfied and complied in all material respects with all covenants, agreements and conditions required by this Subscription Agreement to be performed, satisfied or complied with by it at or prior to the Closing, except where the failure of such performance or compliance would not reasonably be expected to prevent, materially delay or materially impair the ability of the Company to consummate the Closing.</w:t>
      </w:r>
    </w:p>
    <w:p>
      <w:pPr>
        <w:spacing w:after="0" w:line="155" w:lineRule="exact"/>
        <w:rPr>
          <w:rFonts w:ascii="Times New Roman" w:cs="Times New Roman" w:eastAsia="Times New Roman" w:hAnsi="Times New Roman"/>
          <w:sz w:val="16"/>
          <w:szCs w:val="16"/>
          <w:color w:val="auto"/>
        </w:rPr>
      </w:pPr>
    </w:p>
    <w:p>
      <w:pPr>
        <w:ind w:left="980" w:hanging="156"/>
        <w:spacing w:after="0"/>
        <w:tabs>
          <w:tab w:leader="none" w:pos="980" w:val="left"/>
        </w:tabs>
        <w:numPr>
          <w:ilvl w:val="0"/>
          <w:numId w:val="1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obligation of Subscriber to consummate the Closing shall be subject to the satisfaction or valid waiver by Subscriber of the additional conditions that, on the</w:t>
      </w:r>
    </w:p>
    <w:p>
      <w:pPr>
        <w:spacing w:after="0" w:line="35"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Closing Date:</w:t>
      </w:r>
    </w:p>
    <w:p>
      <w:pPr>
        <w:spacing w:after="0" w:line="181" w:lineRule="exact"/>
        <w:rPr>
          <w:rFonts w:ascii="Times New Roman" w:cs="Times New Roman" w:eastAsia="Times New Roman" w:hAnsi="Times New Roman"/>
          <w:sz w:val="15"/>
          <w:szCs w:val="15"/>
          <w:color w:val="auto"/>
        </w:rPr>
      </w:pPr>
    </w:p>
    <w:p>
      <w:pPr>
        <w:jc w:val="both"/>
        <w:ind w:firstLine="1238"/>
        <w:spacing w:after="0" w:line="259" w:lineRule="auto"/>
        <w:tabs>
          <w:tab w:leader="none" w:pos="1442" w:val="left"/>
        </w:tabs>
        <w:numPr>
          <w:ilvl w:val="1"/>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representations and warranties of the Company contained in this Subscription Agreement are true and correct in all material respects (other than (x) those representations and warranties expressly made as of an earlier date, which shall be true and correct in all material respects as of such date, and (y) representations and warranties that are qualified as to materiality or Company Material Adverse Effect (as defined below), which representations and warranties shall be true in all respects) at and as of the Closing Date;</w:t>
      </w:r>
    </w:p>
    <w:p>
      <w:pPr>
        <w:spacing w:after="0" w:line="161" w:lineRule="exact"/>
        <w:rPr>
          <w:rFonts w:ascii="Times New Roman" w:cs="Times New Roman" w:eastAsia="Times New Roman" w:hAnsi="Times New Roman"/>
          <w:sz w:val="16"/>
          <w:szCs w:val="16"/>
          <w:color w:val="auto"/>
        </w:rPr>
      </w:pPr>
    </w:p>
    <w:p>
      <w:pPr>
        <w:ind w:right="20" w:firstLine="1238"/>
        <w:spacing w:after="0" w:line="280" w:lineRule="auto"/>
        <w:tabs>
          <w:tab w:leader="none" w:pos="1502" w:val="left"/>
        </w:tabs>
        <w:numPr>
          <w:ilvl w:val="1"/>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performed, satisfied and complied in all material respects with all covenants, agreements and conditions required by this Subscription Agreement to be performed, satisfied or complied with by it at or prior to the Closing;</w:t>
      </w:r>
    </w:p>
    <w:p>
      <w:pPr>
        <w:spacing w:after="0" w:line="144" w:lineRule="exact"/>
        <w:rPr>
          <w:rFonts w:ascii="Times New Roman" w:cs="Times New Roman" w:eastAsia="Times New Roman" w:hAnsi="Times New Roman"/>
          <w:sz w:val="16"/>
          <w:szCs w:val="16"/>
          <w:color w:val="auto"/>
        </w:rPr>
      </w:pPr>
    </w:p>
    <w:p>
      <w:pPr>
        <w:jc w:val="both"/>
        <w:ind w:right="20" w:firstLine="1238"/>
        <w:spacing w:after="0" w:line="265" w:lineRule="auto"/>
        <w:tabs>
          <w:tab w:leader="none" w:pos="1523" w:val="left"/>
        </w:tabs>
        <w:numPr>
          <w:ilvl w:val="1"/>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shall have been no amendment, waiver or modification to the Transaction Agreement after the date hereof that materially and adversely affects the Company or the economic benefits that Subscriber would reasonably expect to receive under this Subscription Agreement without having received Subscriber’s prior written consent;</w:t>
      </w:r>
    </w:p>
    <w:p>
      <w:pPr>
        <w:spacing w:after="0" w:line="155" w:lineRule="exact"/>
        <w:rPr>
          <w:rFonts w:ascii="Times New Roman" w:cs="Times New Roman" w:eastAsia="Times New Roman" w:hAnsi="Times New Roman"/>
          <w:sz w:val="16"/>
          <w:szCs w:val="16"/>
          <w:color w:val="auto"/>
        </w:rPr>
      </w:pPr>
    </w:p>
    <w:p>
      <w:pPr>
        <w:jc w:val="both"/>
        <w:ind w:firstLine="1238"/>
        <w:spacing w:after="0" w:line="253" w:lineRule="auto"/>
        <w:tabs>
          <w:tab w:leader="none" w:pos="1528" w:val="left"/>
        </w:tabs>
        <w:numPr>
          <w:ilvl w:val="1"/>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not have entered into any Other Subscription Agreement relating to Common Stock with a lower Per Share Price or other terms (economic or otherwise) more favorable to such Other Subscriber than as set forth in this Subscription Agreement, other than with respect to (a) the amounts, price and types of the Company’s securities to be subscribed for and purchased by the Other Subscribers and any terms relating to such other types of the Company’s securities, (b) certain fees payable by Presto to and certain board observer rights granted to Silver Rock, (c) the purchase of Common Stock from the Sponsors, (d) certain rights to nominate a member of the Company’s board of directors after and contingent upon the Closing, (e) certain closing conditions in the Other Subscription Agreements relating to the Notes and certain representations related to the payment of expenses in the Transaction, (f) (i) any rights or benefits granted to an Other Subscriber in connection with such Other Subscriber’s compliance with any law, regulation or policy specifically applicable to such Other Subscriber or in connection with the taxable status of an Other Subscriber and (ii) any rights with respect to the confidentiality or disclosure of an Other Subscriber’s identity and (g) certain registration rights;</w:t>
      </w:r>
    </w:p>
    <w:p>
      <w:pPr>
        <w:spacing w:after="0" w:line="169" w:lineRule="exact"/>
        <w:rPr>
          <w:rFonts w:ascii="Times New Roman" w:cs="Times New Roman" w:eastAsia="Times New Roman" w:hAnsi="Times New Roman"/>
          <w:sz w:val="16"/>
          <w:szCs w:val="16"/>
          <w:color w:val="auto"/>
        </w:rPr>
      </w:pPr>
    </w:p>
    <w:p>
      <w:pPr>
        <w:ind w:left="1460" w:hanging="222"/>
        <w:spacing w:after="0"/>
        <w:tabs>
          <w:tab w:leader="none" w:pos="1460" w:val="left"/>
        </w:tabs>
        <w:numPr>
          <w:ilvl w:val="1"/>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has not occurred a Company Material Adverse Effect; and</w:t>
      </w:r>
    </w:p>
    <w:p>
      <w:pPr>
        <w:spacing w:after="0" w:line="198" w:lineRule="exact"/>
        <w:rPr>
          <w:rFonts w:ascii="Times New Roman" w:cs="Times New Roman" w:eastAsia="Times New Roman" w:hAnsi="Times New Roman"/>
          <w:sz w:val="16"/>
          <w:szCs w:val="16"/>
          <w:color w:val="auto"/>
        </w:rPr>
      </w:pPr>
    </w:p>
    <w:p>
      <w:pPr>
        <w:jc w:val="both"/>
        <w:ind w:firstLine="1238"/>
        <w:spacing w:after="0" w:line="257" w:lineRule="auto"/>
        <w:tabs>
          <w:tab w:leader="none" w:pos="1536" w:val="left"/>
        </w:tabs>
        <w:numPr>
          <w:ilvl w:val="1"/>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shall not have received any consideration from any Other Subscriber that is not otherwise contemplated in such Other Subscription Agreement as in effect as of the date hereof in order to, directly or indirectly, induce the Company or any Subsidiary (i) to treat such Other Subscriber in a manner that is more favorable than the Subscriber, or (ii) to treat the Subscriber in a manner that is less favorable than any Other Subscriber;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the determination of whether the Subscriber has been treated more or less favorably than any Other Subscriber shall disregard any other securities (other than the Subscribed Shares) of the Company purchased by the Subscriber or Other Subscriber, respectively.</w:t>
      </w:r>
    </w:p>
    <w:p>
      <w:pPr>
        <w:spacing w:after="0" w:line="162" w:lineRule="exact"/>
        <w:rPr>
          <w:rFonts w:ascii="Times New Roman" w:cs="Times New Roman" w:eastAsia="Times New Roman" w:hAnsi="Times New Roman"/>
          <w:sz w:val="16"/>
          <w:szCs w:val="16"/>
          <w:color w:val="auto"/>
        </w:rPr>
      </w:pPr>
    </w:p>
    <w:p>
      <w:pPr>
        <w:ind w:left="960" w:hanging="136"/>
        <w:spacing w:after="0"/>
        <w:tabs>
          <w:tab w:leader="none" w:pos="960" w:val="left"/>
        </w:tabs>
        <w:numPr>
          <w:ilvl w:val="0"/>
          <w:numId w:val="1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Prior to or at the Closing, Subscriber shall deliver to the Company a duly completed and executed Internal Revenue Service Form W-9 or appropriate Form W-8.</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42" w:name="page143"/>
    <w:bookmarkEnd w:id="142"/>
    <w:p>
      <w:pPr>
        <w:ind w:left="820"/>
        <w:spacing w:after="0"/>
        <w:rPr>
          <w:sz w:val="20"/>
          <w:szCs w:val="20"/>
          <w:color w:val="auto"/>
        </w:rPr>
      </w:pPr>
      <w:r>
        <w:rPr>
          <w:rFonts w:ascii="Times New Roman" w:cs="Times New Roman" w:eastAsia="Times New Roman" w:hAnsi="Times New Roman"/>
          <w:sz w:val="16"/>
          <w:szCs w:val="16"/>
          <w:color w:val="auto"/>
        </w:rPr>
        <w:t>g. For the avoidance of doubt, the Closing shall not be subject to Company’s consummation of the transactions pursuant to the Other Subscription Agreements.</w:t>
      </w:r>
    </w:p>
    <w:p>
      <w:pPr>
        <w:spacing w:after="0" w:line="198" w:lineRule="exact"/>
        <w:rPr>
          <w:sz w:val="20"/>
          <w:szCs w:val="20"/>
          <w:color w:val="auto"/>
        </w:rPr>
      </w:pPr>
    </w:p>
    <w:p>
      <w:pPr>
        <w:ind w:left="540" w:hanging="162"/>
        <w:spacing w:after="0"/>
        <w:tabs>
          <w:tab w:leader="none" w:pos="540"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Company Representations and Warranties</w:t>
      </w:r>
      <w:r>
        <w:rPr>
          <w:rFonts w:ascii="Times New Roman" w:cs="Times New Roman" w:eastAsia="Times New Roman" w:hAnsi="Times New Roman"/>
          <w:sz w:val="16"/>
          <w:szCs w:val="16"/>
          <w:color w:val="auto"/>
        </w:rPr>
        <w:t>. The Company represents and warrants to Subscriber that:</w:t>
      </w:r>
    </w:p>
    <w:p>
      <w:pPr>
        <w:spacing w:after="0" w:line="198" w:lineRule="exact"/>
        <w:rPr>
          <w:rFonts w:ascii="Times New Roman" w:cs="Times New Roman" w:eastAsia="Times New Roman" w:hAnsi="Times New Roman"/>
          <w:sz w:val="16"/>
          <w:szCs w:val="16"/>
          <w:color w:val="auto"/>
        </w:rPr>
      </w:pPr>
    </w:p>
    <w:p>
      <w:pPr>
        <w:jc w:val="both"/>
        <w:ind w:firstLine="824"/>
        <w:spacing w:after="0" w:line="252" w:lineRule="auto"/>
        <w:tabs>
          <w:tab w:leader="none" w:pos="993" w:val="left"/>
        </w:tabs>
        <w:numPr>
          <w:ilvl w:val="1"/>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 is duly organized, validly existing and in good standing under the laws of its jurisdiction of incorporation; (ii) has the requisite power and authority to own, lease and operate its properties, to carry on its business as it is now being conducted and to enter into, deliver and perform its obligations under this Subscription Agreement; and (iii) is duly licensed or qualified to conduct its business and, if applicable, is in good standing under the laws of each jurisdiction (other than its jurisdiction of incorporation) in which the conduct of its business or the ownership of its properties or assets requires such license or qualification, except, with respect to the foregoing clause (iii), where the failure to be in good standing would not reasonably be expected to have a Company Material Adverse Effect. For purposes of this Subscription Agreement, a “</w:t>
      </w:r>
      <w:r>
        <w:rPr>
          <w:rFonts w:ascii="Times New Roman" w:cs="Times New Roman" w:eastAsia="Times New Roman" w:hAnsi="Times New Roman"/>
          <w:sz w:val="16"/>
          <w:szCs w:val="16"/>
          <w:u w:val="single" w:color="auto"/>
          <w:color w:val="auto"/>
        </w:rPr>
        <w:t>Company Material Adverse Effect</w:t>
      </w:r>
      <w:r>
        <w:rPr>
          <w:rFonts w:ascii="Times New Roman" w:cs="Times New Roman" w:eastAsia="Times New Roman" w:hAnsi="Times New Roman"/>
          <w:sz w:val="16"/>
          <w:szCs w:val="16"/>
          <w:color w:val="auto"/>
        </w:rPr>
        <w:t>” means an event, change, development, occurrence, condition or effect with respect to the Company and its subsidiaries, taken together as a whole (on a consolidated basis), that, individually or in the aggregate, (A) would reasonably be expected to have a material adverse effect on the business, financial condition or results of operations of the Company and its subsidiaries, taken together as a whole (on a consolidated basis) or (B) would prevent, materially delay or materially impede the performance by the Company or its subsidiaries of their respective obligations under this Subscription Agreement, including the sale of the Subscribed Shares, the Transaction Agreement or the consummation of the Transaction.</w:t>
      </w:r>
    </w:p>
    <w:p>
      <w:pPr>
        <w:spacing w:after="0" w:line="171" w:lineRule="exact"/>
        <w:rPr>
          <w:rFonts w:ascii="Times New Roman" w:cs="Times New Roman" w:eastAsia="Times New Roman" w:hAnsi="Times New Roman"/>
          <w:sz w:val="16"/>
          <w:szCs w:val="16"/>
          <w:color w:val="auto"/>
        </w:rPr>
      </w:pPr>
    </w:p>
    <w:p>
      <w:pPr>
        <w:jc w:val="both"/>
        <w:ind w:right="20" w:firstLine="824"/>
        <w:spacing w:after="0" w:line="257" w:lineRule="auto"/>
        <w:tabs>
          <w:tab w:leader="none" w:pos="991" w:val="left"/>
        </w:tabs>
        <w:numPr>
          <w:ilvl w:val="1"/>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Closing Date, the Subscribed Shares will be duly authorized and, when issued and delivered to Subscriber against full payment therefor in accordance with the terms of this Subscription Agreement, will be validly issued and will constitute legal, valid and binding obligations of the Company, enforceable against the Company in accordance with their terms, except that the enforcement thereof may be subject to applicable bankruptcy, insolvency or similar laws affecting creditors’ rights generally or by equitable principles relating to enforceability (collectively, the “</w:t>
      </w:r>
      <w:r>
        <w:rPr>
          <w:rFonts w:ascii="Times New Roman" w:cs="Times New Roman" w:eastAsia="Times New Roman" w:hAnsi="Times New Roman"/>
          <w:sz w:val="16"/>
          <w:szCs w:val="16"/>
          <w:u w:val="single" w:color="auto"/>
          <w:color w:val="auto"/>
        </w:rPr>
        <w:t>Enforceability Exceptions</w:t>
      </w:r>
      <w:r>
        <w:rPr>
          <w:rFonts w:ascii="Times New Roman" w:cs="Times New Roman" w:eastAsia="Times New Roman" w:hAnsi="Times New Roman"/>
          <w:sz w:val="16"/>
          <w:szCs w:val="16"/>
          <w:color w:val="auto"/>
        </w:rPr>
        <w:t>”), and will not have been issued in violation of any preemptive rights created under the Company’s organizational documents or the laws of the State of Delaware.</w:t>
      </w:r>
    </w:p>
    <w:p>
      <w:pPr>
        <w:spacing w:after="0" w:line="162" w:lineRule="exact"/>
        <w:rPr>
          <w:rFonts w:ascii="Times New Roman" w:cs="Times New Roman" w:eastAsia="Times New Roman" w:hAnsi="Times New Roman"/>
          <w:sz w:val="16"/>
          <w:szCs w:val="16"/>
          <w:color w:val="auto"/>
        </w:rPr>
      </w:pPr>
    </w:p>
    <w:p>
      <w:pPr>
        <w:jc w:val="both"/>
        <w:ind w:right="20" w:firstLine="824"/>
        <w:spacing w:after="0" w:line="265" w:lineRule="auto"/>
        <w:tabs>
          <w:tab w:leader="none" w:pos="983" w:val="left"/>
        </w:tabs>
        <w:numPr>
          <w:ilvl w:val="1"/>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Subscription Agreement has been duly authorized, executed and delivered by the Company, and assuming the due authorization, execution and delivery of the same by Subscriber, this Subscription Agreement shall constitute the valid and legally binding obligation of the Company, enforceable against the Company in accordance with its terms, except that the enforcement thereof may be subject to the Enforceability Exceptions.</w:t>
      </w:r>
    </w:p>
    <w:p>
      <w:pPr>
        <w:spacing w:after="0" w:line="155" w:lineRule="exact"/>
        <w:rPr>
          <w:rFonts w:ascii="Times New Roman" w:cs="Times New Roman" w:eastAsia="Times New Roman" w:hAnsi="Times New Roman"/>
          <w:sz w:val="16"/>
          <w:szCs w:val="16"/>
          <w:color w:val="auto"/>
        </w:rPr>
      </w:pPr>
    </w:p>
    <w:p>
      <w:pPr>
        <w:jc w:val="both"/>
        <w:ind w:firstLine="824"/>
        <w:spacing w:after="0" w:line="253" w:lineRule="auto"/>
        <w:tabs>
          <w:tab w:leader="none" w:pos="994" w:val="left"/>
        </w:tabs>
        <w:numPr>
          <w:ilvl w:val="1"/>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execution and delivery of this Subscription Agreement, the issuance and sale of the Subscribed Shares and the compliance by the Company with all of the provisions of this Subscription Agreement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the Company pursuant to the terms of (i) any indenture, mortgage, deed of trust, loan agreement, lease, license or other agreement or instrument to which the Company is a party or by which the Company is bound or to which any of the property or assets of the Company is subject; (ii) the organizational documents of the Company; or (iii) any statute or any judgment, order, rule or regulation of any court or governmental agency or body, domestic or foreign, having jurisdiction over the Company or any of its properties that, in the case of clauses (i) and (iii), would reasonably be expected to have a Company Material Adverse Effect or have a material adverse effect on the Company’s ability to consummate the transactions contemplated hereby, including the issuance and sale of the Subscribed Shares.</w:t>
      </w:r>
    </w:p>
    <w:p>
      <w:pPr>
        <w:spacing w:after="0" w:line="169" w:lineRule="exact"/>
        <w:rPr>
          <w:rFonts w:ascii="Times New Roman" w:cs="Times New Roman" w:eastAsia="Times New Roman" w:hAnsi="Times New Roman"/>
          <w:sz w:val="16"/>
          <w:szCs w:val="16"/>
          <w:color w:val="auto"/>
        </w:rPr>
      </w:pPr>
    </w:p>
    <w:p>
      <w:pPr>
        <w:jc w:val="both"/>
        <w:ind w:firstLine="824"/>
        <w:spacing w:after="0" w:line="252" w:lineRule="auto"/>
        <w:tabs>
          <w:tab w:leader="none" w:pos="980" w:val="left"/>
        </w:tabs>
        <w:numPr>
          <w:ilvl w:val="1"/>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Assuming the accuracy of the representations and warranties of Subscriber, the Company is not required to obtain any consent, waiver, authorization or order of, give any notice to, or make any filing or registration with, any court or other federal, state, local or other governmental authority, self-regulatory organization (including the Nasdaq Stock Market) or other person in connection with the execution, delivery and performance of this Subscription Agreement (including, without limitation, the issuance of the Subscribed Shares), other than (i) filings required by applicable state securities laws; (ii) the filing of a shelf registration statement pursuant to </w:t>
      </w:r>
      <w:r>
        <w:rPr>
          <w:rFonts w:ascii="Times New Roman" w:cs="Times New Roman" w:eastAsia="Times New Roman" w:hAnsi="Times New Roman"/>
          <w:sz w:val="16"/>
          <w:szCs w:val="16"/>
          <w:u w:val="single" w:color="auto"/>
          <w:color w:val="auto"/>
        </w:rPr>
        <w:t>Section 6</w:t>
      </w:r>
      <w:r>
        <w:rPr>
          <w:rFonts w:ascii="Times New Roman" w:cs="Times New Roman" w:eastAsia="Times New Roman" w:hAnsi="Times New Roman"/>
          <w:sz w:val="16"/>
          <w:szCs w:val="16"/>
          <w:color w:val="auto"/>
        </w:rPr>
        <w:t xml:space="preserve"> below; (iii) the filing of a Notice of Exempt Offering of Securities on Form D with the United States Securities and Exchange Commission (“</w:t>
      </w:r>
      <w:r>
        <w:rPr>
          <w:rFonts w:ascii="Times New Roman" w:cs="Times New Roman" w:eastAsia="Times New Roman" w:hAnsi="Times New Roman"/>
          <w:sz w:val="16"/>
          <w:szCs w:val="16"/>
          <w:u w:val="single" w:color="auto"/>
          <w:color w:val="auto"/>
        </w:rPr>
        <w:t>Commission</w:t>
      </w:r>
      <w:r>
        <w:rPr>
          <w:rFonts w:ascii="Times New Roman" w:cs="Times New Roman" w:eastAsia="Times New Roman" w:hAnsi="Times New Roman"/>
          <w:sz w:val="16"/>
          <w:szCs w:val="16"/>
          <w:color w:val="auto"/>
        </w:rPr>
        <w:t>”) under Regulation D of the Securities Act of 1933, as amended (the “</w:t>
      </w:r>
      <w:r>
        <w:rPr>
          <w:rFonts w:ascii="Times New Roman" w:cs="Times New Roman" w:eastAsia="Times New Roman" w:hAnsi="Times New Roman"/>
          <w:sz w:val="16"/>
          <w:szCs w:val="16"/>
          <w:u w:val="single" w:color="auto"/>
          <w:color w:val="auto"/>
        </w:rPr>
        <w:t>Securities Act</w:t>
      </w:r>
      <w:r>
        <w:rPr>
          <w:rFonts w:ascii="Times New Roman" w:cs="Times New Roman" w:eastAsia="Times New Roman" w:hAnsi="Times New Roman"/>
          <w:sz w:val="16"/>
          <w:szCs w:val="16"/>
          <w:color w:val="auto"/>
        </w:rPr>
        <w:t>”), if applicable; (iv) those required by the Nasdaq Stock Market, including with respect to obtaining shareholder approval; (v) those required to consummate the Transaction as provided under the Transaction Agreement; (vi) the filing of notification under the Hart-Scott-Rodino Antitrust Improvements Act of 1976, if applicable; (vii) such as have been or will have been obtained, made or given on or prior to the Closing Date, and (viii) the failure of which to obtain would not be reasonably likely to have a Company Material Adverse Effect or have a material adverse effect on the Company’s ability to consummate the transactions contemplated hereby, including the issuance and sale of the Subscribed Shares.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43" w:name="page144"/>
    <w:bookmarkEnd w:id="143"/>
    <w:p>
      <w:pPr>
        <w:jc w:val="both"/>
        <w:ind w:firstLine="828"/>
        <w:spacing w:after="0" w:line="252" w:lineRule="auto"/>
        <w:rPr>
          <w:sz w:val="20"/>
          <w:szCs w:val="20"/>
          <w:color w:val="auto"/>
        </w:rPr>
      </w:pPr>
      <w:r>
        <w:rPr>
          <w:rFonts w:ascii="Times New Roman" w:cs="Times New Roman" w:eastAsia="Times New Roman" w:hAnsi="Times New Roman"/>
          <w:sz w:val="16"/>
          <w:szCs w:val="16"/>
          <w:color w:val="auto"/>
        </w:rPr>
        <w:t>f. As of their respective dates, all reports required to be filed by the Company with the Commission (the “</w:t>
      </w:r>
      <w:r>
        <w:rPr>
          <w:rFonts w:ascii="Times New Roman" w:cs="Times New Roman" w:eastAsia="Times New Roman" w:hAnsi="Times New Roman"/>
          <w:sz w:val="16"/>
          <w:szCs w:val="16"/>
          <w:u w:val="single" w:color="auto"/>
          <w:color w:val="auto"/>
        </w:rPr>
        <w:t>SEC Reports</w:t>
      </w:r>
      <w:r>
        <w:rPr>
          <w:rFonts w:ascii="Times New Roman" w:cs="Times New Roman" w:eastAsia="Times New Roman" w:hAnsi="Times New Roman"/>
          <w:sz w:val="16"/>
          <w:szCs w:val="16"/>
          <w:color w:val="auto"/>
        </w:rPr>
        <w:t>”) complied in all material respects with the requirements of the Securities Act and the Securities Exchange Act of 1934, as amended (the “</w:t>
      </w:r>
      <w:r>
        <w:rPr>
          <w:rFonts w:ascii="Times New Roman" w:cs="Times New Roman" w:eastAsia="Times New Roman" w:hAnsi="Times New Roman"/>
          <w:sz w:val="16"/>
          <w:szCs w:val="16"/>
          <w:u w:val="single" w:color="auto"/>
          <w:color w:val="auto"/>
        </w:rPr>
        <w:t>Exchange Act</w:t>
      </w:r>
      <w:r>
        <w:rPr>
          <w:rFonts w:ascii="Times New Roman" w:cs="Times New Roman" w:eastAsia="Times New Roman" w:hAnsi="Times New Roman"/>
          <w:sz w:val="16"/>
          <w:szCs w:val="16"/>
          <w:color w:val="auto"/>
        </w:rPr>
        <w:t>”), and the rules and regulations of the Commission promulgated thereunder,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as in effect at the time of filing and fairly present in all material respects the financial position of the Company as of and for the dates thereof and the results of operations and cash flows for the periods then ended, subject, in the case of unaudited statements, to normal, year-end audit adjustments. The description of the business and financial information of Presto set forth in the presentation dated April 2022 (the “</w:t>
      </w:r>
      <w:r>
        <w:rPr>
          <w:rFonts w:ascii="Times New Roman" w:cs="Times New Roman" w:eastAsia="Times New Roman" w:hAnsi="Times New Roman"/>
          <w:sz w:val="16"/>
          <w:szCs w:val="16"/>
          <w:u w:val="single" w:color="auto"/>
          <w:color w:val="auto"/>
        </w:rPr>
        <w:t>Investor Presentation</w:t>
      </w:r>
      <w:r>
        <w:rPr>
          <w:rFonts w:ascii="Times New Roman" w:cs="Times New Roman" w:eastAsia="Times New Roman" w:hAnsi="Times New Roman"/>
          <w:sz w:val="16"/>
          <w:szCs w:val="16"/>
          <w:color w:val="auto"/>
        </w:rPr>
        <w:t>”) made available to the undersigned prior to the execution of this Subscription Agreement, and as amended through the Closing Date, shall be consistent in all material respects with the description of the business and financial information of Presto described or included in the definitive proxy statement of the Company filed in connection with the approval of the Transaction by the stockholders of the Company. Notwithstanding the foregoing, with respect to the proxy statement/prospectus filed or to be filed by the Company with respect to the Transactions or any other information relating to the Transactions or to Presto or any of its affiliates included in any SEC Report or filed as an exhibit thereto, the representation and warranty in this sentence is made to the Company’s knowledge.</w:t>
      </w:r>
    </w:p>
    <w:p>
      <w:pPr>
        <w:spacing w:after="0" w:line="165" w:lineRule="exact"/>
        <w:rPr>
          <w:sz w:val="20"/>
          <w:szCs w:val="20"/>
          <w:color w:val="auto"/>
        </w:rPr>
      </w:pPr>
    </w:p>
    <w:p>
      <w:pPr>
        <w:jc w:val="both"/>
        <w:ind w:firstLine="828"/>
        <w:spacing w:after="0" w:line="250" w:lineRule="auto"/>
        <w:rPr>
          <w:sz w:val="20"/>
          <w:szCs w:val="20"/>
          <w:color w:val="auto"/>
        </w:rPr>
      </w:pPr>
      <w:r>
        <w:rPr>
          <w:rFonts w:ascii="Times New Roman" w:cs="Times New Roman" w:eastAsia="Times New Roman" w:hAnsi="Times New Roman"/>
          <w:sz w:val="16"/>
          <w:szCs w:val="16"/>
          <w:color w:val="auto"/>
        </w:rPr>
        <w:t>g. As of the date hereof and as of immediately prior to the Closing, the authorized share capital of the Company consists of 50,000,000 shares of Common stock and 1,000,000 preferred shares, par value $0.0001 per share (“Preferred Shares”). As of the Closing Date (and immediately after the consummation of the Transaction), the authorized share capital of the Company will consist of 180,000,000 shares of Common Stock and 1,500,000 Preferred Shares. As of the date hereof and as of immediately prior to the Closing: (i) 1,255,018 shares of Common Stock (excluding shares of Common Stock that are owned by the Sponsors and other insiders of the Company (the “Founder Shares”)), 4,312,500 Founder Shares and no Preferred Shares were issued and outstanding; (ii) 17,250,000 public warrants, each exercisable to purchase one-half of one share of Common Stock at $11.50 per full share and 6,675,000 private placement warrants, (including 900,000 private placement warrants that will be cancelled at the Closing Date) each exercisable to purchase one share of Common Stock at $11.50 per full share (together “</w:t>
      </w:r>
      <w:r>
        <w:rPr>
          <w:rFonts w:ascii="Times New Roman" w:cs="Times New Roman" w:eastAsia="Times New Roman" w:hAnsi="Times New Roman"/>
          <w:sz w:val="16"/>
          <w:szCs w:val="16"/>
          <w:u w:val="single" w:color="auto"/>
          <w:color w:val="auto"/>
        </w:rPr>
        <w:t>Warrants</w:t>
      </w:r>
      <w:r>
        <w:rPr>
          <w:rFonts w:ascii="Times New Roman" w:cs="Times New Roman" w:eastAsia="Times New Roman" w:hAnsi="Times New Roman"/>
          <w:sz w:val="16"/>
          <w:szCs w:val="16"/>
          <w:color w:val="auto"/>
        </w:rPr>
        <w:t>”), were issued and outstanding; (iii) 17,250,000 rights, each right entitling the holder to receive one-twentieth of one share of common stock upon the consummation of the Transaction; and (iv) no Common Stock was subject to issuance upon exercise of outstanding options. As of the date hereof, the Company has no outstanding long-term indebtedness for borrowed money that is or would be required to be recognized as a long-term liability in accordance with generally accepted accounting principles (other than fees payable under the business combination marketing agreement entered into in connection with its initial public offering and/or warrant liability accounting treatment of the Company’s private placement warrants and/or public warrants) and will not have any long-term indebtedness for borrowed money that is or would be required to be recognized as a long-term liability in accordance with generally accepted accounting principles immediately prior to and as of the Closing (other than indebtedness disclosed in the SEC Reports or the Company’s registration statement on Form S-4 (No. 333-263516), as amended, prior to the Closing Date) and all outstanding convertible promissory notes heretofore issued by Presto will have been converted into Common Stock pursuant to the terms of the Transaction Agreement as of the Closing. Immediately following the Closing, (i) 2,779,187 Founder Shares (including 90,000 Founder Shares not held by the Sponsors) and 6,675,000 private placement warrants (including 900,000 private placement warrants that will be cancelled at the Closing Date) will be fully vested, (ii) 444,500 Founder Shares are subject to vesting pursuant to the vesting provisions set forth in that certain Amended and Restated Sponsors Support Agreement dated July 25, 2022 and (iii) the public warrants will have an exercise price of $8.21. No Warrants are exercisable on or prior to the Closing. All (i) issued and outstanding Common Stock has been duly authorized and validly issued, is fully paid and non-assessable and is not subject to preemptive rights and (ii) outstanding Warrants have been duly authorized and validly issued, are fully paid and are not subject to preemptive rights. As of the date hereof, except as set forth above and pursuant to (i) this Agreement, (ii) the Other Subscription Agreements, (iii) the Transaction Agreement, or (iv) any agreement(s) that the Company may enter into with third parties for the purpose of recapturing or reducing the shares of Common Stock redeemed by public shareholders, (such agreement(s), the “</w:t>
      </w:r>
      <w:r>
        <w:rPr>
          <w:rFonts w:ascii="Times New Roman" w:cs="Times New Roman" w:eastAsia="Times New Roman" w:hAnsi="Times New Roman"/>
          <w:sz w:val="16"/>
          <w:szCs w:val="16"/>
          <w:u w:val="single" w:color="auto"/>
          <w:color w:val="auto"/>
        </w:rPr>
        <w:t>Forward Purchase Agreement</w:t>
      </w:r>
      <w:r>
        <w:rPr>
          <w:rFonts w:ascii="Times New Roman" w:cs="Times New Roman" w:eastAsia="Times New Roman" w:hAnsi="Times New Roman"/>
          <w:sz w:val="16"/>
          <w:szCs w:val="16"/>
          <w:color w:val="auto"/>
        </w:rPr>
        <w:t>”), there are no outstanding options, warrants or other rights to subscribe for, purchase or acquire from the Company any Common Stock or other equity interests in the Company (collectively, “Equity Interests”) or securities convertible into or exchangeable or exercisable for Equity Interests. As of the date hereof, the Company has no subsidiaries and does not own, directly or indirectly, interests or investments (whether equity or debt) in any person, whether incorporated or unincorporated. There are no stockholder agreements, voting trusts or other agreements or understandings to which the Company is a party or by which it is bound relating to the voting of any Equity Interests, other than (A) the letter agreements entered into by the Company in connection with the Company’s initial public offering on December 30, 2020 pursuant to which the Company’s sponsor and the Company’s executive officers and independent directors agreed to vote in favor of any proposed Business Combination (as defined therein), which includes the Transaction, (B) as contemplated by the Transaction Agreement and (C) the Forward Purchase Agreement. With the exception of the Warrants, there are no securities or instruments issued by or to which the Company is a party containing anti-dilution or similar provisions that will be triggered by the issuance of (i) the Subscribed Shares or (ii) the securities to be issued pursuant to any Other Subscription Agreement. Subscriber understands and acknowledges the Sponsors may from time to time enter into various agreements relating to the transfer of the Founder Shares and private placement warrants in furtherance of the Transaction, and that such agreements shall not be in violation of this Subscription Agreement so long as the aggregate number of outstanding Founder Shares or private placement warrants do not increase, the Sponsors shall promptly notify Subscriber if the aggregate number of Founder Shares or private placement warrants decrease as a result of such agreements.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44" w:name="page145"/>
    <w:bookmarkEnd w:id="144"/>
    <w:p>
      <w:pPr>
        <w:jc w:val="both"/>
        <w:ind w:firstLine="828"/>
        <w:spacing w:after="0" w:line="257" w:lineRule="auto"/>
        <w:rPr>
          <w:sz w:val="20"/>
          <w:szCs w:val="20"/>
          <w:color w:val="auto"/>
        </w:rPr>
      </w:pPr>
      <w:r>
        <w:rPr>
          <w:rFonts w:ascii="Times New Roman" w:cs="Times New Roman" w:eastAsia="Times New Roman" w:hAnsi="Times New Roman"/>
          <w:sz w:val="16"/>
          <w:szCs w:val="16"/>
          <w:color w:val="auto"/>
        </w:rPr>
        <w:t xml:space="preserve">h. Except for such matters as have not had and would not be reasonably likely to have a Company Material Adverse Effect or have a material adverse effect on the Company’s ability to consummate the transactions contemplated hereby, including the issuance and sale of the Subscribed Shares, as of the date hereof, there is no (i) suit, action, investigation, proceeding or arbitration before a governmental authority or arbitrator pending, or, to the knowledge of the Company, threatened in writing against the Company or any of its directors or officers in their capacities as such or (ii) judgment, decree, injunction, ruling or order of any governmental authority or arbitrator outstanding </w:t>
      </w:r>
      <w:r>
        <w:rPr>
          <w:rFonts w:ascii="Times New Roman" w:cs="Times New Roman" w:eastAsia="Times New Roman" w:hAnsi="Times New Roman"/>
          <w:sz w:val="16"/>
          <w:szCs w:val="16"/>
          <w:i w:val="1"/>
          <w:iCs w:val="1"/>
          <w:color w:val="auto"/>
        </w:rPr>
        <w:t>against</w:t>
      </w:r>
      <w:r>
        <w:rPr>
          <w:rFonts w:ascii="Times New Roman" w:cs="Times New Roman" w:eastAsia="Times New Roman" w:hAnsi="Times New Roman"/>
          <w:sz w:val="16"/>
          <w:szCs w:val="16"/>
          <w:color w:val="auto"/>
        </w:rPr>
        <w:t xml:space="preserve"> the Company or any of its directors or officers in their capacities as such.</w:t>
      </w:r>
    </w:p>
    <w:p>
      <w:pPr>
        <w:spacing w:after="0" w:line="162" w:lineRule="exact"/>
        <w:rPr>
          <w:sz w:val="20"/>
          <w:szCs w:val="20"/>
          <w:color w:val="auto"/>
        </w:rPr>
      </w:pPr>
    </w:p>
    <w:p>
      <w:pPr>
        <w:jc w:val="both"/>
        <w:ind w:firstLine="828"/>
        <w:spacing w:after="0" w:line="255" w:lineRule="auto"/>
        <w:rPr>
          <w:sz w:val="20"/>
          <w:szCs w:val="20"/>
          <w:color w:val="auto"/>
        </w:rPr>
      </w:pPr>
      <w:r>
        <w:rPr>
          <w:rFonts w:ascii="Times New Roman" w:cs="Times New Roman" w:eastAsia="Times New Roman" w:hAnsi="Times New Roman"/>
          <w:sz w:val="16"/>
          <w:szCs w:val="16"/>
          <w:color w:val="auto"/>
        </w:rPr>
        <w:t>i. The issued and outstanding shares of Common Stock are registered pursuant to Section 12(b) of Exchange Act, and are listed for trading on the Nasdaq Stock Market under the symbol “VTAQ.” There is no suit, action, proceeding or investigation pending or, to the knowledge of the Company, threatened against the Company by the Nasdaq Stock Market or the Commission with respect to any intention by such entity to deregister the shares of Common Stock or prohibit or terminate the listing of the shares of Common Stock on the Nasdaq Stock Market. The Company has taken no action that is designed to terminate the registration of the shares of Common Stock under the Exchange Act. The Company has filed a listing application with NASDAQ for the Subscribed Shares and such application has been, or prior to Closing will be, approved by NASDAQ.</w:t>
      </w:r>
    </w:p>
    <w:p>
      <w:pPr>
        <w:spacing w:after="0" w:line="165" w:lineRule="exact"/>
        <w:rPr>
          <w:sz w:val="20"/>
          <w:szCs w:val="20"/>
          <w:color w:val="auto"/>
        </w:rPr>
      </w:pPr>
    </w:p>
    <w:p>
      <w:pPr>
        <w:jc w:val="both"/>
        <w:ind w:right="20" w:firstLine="828"/>
        <w:spacing w:after="0" w:line="280" w:lineRule="auto"/>
        <w:rPr>
          <w:sz w:val="20"/>
          <w:szCs w:val="20"/>
          <w:color w:val="auto"/>
        </w:rPr>
      </w:pPr>
      <w:r>
        <w:rPr>
          <w:rFonts w:ascii="Times New Roman" w:cs="Times New Roman" w:eastAsia="Times New Roman" w:hAnsi="Times New Roman"/>
          <w:sz w:val="16"/>
          <w:szCs w:val="16"/>
          <w:color w:val="auto"/>
        </w:rPr>
        <w:t>j. Upon consummation of the Transaction, the issued and outstanding shares of Common Stock will be registered pursuant to Section 12(b) of the Exchange Act and will be listed for trading on the Nasdaq Stock Market.</w:t>
      </w:r>
    </w:p>
    <w:p>
      <w:pPr>
        <w:spacing w:after="0" w:line="144" w:lineRule="exact"/>
        <w:rPr>
          <w:sz w:val="20"/>
          <w:szCs w:val="20"/>
          <w:color w:val="auto"/>
        </w:rPr>
      </w:pPr>
    </w:p>
    <w:p>
      <w:pPr>
        <w:jc w:val="both"/>
        <w:ind w:right="20" w:firstLine="828"/>
        <w:spacing w:after="0" w:line="280" w:lineRule="auto"/>
        <w:rPr>
          <w:sz w:val="20"/>
          <w:szCs w:val="20"/>
          <w:color w:val="auto"/>
        </w:rPr>
      </w:pPr>
      <w:r>
        <w:rPr>
          <w:rFonts w:ascii="Times New Roman" w:cs="Times New Roman" w:eastAsia="Times New Roman" w:hAnsi="Times New Roman"/>
          <w:sz w:val="16"/>
          <w:szCs w:val="16"/>
          <w:color w:val="auto"/>
        </w:rPr>
        <w:t xml:space="preserve">k. Assuming the accuracy of Subscriber’s representations and warranties set forth in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xml:space="preserve"> of this Subscription Agreement, no registration under the Securities Act is required for the offer and sale of the Subscribed Shares by the Company to Subscriber.</w:t>
      </w:r>
    </w:p>
    <w:p>
      <w:pPr>
        <w:spacing w:after="0" w:line="14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color w:val="auto"/>
        </w:rPr>
        <w:t>l. No broker or finder is entitled to any brokerage or finder’s fee or commission solely in connection with the sale of the Subscribed Shares to Subscriber.</w:t>
      </w:r>
    </w:p>
    <w:p>
      <w:pPr>
        <w:spacing w:after="0" w:line="198" w:lineRule="exact"/>
        <w:rPr>
          <w:sz w:val="20"/>
          <w:szCs w:val="20"/>
          <w:color w:val="auto"/>
        </w:rPr>
      </w:pPr>
    </w:p>
    <w:p>
      <w:pPr>
        <w:jc w:val="both"/>
        <w:ind w:right="20" w:firstLine="828"/>
        <w:spacing w:after="0" w:line="257" w:lineRule="auto"/>
        <w:rPr>
          <w:sz w:val="20"/>
          <w:szCs w:val="20"/>
          <w:color w:val="auto"/>
        </w:rPr>
      </w:pPr>
      <w:r>
        <w:rPr>
          <w:rFonts w:ascii="Times New Roman" w:cs="Times New Roman" w:eastAsia="Times New Roman" w:hAnsi="Times New Roman"/>
          <w:sz w:val="16"/>
          <w:szCs w:val="16"/>
          <w:color w:val="auto"/>
        </w:rPr>
        <w:t>m. Except for such matters as have not had and would not be reasonably likely to have a Company Material Adverse Effect or have a material adverse effect on the Company’s ability to consummate the transactions contemplated hereby, including the issuance and sale of the Subscribed Shares, the Company is, and has been since its inception, in compliance with all laws applicable to the conduct of the business of the Company. The Company has not received any written, or to its knowledge, other communication from a governmental entity that alleges that the Company is not in compliance with or is in default or violation of any applicable law, except where such noncompliance, default or violation would not be reasonably expected to have, individually or in the aggregate, a Company Material Adverse Effect.</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45" w:name="page146"/>
    <w:bookmarkEnd w:id="145"/>
    <w:p>
      <w:pPr>
        <w:jc w:val="both"/>
        <w:ind w:right="20" w:firstLine="828"/>
        <w:spacing w:after="0" w:line="280" w:lineRule="auto"/>
        <w:rPr>
          <w:sz w:val="20"/>
          <w:szCs w:val="20"/>
          <w:color w:val="auto"/>
        </w:rPr>
      </w:pPr>
      <w:r>
        <w:rPr>
          <w:rFonts w:ascii="Times New Roman" w:cs="Times New Roman" w:eastAsia="Times New Roman" w:hAnsi="Times New Roman"/>
          <w:sz w:val="16"/>
          <w:szCs w:val="16"/>
          <w:color w:val="auto"/>
        </w:rPr>
        <w:t>n. The Company has not in the past nor will it hereafter take any action to sell, offer for sale or solicit offers to buy any securities of the Company that could result in the initial sale of the Subscribed Shares not being exempt from the registration requirements of Section 5 of the Securities Act.</w:t>
      </w:r>
    </w:p>
    <w:p>
      <w:pPr>
        <w:spacing w:after="0" w:line="144" w:lineRule="exact"/>
        <w:rPr>
          <w:sz w:val="20"/>
          <w:szCs w:val="20"/>
          <w:color w:val="auto"/>
        </w:rPr>
      </w:pPr>
    </w:p>
    <w:p>
      <w:pPr>
        <w:jc w:val="both"/>
        <w:ind w:right="20" w:firstLine="828"/>
        <w:spacing w:after="0" w:line="265" w:lineRule="auto"/>
        <w:rPr>
          <w:sz w:val="20"/>
          <w:szCs w:val="20"/>
          <w:color w:val="auto"/>
        </w:rPr>
      </w:pPr>
      <w:r>
        <w:rPr>
          <w:rFonts w:ascii="Times New Roman" w:cs="Times New Roman" w:eastAsia="Times New Roman" w:hAnsi="Times New Roman"/>
          <w:sz w:val="16"/>
          <w:szCs w:val="16"/>
          <w:color w:val="auto"/>
        </w:rPr>
        <w:t>o. The Company has all franchises, permits, licenses and any similar authority necessary for the conduct of its business as now being conducted by it, the lack of which would have a material adverse effect, and to the Company’s knowledge, the Company is not in default in any material respect under any of such franchises, permits, licenses or other authority.</w:t>
      </w:r>
    </w:p>
    <w:p>
      <w:pPr>
        <w:spacing w:after="0" w:line="155" w:lineRule="exact"/>
        <w:rPr>
          <w:sz w:val="20"/>
          <w:szCs w:val="20"/>
          <w:color w:val="auto"/>
        </w:rPr>
      </w:pPr>
    </w:p>
    <w:p>
      <w:pPr>
        <w:jc w:val="both"/>
        <w:ind w:right="20" w:firstLine="828"/>
        <w:spacing w:after="0" w:line="265" w:lineRule="auto"/>
        <w:rPr>
          <w:sz w:val="20"/>
          <w:szCs w:val="20"/>
          <w:color w:val="auto"/>
        </w:rPr>
      </w:pPr>
      <w:r>
        <w:rPr>
          <w:rFonts w:ascii="Times New Roman" w:cs="Times New Roman" w:eastAsia="Times New Roman" w:hAnsi="Times New Roman"/>
          <w:sz w:val="16"/>
          <w:szCs w:val="16"/>
          <w:color w:val="auto"/>
        </w:rPr>
        <w:t>p. There is no action, suit, proceeding or investigation pending or, to the Company’s knowledge, currently threatened in writing against the Company that questions the validity of this Agreement or the right of the Company to enter into this Agreement, or to consummate the transactions contemplated thereby, or that might result, if determined adversely to the Company, in a material adverse effect, or in any material change in the current equity ownership of the Company.</w:t>
      </w:r>
    </w:p>
    <w:p>
      <w:pPr>
        <w:spacing w:after="0" w:line="155" w:lineRule="exact"/>
        <w:rPr>
          <w:sz w:val="20"/>
          <w:szCs w:val="20"/>
          <w:color w:val="auto"/>
        </w:rPr>
      </w:pPr>
    </w:p>
    <w:p>
      <w:pPr>
        <w:jc w:val="both"/>
        <w:ind w:right="20" w:firstLine="828"/>
        <w:spacing w:after="0" w:line="255" w:lineRule="auto"/>
        <w:rPr>
          <w:sz w:val="20"/>
          <w:szCs w:val="20"/>
          <w:color w:val="auto"/>
        </w:rPr>
      </w:pPr>
      <w:r>
        <w:rPr>
          <w:rFonts w:ascii="Times New Roman" w:cs="Times New Roman" w:eastAsia="Times New Roman" w:hAnsi="Times New Roman"/>
          <w:sz w:val="16"/>
          <w:szCs w:val="16"/>
          <w:color w:val="auto"/>
        </w:rPr>
        <w:t>q. To the Company’s knowledge, the Company owns or possesses sufficient legal rights to all (a) patents, patent applications and inventions; (b) trademarks, service marks, trade names, trade dress, logos, domain names or corporate names and registrations and applications for registration thereof, together with all of the goodwill associated therewith; (c) copyrights (registered or unregistered) and copyrightable works and registrations and applications for registrations thereof; (d) computer software, data, and databases and documentation thereof; (e) trade secrets and other confidential information; and (f) licenses, information and proprietary rights and processes necessary for its business as now conducted. The Company has not received any written communications alleging that the Company has violated or, by conducting its business as proposed, would violate any of the patents, trademarks, service marks, trade names, copyrights or trade secrets or other proprietary rights of any other person or entity.</w:t>
      </w:r>
    </w:p>
    <w:p>
      <w:pPr>
        <w:spacing w:after="0" w:line="165" w:lineRule="exact"/>
        <w:rPr>
          <w:sz w:val="20"/>
          <w:szCs w:val="20"/>
          <w:color w:val="auto"/>
        </w:rPr>
      </w:pPr>
    </w:p>
    <w:p>
      <w:pPr>
        <w:jc w:val="both"/>
        <w:ind w:firstLine="828"/>
        <w:spacing w:after="0" w:line="252" w:lineRule="auto"/>
        <w:rPr>
          <w:sz w:val="20"/>
          <w:szCs w:val="20"/>
          <w:color w:val="auto"/>
        </w:rPr>
      </w:pPr>
      <w:r>
        <w:rPr>
          <w:rFonts w:ascii="Times New Roman" w:cs="Times New Roman" w:eastAsia="Times New Roman" w:hAnsi="Times New Roman"/>
          <w:sz w:val="16"/>
          <w:szCs w:val="16"/>
          <w:color w:val="auto"/>
        </w:rPr>
        <w:t>r. The Company has not entered into any subscription agreement, side letter or similar agreement with any investor in connection with such investor’s direct or indirect investment in the Company other than (i) the Transaction Agreement, (ii) any agreement or arrangement contemplated by the Transaction Agreement, which for the avoidance of doubt, includes the Forward Purchase Agreement, (iii) as disclosed in the Company’s filings with the Commission and (iv) the Other Subscription Agreements. The Other Subscription Agreements reflect terms with respect to the purchase of the Notes that are no more favorable to such subscriber thereunder than the terms of this Subscription Agreement other than such Other Subscription Agreements containing any of the following: (t) the amounts, price and types of the Company’s securities to be subscribed for and purchased by the Other Subscribers and any terms relating to such other types of the Company’s securities, (u) certain fees payable by Presto to and certain board observer rights granted to Silver Rock, (v) the purchase of Common Stock from the Sponsors, (w) certain rights to nominate a member of the Company’s board of directors after and contingent upon the Closing, (x) certain closing conditions in the Other Subscription Agreements relating to the Notes and certain representations related to the payment of expenses in the Transaction, (y) (i) any rights or benefits granted to an Other Subscriber in connection with such Other Subscriber’s compliance with any law, regulation or policy specifically applicable to such Other Subscriber or in connection with the taxable status of an Other Subscriber and (ii) any rights with respect to the confidentiality or disclosure of an Other Subscriber’s identity and (z) certain registration rights.</w:t>
      </w:r>
    </w:p>
    <w:p>
      <w:pPr>
        <w:spacing w:after="0" w:line="169" w:lineRule="exact"/>
        <w:rPr>
          <w:sz w:val="20"/>
          <w:szCs w:val="20"/>
          <w:color w:val="auto"/>
        </w:rPr>
      </w:pPr>
    </w:p>
    <w:p>
      <w:pPr>
        <w:jc w:val="both"/>
        <w:ind w:firstLine="828"/>
        <w:spacing w:after="0" w:line="280" w:lineRule="auto"/>
        <w:rPr>
          <w:sz w:val="20"/>
          <w:szCs w:val="20"/>
          <w:color w:val="auto"/>
        </w:rPr>
      </w:pPr>
      <w:r>
        <w:rPr>
          <w:rFonts w:ascii="Times New Roman" w:cs="Times New Roman" w:eastAsia="Times New Roman" w:hAnsi="Times New Roman"/>
          <w:sz w:val="16"/>
          <w:szCs w:val="16"/>
          <w:color w:val="auto"/>
        </w:rPr>
        <w:t>s. The Company will work with Presto to take reasonable steps to negotiate with their service providers to reduce their respective transaction expenses to an aggregate of $7,000,000 to be paid at the consummation of the Transaction.</w:t>
      </w:r>
    </w:p>
    <w:p>
      <w:pPr>
        <w:spacing w:after="0" w:line="144" w:lineRule="exact"/>
        <w:rPr>
          <w:sz w:val="20"/>
          <w:szCs w:val="20"/>
          <w:color w:val="auto"/>
        </w:rPr>
      </w:pPr>
    </w:p>
    <w:p>
      <w:pPr>
        <w:ind w:left="540" w:hanging="162"/>
        <w:spacing w:after="0"/>
        <w:tabs>
          <w:tab w:leader="none" w:pos="540"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Subscriber Representations and Warranties</w:t>
      </w:r>
      <w:r>
        <w:rPr>
          <w:rFonts w:ascii="Times New Roman" w:cs="Times New Roman" w:eastAsia="Times New Roman" w:hAnsi="Times New Roman"/>
          <w:sz w:val="16"/>
          <w:szCs w:val="16"/>
          <w:color w:val="auto"/>
        </w:rPr>
        <w:t>. Subscriber represents and warrants to the Company that:</w:t>
      </w:r>
    </w:p>
    <w:p>
      <w:pPr>
        <w:spacing w:after="0" w:line="198" w:lineRule="exact"/>
        <w:rPr>
          <w:rFonts w:ascii="Times New Roman" w:cs="Times New Roman" w:eastAsia="Times New Roman" w:hAnsi="Times New Roman"/>
          <w:sz w:val="16"/>
          <w:szCs w:val="16"/>
          <w:color w:val="auto"/>
        </w:rPr>
      </w:pPr>
    </w:p>
    <w:p>
      <w:pPr>
        <w:ind w:right="20" w:firstLine="824"/>
        <w:spacing w:after="0" w:line="280" w:lineRule="auto"/>
        <w:tabs>
          <w:tab w:leader="none" w:pos="992" w:val="left"/>
        </w:tabs>
        <w:numPr>
          <w:ilvl w:val="1"/>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Subscriber (i) is duly organized, validly existing and in good standing under the laws of its jurisdiction of incorporation, and (ii) has the requisite power and authority to enter into and perform its obligations under this Subscription Agreement.</w:t>
      </w:r>
    </w:p>
    <w:p>
      <w:pPr>
        <w:spacing w:after="0" w:line="144" w:lineRule="exact"/>
        <w:rPr>
          <w:rFonts w:ascii="Times New Roman" w:cs="Times New Roman" w:eastAsia="Times New Roman" w:hAnsi="Times New Roman"/>
          <w:sz w:val="16"/>
          <w:szCs w:val="16"/>
          <w:color w:val="auto"/>
        </w:rPr>
      </w:pPr>
    </w:p>
    <w:p>
      <w:pPr>
        <w:jc w:val="both"/>
        <w:ind w:right="20" w:firstLine="824"/>
        <w:spacing w:after="0" w:line="259" w:lineRule="auto"/>
        <w:tabs>
          <w:tab w:leader="none" w:pos="997" w:val="left"/>
        </w:tabs>
        <w:numPr>
          <w:ilvl w:val="1"/>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Subscription Agreement has been duly executed and delivered by Subscriber, and assuming the due authorization, execution and delivery of the same by the Company, this Subscription Agreement shall constitute the valid and legally binding obligation of Subscriber, enforceable against Subscriber in accordance with its terms, except as such enforceability may be limited by bankruptcy, insolvency, reorganization, moratorium and similar laws affecting creditors generally and by the availability of equitable remedies.</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46" w:name="page147"/>
    <w:bookmarkEnd w:id="146"/>
    <w:p>
      <w:pPr>
        <w:jc w:val="both"/>
        <w:ind w:left="4" w:right="20" w:firstLine="828"/>
        <w:spacing w:after="0" w:line="253" w:lineRule="auto"/>
        <w:rPr>
          <w:sz w:val="20"/>
          <w:szCs w:val="20"/>
          <w:color w:val="auto"/>
        </w:rPr>
      </w:pPr>
      <w:r>
        <w:rPr>
          <w:rFonts w:ascii="Times New Roman" w:cs="Times New Roman" w:eastAsia="Times New Roman" w:hAnsi="Times New Roman"/>
          <w:sz w:val="16"/>
          <w:szCs w:val="16"/>
          <w:color w:val="auto"/>
        </w:rPr>
        <w:t>c. The execution and delivery of this Subscription Agreement, the purchase of the Subscribed Shares and the compliance by Subscriber with all of the provisions of this Subscription Agreement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Subscriber pursuant to the terms of (i) any indenture, mortgage, deed of trust, loan agreement, lease, license or other agreement or instrument to which Subscriber is a party or by which Subscriber is bound or to which any of the property or assets of Subscriber is subject; (ii) the organizational documents of Subscriber; or (iii) any statute or any judgment, order, rule or regulation of any court or governmental agency or body, domestic or foreign, having jurisdiction over Subscriber or any of its properties that, in the case of clauses (i) and (iii), would reasonably be expected to have a Subscriber Material Adverse Effect. For purposes of this Subscription Agreement, a “</w:t>
      </w:r>
      <w:r>
        <w:rPr>
          <w:rFonts w:ascii="Times New Roman" w:cs="Times New Roman" w:eastAsia="Times New Roman" w:hAnsi="Times New Roman"/>
          <w:sz w:val="16"/>
          <w:szCs w:val="16"/>
          <w:u w:val="single" w:color="auto"/>
          <w:color w:val="auto"/>
        </w:rPr>
        <w:t>Subscriber Material Adverse Effect</w:t>
      </w:r>
      <w:r>
        <w:rPr>
          <w:rFonts w:ascii="Times New Roman" w:cs="Times New Roman" w:eastAsia="Times New Roman" w:hAnsi="Times New Roman"/>
          <w:sz w:val="16"/>
          <w:szCs w:val="16"/>
          <w:color w:val="auto"/>
        </w:rPr>
        <w:t>” means an event, change, development, occurrence, condition or effect with respect to Subscriber that would reasonably be expected to have a material adverse effect on Subscriber’s ability to consummate the transactions contemplated hereby, including the purchase of the Subscribed Shares.</w:t>
      </w:r>
    </w:p>
    <w:p>
      <w:pPr>
        <w:spacing w:after="0" w:line="166" w:lineRule="exact"/>
        <w:rPr>
          <w:sz w:val="20"/>
          <w:szCs w:val="20"/>
          <w:color w:val="auto"/>
        </w:rPr>
      </w:pPr>
    </w:p>
    <w:p>
      <w:pPr>
        <w:ind w:left="824"/>
        <w:spacing w:after="0"/>
        <w:rPr>
          <w:sz w:val="20"/>
          <w:szCs w:val="20"/>
          <w:color w:val="auto"/>
        </w:rPr>
      </w:pPr>
      <w:r>
        <w:rPr>
          <w:rFonts w:ascii="Times New Roman" w:cs="Times New Roman" w:eastAsia="Times New Roman" w:hAnsi="Times New Roman"/>
          <w:sz w:val="16"/>
          <w:szCs w:val="16"/>
          <w:color w:val="auto"/>
        </w:rPr>
        <w:t>d. Subscriber is an “accredited investor” (within the meaning of Rule 501 under the Securities Act) satisfying the applicable requirements set forth on Annex A;</w:t>
      </w:r>
    </w:p>
    <w:p>
      <w:pPr>
        <w:spacing w:after="0" w:line="24" w:lineRule="exact"/>
        <w:rPr>
          <w:sz w:val="20"/>
          <w:szCs w:val="20"/>
          <w:color w:val="auto"/>
        </w:rPr>
      </w:pPr>
    </w:p>
    <w:p>
      <w:pPr>
        <w:jc w:val="both"/>
        <w:ind w:left="4" w:hanging="4"/>
        <w:spacing w:after="0" w:line="250" w:lineRule="auto"/>
        <w:tabs>
          <w:tab w:leader="none" w:pos="239"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acquiring the Subscribed Shares only for its own account and not for the account of others, or if Subscriber is subscribing for the Subscribed Shares as a fiduciary or agent for one or more investor accounts, each owner of such account is an “accredited investor” (within the meaning of Rule 501 under the Securities Act) and Subscriber has full investment discretion with respect to each such account, and the full power and authority to make the acknowledgements, representations and agreements herein on behalf of each owner of each such account, and (iii) is not acquiring the Subscribed Shares with a view to, or for offer or sale in connection with, any distribution thereof in violation of the Securities Act (and has provided the Company with the requested information on Annex A following the signature page hereto). Subscriber has provided to the Company prior to the date of this Subscription Agreement true and correct copies of such documents that verify its status as an “accredited investor,” which documents may include, but are not limited to, bank statements, brokerage statements, Form W-2s, Form 1040s, Form 1099s, Schedule K-1 to Form 1065, and any other documents that the Company may reasonably request, in each case, for the years ended December 31, 2020 and December 31, 2021, respectively.</w:t>
      </w:r>
    </w:p>
    <w:p>
      <w:pPr>
        <w:spacing w:after="0" w:line="170" w:lineRule="exact"/>
        <w:rPr>
          <w:rFonts w:ascii="Times New Roman" w:cs="Times New Roman" w:eastAsia="Times New Roman" w:hAnsi="Times New Roman"/>
          <w:sz w:val="16"/>
          <w:szCs w:val="16"/>
          <w:color w:val="auto"/>
        </w:rPr>
      </w:pPr>
    </w:p>
    <w:p>
      <w:pPr>
        <w:jc w:val="both"/>
        <w:ind w:left="4" w:firstLine="824"/>
        <w:spacing w:after="0" w:line="253" w:lineRule="auto"/>
        <w:tabs>
          <w:tab w:leader="none" w:pos="990" w:val="left"/>
        </w:tabs>
        <w:numPr>
          <w:ilvl w:val="1"/>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Subscriber understands that the Subscribed Shares are being offered in a transaction not involving any public offering within the meaning of the Securities Act and that the Subscribed Shares have not been registered under the Securities Act. Subscriber understands that the Subscribed Shares may not be offered, resold, transferred, pledged or otherwise disposed of by Subscriber absent an effective registration statement under the Securities Act, except (i) to the Company or a subsidiary thereof, or (ii) pursuant to an applicable exemption from the registration requirements of the Securities Act, and, in each of cases (i) and (ii), in accordance with any applicable securities laws of the applicable states and other jurisdictions of the United States, and as a result of these transfer restrictions, Subscriber may not be able to readily resell the Subscribed Shares and may be required to bear the financial risk of an investment in the Subscribed Shares for an indefinite period of time. Subscriber acknowledges and agrees that the Subscribed Shares will not be eligible for offer, resale, transfer, pledge or disposition pursuant to Rule 144 promulgated under the Securities Act (“</w:t>
      </w:r>
      <w:r>
        <w:rPr>
          <w:rFonts w:ascii="Times New Roman" w:cs="Times New Roman" w:eastAsia="Times New Roman" w:hAnsi="Times New Roman"/>
          <w:sz w:val="16"/>
          <w:szCs w:val="16"/>
          <w:u w:val="single" w:color="auto"/>
          <w:color w:val="auto"/>
        </w:rPr>
        <w:t>Rule 144</w:t>
      </w:r>
      <w:r>
        <w:rPr>
          <w:rFonts w:ascii="Times New Roman" w:cs="Times New Roman" w:eastAsia="Times New Roman" w:hAnsi="Times New Roman"/>
          <w:sz w:val="16"/>
          <w:szCs w:val="16"/>
          <w:color w:val="auto"/>
        </w:rPr>
        <w:t>”) until at least one year from the Closing Date. Subscriber understands that it has been advised to consult legal counsel prior to making any offer, resale, pledge or transfer of any of the Subscribed Shares.</w:t>
      </w:r>
    </w:p>
    <w:p>
      <w:pPr>
        <w:spacing w:after="0" w:line="166" w:lineRule="exact"/>
        <w:rPr>
          <w:rFonts w:ascii="Times New Roman" w:cs="Times New Roman" w:eastAsia="Times New Roman" w:hAnsi="Times New Roman"/>
          <w:sz w:val="16"/>
          <w:szCs w:val="16"/>
          <w:color w:val="auto"/>
        </w:rPr>
      </w:pPr>
    </w:p>
    <w:p>
      <w:pPr>
        <w:ind w:left="4" w:right="20" w:firstLine="824"/>
        <w:spacing w:after="0" w:line="280" w:lineRule="auto"/>
        <w:tabs>
          <w:tab w:leader="none" w:pos="970" w:val="left"/>
        </w:tabs>
        <w:numPr>
          <w:ilvl w:val="1"/>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book entry for the Subscribed Shares shall contain a notation, and each certificate (if any) evidencing the Subscribed Shares shall be stamped or otherwise imprinted with a legend, in substantially the following form:</w:t>
      </w:r>
    </w:p>
    <w:p>
      <w:pPr>
        <w:spacing w:after="0" w:line="142" w:lineRule="exact"/>
        <w:rPr>
          <w:sz w:val="20"/>
          <w:szCs w:val="20"/>
          <w:color w:val="auto"/>
        </w:rPr>
      </w:pPr>
    </w:p>
    <w:p>
      <w:pPr>
        <w:jc w:val="both"/>
        <w:ind w:left="4" w:right="20"/>
        <w:spacing w:after="0" w:line="266" w:lineRule="auto"/>
        <w:rPr>
          <w:sz w:val="20"/>
          <w:szCs w:val="20"/>
          <w:color w:val="auto"/>
        </w:rPr>
      </w:pPr>
      <w:r>
        <w:rPr>
          <w:rFonts w:ascii="Times New Roman" w:cs="Times New Roman" w:eastAsia="Times New Roman" w:hAnsi="Times New Roman"/>
          <w:sz w:val="16"/>
          <w:szCs w:val="16"/>
          <w:color w:val="auto"/>
        </w:rPr>
        <w:t>THIS SECURITY HAS NOT BEEN REGISTERED UNDER THE SECURITIES ACT OF 1933, AS AMENDED (THE “</w:t>
      </w:r>
      <w:r>
        <w:rPr>
          <w:rFonts w:ascii="Times New Roman" w:cs="Times New Roman" w:eastAsia="Times New Roman" w:hAnsi="Times New Roman"/>
          <w:sz w:val="16"/>
          <w:szCs w:val="16"/>
          <w:b w:val="1"/>
          <w:bCs w:val="1"/>
          <w:color w:val="auto"/>
        </w:rPr>
        <w:t>SECURITIES ACT</w:t>
      </w:r>
      <w:r>
        <w:rPr>
          <w:rFonts w:ascii="Times New Roman" w:cs="Times New Roman" w:eastAsia="Times New Roman" w:hAnsi="Times New Roman"/>
          <w:sz w:val="16"/>
          <w:szCs w:val="16"/>
          <w:color w:val="auto"/>
        </w:rPr>
        <w:t>”), AND MAY NOT BE OFFERED, SOLD, PLEDGED OR OTHERWISE TRANSFERRED EXCEPT IN ACCORDANCE WITH THE FOLLOWING SENTENCE. BY ITS ACQUISITION HEREOF OR OF A BENEFICIAL INTEREST HEREIN, THE ACQUIRER:</w:t>
      </w:r>
    </w:p>
    <w:p>
      <w:pPr>
        <w:spacing w:after="0" w:line="155" w:lineRule="exact"/>
        <w:rPr>
          <w:sz w:val="20"/>
          <w:szCs w:val="20"/>
          <w:color w:val="auto"/>
        </w:rPr>
      </w:pPr>
    </w:p>
    <w:p>
      <w:pPr>
        <w:jc w:val="both"/>
        <w:ind w:left="4" w:hanging="4"/>
        <w:spacing w:after="0" w:line="257" w:lineRule="auto"/>
        <w:tabs>
          <w:tab w:leader="none" w:pos="238"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THAT IT IS AN “ACCREDITED INVESTOR” (WITHIN THE MEANING OF RULE 501 UNDER THE SECURITIES ACT) AND (2) AGREES FOR THE BENEFIT OF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THAT IT WILL NOT OFFER, SELL, PLEDGE OR OTHERWISE TRANSFER THIS SECURITY OR ANY BENEFICIAL INTEREST HEREIN PRIOR TO THE DATE THAT IS THE LATER OF (X) ONE YEAR AFTER THE LAST ORIGINAL ISSUE DATE HEREOF OR SUCH SHORTER PERIOD OF TIME AS PERMITTED BY RULE 144 UNDER THE SECURITIES ACT OR ANY SUCCESSOR PROVISION THERETO AND (Y) SUCH LATER DATE, IF ANY, AS MAY BE REQUIRED BY APPLICABLE LAW, EXCEPT:</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(A) TO THE COMPANY OR ANY SUBSIDIARY THEREOF, OR</w:t>
      </w:r>
    </w:p>
    <w:p>
      <w:pPr>
        <w:spacing w:after="0" w:line="38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8195" cy="152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147" w:name="page148"/>
    <w:bookmarkEnd w:id="147"/>
    <w:p>
      <w:pPr>
        <w:ind w:left="4" w:right="20" w:hanging="4"/>
        <w:spacing w:after="0" w:line="280" w:lineRule="auto"/>
        <w:tabs>
          <w:tab w:leader="none" w:pos="271"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A REGISTRATION STATEMENT THAT HAS BECOME EFFECTIVE UNDER THE SECURITIES ACT AND IS EFFECTIVE AT THE TIME OF SUCH TRANSFER, OR</w:t>
      </w:r>
    </w:p>
    <w:p>
      <w:pPr>
        <w:spacing w:after="0" w:line="144" w:lineRule="exact"/>
        <w:rPr>
          <w:rFonts w:ascii="Times New Roman" w:cs="Times New Roman" w:eastAsia="Times New Roman" w:hAnsi="Times New Roman"/>
          <w:sz w:val="16"/>
          <w:szCs w:val="16"/>
          <w:color w:val="auto"/>
        </w:rPr>
      </w:pPr>
    </w:p>
    <w:p>
      <w:pPr>
        <w:ind w:left="4" w:right="20" w:hanging="4"/>
        <w:spacing w:after="0" w:line="280" w:lineRule="auto"/>
        <w:tabs>
          <w:tab w:leader="none" w:pos="301"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AN EXEMPTION FROM REGISTRATION PROVIDED BY RULE 144 UNDER THE SECURITIES ACT OR ANY OTHER AVAILABLE EXEMPTION FROM THE REGISTRATION REQUIREMENTS OF THE SECURITIES ACT.</w:t>
      </w:r>
    </w:p>
    <w:p>
      <w:pPr>
        <w:spacing w:after="0" w:line="144" w:lineRule="exact"/>
        <w:rPr>
          <w:sz w:val="20"/>
          <w:szCs w:val="20"/>
          <w:color w:val="auto"/>
        </w:rPr>
      </w:pPr>
    </w:p>
    <w:p>
      <w:pPr>
        <w:jc w:val="both"/>
        <w:ind w:left="4"/>
        <w:spacing w:after="0" w:line="257" w:lineRule="auto"/>
        <w:rPr>
          <w:sz w:val="20"/>
          <w:szCs w:val="20"/>
          <w:color w:val="auto"/>
        </w:rPr>
      </w:pPr>
      <w:r>
        <w:rPr>
          <w:rFonts w:ascii="Times New Roman" w:cs="Times New Roman" w:eastAsia="Times New Roman" w:hAnsi="Times New Roman"/>
          <w:sz w:val="16"/>
          <w:szCs w:val="16"/>
          <w:color w:val="auto"/>
        </w:rPr>
        <w:t>PRIOR TO THE REGISTRATION OF ANY TRANSFER IN ACCORDANCE WITH CLAUSE (2)(C) ABOVE, THE COMPANY AND THE TRANSFER AGENT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62" w:lineRule="exact"/>
        <w:rPr>
          <w:sz w:val="20"/>
          <w:szCs w:val="20"/>
          <w:color w:val="auto"/>
        </w:rPr>
      </w:pPr>
    </w:p>
    <w:p>
      <w:pPr>
        <w:jc w:val="both"/>
        <w:ind w:left="4" w:right="20"/>
        <w:spacing w:after="0" w:line="265" w:lineRule="auto"/>
        <w:rPr>
          <w:sz w:val="20"/>
          <w:szCs w:val="20"/>
          <w:color w:val="auto"/>
        </w:rPr>
      </w:pPr>
      <w:r>
        <w:rPr>
          <w:rFonts w:ascii="Times New Roman" w:cs="Times New Roman" w:eastAsia="Times New Roman" w:hAnsi="Times New Roman"/>
          <w:sz w:val="16"/>
          <w:szCs w:val="16"/>
          <w:color w:val="auto"/>
        </w:rPr>
        <w:t>THE SECURITIES REPRESENTED HEREBY ARE ALSO SUBJECT TO A LOCK-UP PERIOD AS SET FORTH IN THE SUBSCRIPTION AGREEMENT, DATED AS OF JULY 25, 2022, THE TERMS OF WHICH MAY BE OBTAINED UPON WRITTEN REQUEST OF THE SECRETARY OF THE COMPANY. SUCH LOCK-UP PERIOD IS BINDING ON TRANSFEREES OF THESE SECURITIES.</w:t>
      </w:r>
    </w:p>
    <w:p>
      <w:pPr>
        <w:spacing w:after="0" w:line="155" w:lineRule="exact"/>
        <w:rPr>
          <w:sz w:val="20"/>
          <w:szCs w:val="20"/>
          <w:color w:val="auto"/>
        </w:rPr>
      </w:pPr>
    </w:p>
    <w:p>
      <w:pPr>
        <w:jc w:val="both"/>
        <w:ind w:left="4" w:firstLine="828"/>
        <w:spacing w:after="0" w:line="255" w:lineRule="auto"/>
        <w:rPr>
          <w:sz w:val="20"/>
          <w:szCs w:val="20"/>
          <w:color w:val="auto"/>
        </w:rPr>
      </w:pPr>
      <w:r>
        <w:rPr>
          <w:rFonts w:ascii="Times New Roman" w:cs="Times New Roman" w:eastAsia="Times New Roman" w:hAnsi="Times New Roman"/>
          <w:sz w:val="16"/>
          <w:szCs w:val="16"/>
          <w:color w:val="auto"/>
        </w:rPr>
        <w:t>g. Subscriber understands and agrees that Subscriber is purchasing the Subscribed Shares directly from the Company. Subscriber further acknowledges that there have not been, and Subscriber hereby agrees that it is not relying on, any representations, warranties, covenants or agreements made to Subscriber by the Company, any other party to the Transaction or any other person or entity, expressly or by implication, other than those representations, warranties, covenants and agreements of the Company set forth in this Subscription Agreement. Subscriber acknowledges that certain information provided by the Company was based on projections, and such projections were prepared based on assumptions and estimates that are inherently uncertain and are subject to a wide variety of significant business, economic and competitive risks and uncertainties that could cause actual results to differ materially from those contained in the projections.</w:t>
      </w:r>
    </w:p>
    <w:p>
      <w:pPr>
        <w:spacing w:after="0" w:line="165" w:lineRule="exact"/>
        <w:rPr>
          <w:sz w:val="20"/>
          <w:szCs w:val="20"/>
          <w:color w:val="auto"/>
        </w:rPr>
      </w:pPr>
    </w:p>
    <w:p>
      <w:pPr>
        <w:jc w:val="both"/>
        <w:ind w:left="4" w:firstLine="828"/>
        <w:spacing w:after="0" w:line="259" w:lineRule="auto"/>
        <w:rPr>
          <w:sz w:val="20"/>
          <w:szCs w:val="20"/>
          <w:color w:val="auto"/>
        </w:rPr>
      </w:pPr>
      <w:r>
        <w:rPr>
          <w:rFonts w:ascii="Times New Roman" w:cs="Times New Roman" w:eastAsia="Times New Roman" w:hAnsi="Times New Roman"/>
          <w:sz w:val="16"/>
          <w:szCs w:val="16"/>
          <w:color w:val="auto"/>
        </w:rPr>
        <w:t>h. Subscriber agrees that none of the William Blair, Truist or Chardan, nor any of their respective affiliates or any of their or their respective affiliates’ control persons, officers, directors or employees, shall be liable to Subscriber pursuant to this Subscription Agreement. On behalf of itself and its affiliates, Subscriber releases each of William Blair, Truist or Chardan in respect of any losses, claims, damages, obligations, penalties, judgments, awards, liabilities, costs, expenses or disbursements related to this Subscription Agreement or the transactions contemplated hereby.</w:t>
      </w:r>
    </w:p>
    <w:p>
      <w:pPr>
        <w:spacing w:after="0" w:line="162" w:lineRule="exact"/>
        <w:rPr>
          <w:sz w:val="20"/>
          <w:szCs w:val="20"/>
          <w:color w:val="auto"/>
        </w:rPr>
      </w:pPr>
    </w:p>
    <w:p>
      <w:pPr>
        <w:jc w:val="both"/>
        <w:ind w:left="4" w:firstLine="828"/>
        <w:spacing w:after="0" w:line="251" w:lineRule="auto"/>
        <w:rPr>
          <w:sz w:val="20"/>
          <w:szCs w:val="20"/>
          <w:color w:val="auto"/>
        </w:rPr>
      </w:pPr>
      <w:r>
        <w:rPr>
          <w:rFonts w:ascii="Times New Roman" w:cs="Times New Roman" w:eastAsia="Times New Roman" w:hAnsi="Times New Roman"/>
          <w:sz w:val="16"/>
          <w:szCs w:val="16"/>
          <w:color w:val="auto"/>
        </w:rPr>
        <w:t>i. In making its decision to purchase the Subscribed Shares, Subscriber has relied solely upon independent investigation made by Subscriber and upon the representations, warranties and covenants set forth herein. Subscriber acknowledges and agrees that Subscriber has received such information as Subscriber deems necessary in order to make an investment decision with respect to the Subscribed Shares, including with respect to the Company and the Transaction (including Presto and their respective subsidiaries (collectively, the “</w:t>
      </w:r>
      <w:r>
        <w:rPr>
          <w:rFonts w:ascii="Times New Roman" w:cs="Times New Roman" w:eastAsia="Times New Roman" w:hAnsi="Times New Roman"/>
          <w:sz w:val="16"/>
          <w:szCs w:val="16"/>
          <w:u w:val="single" w:color="auto"/>
          <w:color w:val="auto"/>
        </w:rPr>
        <w:t>Acquired Companies</w:t>
      </w:r>
      <w:r>
        <w:rPr>
          <w:rFonts w:ascii="Times New Roman" w:cs="Times New Roman" w:eastAsia="Times New Roman" w:hAnsi="Times New Roman"/>
          <w:sz w:val="16"/>
          <w:szCs w:val="16"/>
          <w:color w:val="auto"/>
        </w:rPr>
        <w:t>”)). Subscriber represents and agrees that Subscriber and Subscriber’s professional advisor(s), if any, have had the full opportunity to ask such questions, receive such answers and obtain such information as Subscriber and such undersigned’s professional advisor(s), if any, have deemed necessary to make an investment decision with respect to the Subscribed Shares. Subscriber acknowledges and agrees that none of William Blair, Truist or Chardan, nor any respective affiliates of William Blair, Truist or Chardan have provided Subscriber with any information or advice with respect to the Subscribed Shares nor is such information or advice necessary or desired. None of William Blair, Truist or Chardan nor any of their respective affiliates have made or make any representation as to the Company or the Acquired Companies or the quality or value of the Subscribed Shares. Each of William Blair, Truist or Chardan has acting solely as a placement agent to the Company with respect to the Other Subscription Agreements and is not acting as an underwriter or in any other capacity or as a fiduciary for the Company or any other person or entity in connection with the Transaction and none of William Blair, Truist or Chardan or any of their respective affiliates has prepared any disclosure or offering document in connection with the offer and sale of the Subscribed Shares. Subscriber acknowledges that William Blair, Truist or Chardan and their respective directors, officers, employees, representatives and controlling persons have made no independent investigation with respect to the Company or the Subscribed Shares or the accuracy, completeness or adequacy of any information supplied to Subscriber by the Company.</w:t>
      </w:r>
    </w:p>
    <w:p>
      <w:pPr>
        <w:spacing w:after="0" w:line="35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8195" cy="152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148" w:name="page149"/>
    <w:bookmarkEnd w:id="148"/>
    <w:p>
      <w:pPr>
        <w:jc w:val="both"/>
        <w:ind w:right="20" w:firstLine="828"/>
        <w:spacing w:after="0" w:line="265" w:lineRule="auto"/>
        <w:rPr>
          <w:sz w:val="20"/>
          <w:szCs w:val="20"/>
          <w:color w:val="auto"/>
        </w:rPr>
      </w:pPr>
      <w:r>
        <w:rPr>
          <w:rFonts w:ascii="Times New Roman" w:cs="Times New Roman" w:eastAsia="Times New Roman" w:hAnsi="Times New Roman"/>
          <w:sz w:val="16"/>
          <w:szCs w:val="16"/>
          <w:color w:val="auto"/>
        </w:rPr>
        <w:t>j. Subscriber agrees and acknowledges that (i) as of the date hereof, Subscriber has had no contact, whether oral or in writing, with any of William Blair, Truist or Chardan with respect to the Transaction, including this Subscription Agreement and (ii) the Company represents and warrants that the Subscribed Shares are not being offered in a manner involving a public offering under, or in a distribution in violation of, the Securities Act, or any state securities laws.</w:t>
      </w:r>
    </w:p>
    <w:p>
      <w:pPr>
        <w:spacing w:after="0" w:line="155" w:lineRule="exact"/>
        <w:rPr>
          <w:sz w:val="20"/>
          <w:szCs w:val="20"/>
          <w:color w:val="auto"/>
        </w:rPr>
      </w:pPr>
    </w:p>
    <w:p>
      <w:pPr>
        <w:jc w:val="both"/>
        <w:ind w:right="20" w:firstLine="828"/>
        <w:spacing w:after="0" w:line="265" w:lineRule="auto"/>
        <w:rPr>
          <w:sz w:val="20"/>
          <w:szCs w:val="20"/>
          <w:color w:val="auto"/>
        </w:rPr>
      </w:pPr>
      <w:r>
        <w:rPr>
          <w:rFonts w:ascii="Times New Roman" w:cs="Times New Roman" w:eastAsia="Times New Roman" w:hAnsi="Times New Roman"/>
          <w:sz w:val="16"/>
          <w:szCs w:val="16"/>
          <w:color w:val="auto"/>
        </w:rPr>
        <w:t>k. Subscriber acknowledges that it is aware that there are substantial risks incident to the purchase and ownership of the Subscribed Shares. Subscriber has such knowledge and experience in financial and business matters as to be capable of evaluating the merits and risks of an investment in the Subscribed Shares, and Subscriber has had an opportunity to seek, and has sought, such accounting, legal, business and tax advice as Subscriber has considered necessary to make an informed investment decision.</w:t>
      </w:r>
    </w:p>
    <w:p>
      <w:pPr>
        <w:spacing w:after="0" w:line="155" w:lineRule="exact"/>
        <w:rPr>
          <w:sz w:val="20"/>
          <w:szCs w:val="20"/>
          <w:color w:val="auto"/>
        </w:rPr>
      </w:pPr>
    </w:p>
    <w:p>
      <w:pPr>
        <w:jc w:val="both"/>
        <w:ind w:right="20" w:firstLine="828"/>
        <w:spacing w:after="0" w:line="265" w:lineRule="auto"/>
        <w:rPr>
          <w:sz w:val="20"/>
          <w:szCs w:val="20"/>
          <w:color w:val="auto"/>
        </w:rPr>
      </w:pPr>
      <w:r>
        <w:rPr>
          <w:rFonts w:ascii="Times New Roman" w:cs="Times New Roman" w:eastAsia="Times New Roman" w:hAnsi="Times New Roman"/>
          <w:sz w:val="16"/>
          <w:szCs w:val="16"/>
          <w:color w:val="auto"/>
        </w:rPr>
        <w:t>l. Subscriber has adequately analyzed and fully considered the risks of an investment in the Subscribed Shares and determined that the Subscribed Shares are a suitable investment for Subscriber and that Subscriber is able at this time and in the foreseeable future to bear the economic risk of a total loss of Subscriber’s investment in the Company. Subscriber acknowledges specifically that a possibility of total loss exists.</w:t>
      </w:r>
    </w:p>
    <w:p>
      <w:pPr>
        <w:spacing w:after="0" w:line="155" w:lineRule="exact"/>
        <w:rPr>
          <w:sz w:val="20"/>
          <w:szCs w:val="20"/>
          <w:color w:val="auto"/>
        </w:rPr>
      </w:pPr>
    </w:p>
    <w:p>
      <w:pPr>
        <w:jc w:val="both"/>
        <w:ind w:right="20" w:firstLine="828"/>
        <w:spacing w:after="0" w:line="280" w:lineRule="auto"/>
        <w:rPr>
          <w:sz w:val="20"/>
          <w:szCs w:val="20"/>
          <w:color w:val="auto"/>
        </w:rPr>
      </w:pPr>
      <w:r>
        <w:rPr>
          <w:rFonts w:ascii="Times New Roman" w:cs="Times New Roman" w:eastAsia="Times New Roman" w:hAnsi="Times New Roman"/>
          <w:sz w:val="16"/>
          <w:szCs w:val="16"/>
          <w:color w:val="auto"/>
        </w:rPr>
        <w:t>m. Subscriber understands and agrees that no federal or state agency has passed upon or endorsed the merits of the offering of the Subscribed Shares or made any findings or determination as to the fairness of this investment.</w:t>
      </w:r>
    </w:p>
    <w:p>
      <w:pPr>
        <w:spacing w:after="0" w:line="144" w:lineRule="exact"/>
        <w:rPr>
          <w:sz w:val="20"/>
          <w:szCs w:val="20"/>
          <w:color w:val="auto"/>
        </w:rPr>
      </w:pPr>
    </w:p>
    <w:p>
      <w:pPr>
        <w:jc w:val="both"/>
        <w:ind w:firstLine="828"/>
        <w:spacing w:after="0" w:line="252" w:lineRule="auto"/>
        <w:rPr>
          <w:sz w:val="20"/>
          <w:szCs w:val="20"/>
          <w:color w:val="auto"/>
        </w:rPr>
      </w:pPr>
      <w:r>
        <w:rPr>
          <w:rFonts w:ascii="Times New Roman" w:cs="Times New Roman" w:eastAsia="Times New Roman" w:hAnsi="Times New Roman"/>
          <w:sz w:val="16"/>
          <w:szCs w:val="16"/>
          <w:color w:val="auto"/>
        </w:rPr>
        <w:t>n. Subscriber is not (i) a person or entity named on the List of Specially Designated Nationals and Blocked Persons administered by the U.S. Treasury Department’s Office of Foreign Assets Control (“</w:t>
      </w:r>
      <w:r>
        <w:rPr>
          <w:rFonts w:ascii="Times New Roman" w:cs="Times New Roman" w:eastAsia="Times New Roman" w:hAnsi="Times New Roman"/>
          <w:sz w:val="16"/>
          <w:szCs w:val="16"/>
          <w:u w:val="single" w:color="auto"/>
          <w:color w:val="auto"/>
        </w:rPr>
        <w:t>OFAC</w:t>
      </w:r>
      <w:r>
        <w:rPr>
          <w:rFonts w:ascii="Times New Roman" w:cs="Times New Roman" w:eastAsia="Times New Roman" w:hAnsi="Times New Roman"/>
          <w:sz w:val="16"/>
          <w:szCs w:val="16"/>
          <w:color w:val="auto"/>
        </w:rPr>
        <w:t>”) or in any Executive Order issued by the President of the United States and administered by OFAC (“</w:t>
      </w:r>
      <w:r>
        <w:rPr>
          <w:rFonts w:ascii="Times New Roman" w:cs="Times New Roman" w:eastAsia="Times New Roman" w:hAnsi="Times New Roman"/>
          <w:sz w:val="16"/>
          <w:szCs w:val="16"/>
          <w:u w:val="single" w:color="auto"/>
          <w:color w:val="auto"/>
        </w:rPr>
        <w:t>OFAC List</w:t>
      </w:r>
      <w:r>
        <w:rPr>
          <w:rFonts w:ascii="Times New Roman" w:cs="Times New Roman" w:eastAsia="Times New Roman" w:hAnsi="Times New Roman"/>
          <w:sz w:val="16"/>
          <w:szCs w:val="16"/>
          <w:color w:val="auto"/>
        </w:rPr>
        <w:t>”), or a person or entity prohibited by any OFAC sanctions program; (ii) a Designated National as defined in the Cuban Assets Control Regulations, 31 C.F.R. Part 515; or (iii) a non-U.S. shell bank or providing banking services indirectly to a non-U.S. shell bank (collectively, a “</w:t>
      </w:r>
      <w:r>
        <w:rPr>
          <w:rFonts w:ascii="Times New Roman" w:cs="Times New Roman" w:eastAsia="Times New Roman" w:hAnsi="Times New Roman"/>
          <w:sz w:val="16"/>
          <w:szCs w:val="16"/>
          <w:u w:val="single" w:color="auto"/>
          <w:color w:val="auto"/>
        </w:rPr>
        <w:t>Prohibited Investor</w:t>
      </w:r>
      <w:r>
        <w:rPr>
          <w:rFonts w:ascii="Times New Roman" w:cs="Times New Roman" w:eastAsia="Times New Roman" w:hAnsi="Times New Roman"/>
          <w:sz w:val="16"/>
          <w:szCs w:val="16"/>
          <w:color w:val="auto"/>
        </w:rPr>
        <w:t>”). Subscriber agrees to provide law enforcement agencies, if requested thereby, such records as required by applicable law, provided that Subscriber is permitted to do so under applicable law. Subscriber represents that if it is a financial institution subject to the Bank Secrecy Act (31 U.S.C. Section 5311 et seq.), as amended by the USA PATRIOT Act of 2001 and its implementing regulations (collectively, the “</w:t>
      </w:r>
      <w:r>
        <w:rPr>
          <w:rFonts w:ascii="Times New Roman" w:cs="Times New Roman" w:eastAsia="Times New Roman" w:hAnsi="Times New Roman"/>
          <w:sz w:val="16"/>
          <w:szCs w:val="16"/>
          <w:u w:val="single" w:color="auto"/>
          <w:color w:val="auto"/>
        </w:rPr>
        <w:t>BSA/PATRIOT Act</w:t>
      </w:r>
      <w:r>
        <w:rPr>
          <w:rFonts w:ascii="Times New Roman" w:cs="Times New Roman" w:eastAsia="Times New Roman" w:hAnsi="Times New Roman"/>
          <w:sz w:val="16"/>
          <w:szCs w:val="16"/>
          <w:color w:val="auto"/>
        </w:rPr>
        <w:t>”), that Subscriber maintains policies and procedures reasonably designed to comply with applicable obligations under the BSA/PATRIOT Act. Subscriber also represents that, to the extent required, it maintains policies and procedures reasonably designed for the screening of its investors against the OFAC sanctions programs, including the OFAC List. Subscriber further represents and warrants that, to the extent required, it maintains policies and procedures reasonably designed to ensure that the funds held by Subscriber and used to purchase the Subscribed Shares were legally derived.</w:t>
      </w:r>
    </w:p>
    <w:p>
      <w:pPr>
        <w:spacing w:after="0" w:line="171" w:lineRule="exact"/>
        <w:rPr>
          <w:sz w:val="20"/>
          <w:szCs w:val="20"/>
          <w:color w:val="auto"/>
        </w:rPr>
      </w:pPr>
    </w:p>
    <w:p>
      <w:pPr>
        <w:jc w:val="both"/>
        <w:ind w:firstLine="828"/>
        <w:spacing w:after="0" w:line="255" w:lineRule="auto"/>
        <w:rPr>
          <w:sz w:val="20"/>
          <w:szCs w:val="20"/>
          <w:color w:val="auto"/>
        </w:rPr>
      </w:pPr>
      <w:r>
        <w:rPr>
          <w:rFonts w:ascii="Times New Roman" w:cs="Times New Roman" w:eastAsia="Times New Roman" w:hAnsi="Times New Roman"/>
          <w:sz w:val="16"/>
          <w:szCs w:val="16"/>
          <w:color w:val="auto"/>
        </w:rPr>
        <w:t>o. As of the date hereof, and during the 30-day period immediately prior to the date hereof Subscriber has not entered into, any “put equivalent position” as such term is defined in Rule 16a-1 under the Exchange Act or short sale positions with respect to the securities of the Company. Notwithstanding the foregoing, in the case of a Subscriber that is a multi-managed investment vehicle whereby separate portfolio managers manage separate portions of such Subscriber’s assets and the portfolio managers have no direct knowledge of the investment decisions made by the portfolio managers managing other portions of such Subscriber’s assets, the representation set forth above shall only apply with respect to the portion of assets managed by the portfolio manager that made the investment decision to purchase the Subscribed Shares covered by this Agreement.</w:t>
      </w:r>
    </w:p>
    <w:p>
      <w:pPr>
        <w:spacing w:after="0" w:line="165" w:lineRule="exact"/>
        <w:rPr>
          <w:sz w:val="20"/>
          <w:szCs w:val="20"/>
          <w:color w:val="auto"/>
        </w:rPr>
      </w:pPr>
    </w:p>
    <w:p>
      <w:pPr>
        <w:jc w:val="both"/>
        <w:ind w:firstLine="828"/>
        <w:spacing w:after="0" w:line="253" w:lineRule="auto"/>
        <w:rPr>
          <w:sz w:val="20"/>
          <w:szCs w:val="20"/>
          <w:color w:val="auto"/>
        </w:rPr>
      </w:pPr>
      <w:r>
        <w:rPr>
          <w:rFonts w:ascii="Times New Roman" w:cs="Times New Roman" w:eastAsia="Times New Roman" w:hAnsi="Times New Roman"/>
          <w:sz w:val="16"/>
          <w:szCs w:val="16"/>
          <w:color w:val="auto"/>
        </w:rPr>
        <w:t>p. If Subscriber is an employee benefit plan that is subject to Title I of ERISA, a plan, an individual retirement account or other arrangement that is subject to section 4975 of the Code or an employee benefit plan that is a governmental plan (as defined in section 3(32) of ERISA), a church plan (as defined in section 3(33) of ERISA), a non-U.S. plan (as described in section 4(b)(4) of ERISA) or other plan that is not subject to the foregoing but may be subject to provisions under any other federal, state, local, non-U.S. or other laws or regulations that are similar to such provisions of ERISA or the Internal Revenue Code of 1986, as amended, or an entity whose underlying assets are considered to include “plan assets” of any such plan, account or arrangement (each, a “Plan”) subject to the fiduciary or prohibited transaction provisions of ERISA or section 4975 of the Code, Subscriber represents and warrants that neither the Company, nor any of its respective affiliates (the “</w:t>
      </w:r>
      <w:r>
        <w:rPr>
          <w:rFonts w:ascii="Times New Roman" w:cs="Times New Roman" w:eastAsia="Times New Roman" w:hAnsi="Times New Roman"/>
          <w:sz w:val="16"/>
          <w:szCs w:val="16"/>
          <w:u w:val="single" w:color="auto"/>
          <w:color w:val="auto"/>
        </w:rPr>
        <w:t>Transaction Parties</w:t>
      </w:r>
      <w:r>
        <w:rPr>
          <w:rFonts w:ascii="Times New Roman" w:cs="Times New Roman" w:eastAsia="Times New Roman" w:hAnsi="Times New Roman"/>
          <w:sz w:val="16"/>
          <w:szCs w:val="16"/>
          <w:color w:val="auto"/>
        </w:rPr>
        <w:t>”) has acted as the Plan’s fiduciary, or has been relied on for advice, with respect to its decision to acquire and hold the Subscribed Shares, and none of the Transaction Parties shall at any time be relied upon as the Plan’s fiduciary with respect to any decision to acquire, continue to hold or transfer the Subscribed Shares and none of the acquisition, holding and/or transfer or disposition of the Subscribed Shares will result in a non-exempt prohibited Transactions under ERISA or Section 4975 of the Code or any similar law or regulation.</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49" w:name="page150"/>
    <w:bookmarkEnd w:id="149"/>
    <w:p>
      <w:pPr>
        <w:ind w:left="820"/>
        <w:spacing w:after="0"/>
        <w:rPr>
          <w:sz w:val="20"/>
          <w:szCs w:val="20"/>
          <w:color w:val="auto"/>
        </w:rPr>
      </w:pPr>
      <w:r>
        <w:rPr>
          <w:rFonts w:ascii="Times New Roman" w:cs="Times New Roman" w:eastAsia="Times New Roman" w:hAnsi="Times New Roman"/>
          <w:sz w:val="16"/>
          <w:szCs w:val="16"/>
          <w:color w:val="auto"/>
        </w:rPr>
        <w:t xml:space="preserve">q. Subscriber at the Closing will have sufficient funds to pay the Purchase Price pursuant to </w:t>
      </w:r>
      <w:r>
        <w:rPr>
          <w:rFonts w:ascii="Times New Roman" w:cs="Times New Roman" w:eastAsia="Times New Roman" w:hAnsi="Times New Roman"/>
          <w:sz w:val="16"/>
          <w:szCs w:val="16"/>
          <w:u w:val="single" w:color="auto"/>
          <w:color w:val="auto"/>
        </w:rPr>
        <w:t>Section 2(a)</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828"/>
        <w:spacing w:after="0" w:line="257" w:lineRule="auto"/>
        <w:rPr>
          <w:sz w:val="20"/>
          <w:szCs w:val="20"/>
          <w:color w:val="auto"/>
        </w:rPr>
      </w:pPr>
      <w:r>
        <w:rPr>
          <w:rFonts w:ascii="Times New Roman" w:cs="Times New Roman" w:eastAsia="Times New Roman" w:hAnsi="Times New Roman"/>
          <w:sz w:val="16"/>
          <w:szCs w:val="16"/>
          <w:color w:val="auto"/>
        </w:rPr>
        <w:t xml:space="preserve">r. Subscriber acknowledges and understands that the Subscribed Shares are, and following the Closing will be, subject to Transfer Restrictions. For purposes of this </w:t>
      </w:r>
      <w:r>
        <w:rPr>
          <w:rFonts w:ascii="Times New Roman" w:cs="Times New Roman" w:eastAsia="Times New Roman" w:hAnsi="Times New Roman"/>
          <w:sz w:val="16"/>
          <w:szCs w:val="16"/>
          <w:u w:val="single" w:color="auto"/>
          <w:color w:val="auto"/>
        </w:rPr>
        <w:t>Section 4(r)</w:t>
      </w:r>
      <w:r>
        <w:rPr>
          <w:rFonts w:ascii="Times New Roman" w:cs="Times New Roman" w:eastAsia="Times New Roman" w:hAnsi="Times New Roman"/>
          <w:sz w:val="16"/>
          <w:szCs w:val="16"/>
          <w:color w:val="auto"/>
        </w:rPr>
        <w:t>, the term “</w:t>
      </w:r>
      <w:r>
        <w:rPr>
          <w:rFonts w:ascii="Times New Roman" w:cs="Times New Roman" w:eastAsia="Times New Roman" w:hAnsi="Times New Roman"/>
          <w:sz w:val="16"/>
          <w:szCs w:val="16"/>
          <w:u w:val="single" w:color="auto"/>
          <w:color w:val="auto"/>
        </w:rPr>
        <w:t>Transfer Restrictions</w:t>
      </w:r>
      <w:r>
        <w:rPr>
          <w:rFonts w:ascii="Times New Roman" w:cs="Times New Roman" w:eastAsia="Times New Roman" w:hAnsi="Times New Roman"/>
          <w:sz w:val="16"/>
          <w:szCs w:val="16"/>
          <w:color w:val="auto"/>
        </w:rPr>
        <w:t xml:space="preserve">” means a condition to or restriction on the ability of the undersigned to pledge, sell, assign or otherwise transfer the Subscribed Shares under any organizational document, policy or agreement of, by or with the Company, including the restrictions on transfer described in </w:t>
      </w:r>
      <w:r>
        <w:rPr>
          <w:rFonts w:ascii="Times New Roman" w:cs="Times New Roman" w:eastAsia="Times New Roman" w:hAnsi="Times New Roman"/>
          <w:sz w:val="16"/>
          <w:szCs w:val="16"/>
          <w:u w:val="single" w:color="auto"/>
          <w:color w:val="auto"/>
        </w:rPr>
        <w:t>Section 4(e)</w:t>
      </w:r>
      <w:r>
        <w:rPr>
          <w:rFonts w:ascii="Times New Roman" w:cs="Times New Roman" w:eastAsia="Times New Roman" w:hAnsi="Times New Roman"/>
          <w:sz w:val="16"/>
          <w:szCs w:val="16"/>
          <w:color w:val="auto"/>
        </w:rPr>
        <w:t xml:space="preserve"> of this Subscription Agreement with respect to the status of the Subscribed Shares as “restricted securities” pending their registration for resale under the Securities Act, and described in </w:t>
      </w:r>
      <w:r>
        <w:rPr>
          <w:rFonts w:ascii="Times New Roman" w:cs="Times New Roman" w:eastAsia="Times New Roman" w:hAnsi="Times New Roman"/>
          <w:sz w:val="16"/>
          <w:szCs w:val="16"/>
          <w:u w:val="single" w:color="auto"/>
          <w:color w:val="auto"/>
        </w:rPr>
        <w:t>Section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5</w:t>
      </w:r>
      <w:r>
        <w:rPr>
          <w:rFonts w:ascii="Times New Roman" w:cs="Times New Roman" w:eastAsia="Times New Roman" w:hAnsi="Times New Roman"/>
          <w:sz w:val="16"/>
          <w:szCs w:val="16"/>
          <w:color w:val="auto"/>
        </w:rPr>
        <w:t xml:space="preserve"> of this Subscription Agreement with respect to an eighteen (18) month lock-up, in accordance with the terms of this Subscription Agreement.</w:t>
      </w:r>
    </w:p>
    <w:p>
      <w:pPr>
        <w:spacing w:after="0" w:line="162" w:lineRule="exact"/>
        <w:rPr>
          <w:sz w:val="20"/>
          <w:szCs w:val="20"/>
          <w:color w:val="auto"/>
        </w:rPr>
      </w:pPr>
    </w:p>
    <w:p>
      <w:pPr>
        <w:jc w:val="both"/>
        <w:ind w:firstLine="378"/>
        <w:spacing w:after="0" w:line="252" w:lineRule="auto"/>
        <w:tabs>
          <w:tab w:leader="none" w:pos="542"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Restriction on Transfer of Subscribed Shares</w:t>
      </w:r>
      <w:r>
        <w:rPr>
          <w:rFonts w:ascii="Times New Roman" w:cs="Times New Roman" w:eastAsia="Times New Roman" w:hAnsi="Times New Roman"/>
          <w:sz w:val="16"/>
          <w:szCs w:val="16"/>
          <w:color w:val="auto"/>
        </w:rPr>
        <w:t xml:space="preserve">. Until the date that is eighteen (18) months after the Closing Date, the Subscriber shall not be permitted to, voluntarily or involuntarily, sell, assign, transfer (including by operation of law), create any lien or pledge, dispose of or otherwise encumber any of the Subscribed Shares or otherwise agree to do any of the foregoing, (b) deposit any of such shares of Common Stock into a voting trust or enter into a voting agreement or arrangement or grant any proxy or power of attorney with respect thereto that is inconsistent with this Agreement (c) enter into any contract, option or other arrangement or undertaking requiring the direct acquisition or sale, assignment, transfer or other disposition of any such shares of Common Stock, or (d) make any public announcement of any intention to take any of the foregoing actions, in each case, without the prior written consent of the Company;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any transfer to an affiliate of the Subscriber that complies with the terms hereof shall not require such consent of the Company. Notwithstanding anything to the contrary contained herein, each transferee of such shares of Common Stock shall, on or prior to the date of this Agreement or (if later) the date that it first acquires any such shares of Common Stock, deliver to the Company a valid and duly completed IRS Form W-9 (and, for the avoidance of doubt, at all times during which a person is holder of such Common Stock, such person shall (i) have delivered to the Company such a valid and duly completed IRS Form W-9; and (ii) be eligible to deliver a valid and duly completed IRS Form W-9 to the Company).</w:t>
      </w:r>
    </w:p>
    <w:p>
      <w:pPr>
        <w:spacing w:after="0" w:line="171" w:lineRule="exact"/>
        <w:rPr>
          <w:rFonts w:ascii="Times New Roman" w:cs="Times New Roman" w:eastAsia="Times New Roman" w:hAnsi="Times New Roman"/>
          <w:sz w:val="16"/>
          <w:szCs w:val="16"/>
          <w:color w:val="auto"/>
        </w:rPr>
      </w:pPr>
    </w:p>
    <w:p>
      <w:pPr>
        <w:jc w:val="both"/>
        <w:ind w:right="20" w:firstLine="378"/>
        <w:spacing w:after="0" w:line="255" w:lineRule="auto"/>
        <w:tabs>
          <w:tab w:leader="none" w:pos="542"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Registration of Subscribed Shares</w:t>
      </w:r>
      <w:r>
        <w:rPr>
          <w:rFonts w:ascii="Times New Roman" w:cs="Times New Roman" w:eastAsia="Times New Roman" w:hAnsi="Times New Roman"/>
          <w:sz w:val="16"/>
          <w:szCs w:val="16"/>
          <w:color w:val="auto"/>
        </w:rPr>
        <w:t>. On the Closing Date, the Company and Subscriber shall execute the registration rights agreement, in substantially the form attached as Exhibit C to the Transaction Agreement (the “</w:t>
      </w:r>
      <w:r>
        <w:rPr>
          <w:rFonts w:ascii="Times New Roman" w:cs="Times New Roman" w:eastAsia="Times New Roman" w:hAnsi="Times New Roman"/>
          <w:sz w:val="16"/>
          <w:szCs w:val="16"/>
          <w:u w:val="single" w:color="auto"/>
          <w:color w:val="auto"/>
        </w:rPr>
        <w:t>Registration Rights Agreement</w:t>
      </w:r>
      <w:r>
        <w:rPr>
          <w:rFonts w:ascii="Times New Roman" w:cs="Times New Roman" w:eastAsia="Times New Roman" w:hAnsi="Times New Roman"/>
          <w:sz w:val="16"/>
          <w:szCs w:val="16"/>
          <w:color w:val="auto"/>
        </w:rPr>
        <w:t>”), pursuant to which the Company shall agree to register the resale of all of the Common Stock then held by Subscriber in accordance with the terms provided therein. Upon execution and delivery of the Registration Rights Agreement by the Subscriber, Subscriber and each permitted transferee of any such share of Common Stock that receives such Common Ssstock in compliance with the restrictions on transfer contained in and pursuant to the Registration Right Agreement shall have the rights of a “Holder” therein, and all of the Common Stock then owned by Subscriber shall constitute “Registrable Securities” under the Registration Rights Agreement.</w:t>
      </w:r>
    </w:p>
    <w:p>
      <w:pPr>
        <w:spacing w:after="0" w:line="165" w:lineRule="exact"/>
        <w:rPr>
          <w:rFonts w:ascii="Times New Roman" w:cs="Times New Roman" w:eastAsia="Times New Roman" w:hAnsi="Times New Roman"/>
          <w:sz w:val="16"/>
          <w:szCs w:val="16"/>
          <w:color w:val="auto"/>
        </w:rPr>
      </w:pPr>
    </w:p>
    <w:p>
      <w:pPr>
        <w:jc w:val="both"/>
        <w:ind w:right="20" w:firstLine="378"/>
        <w:spacing w:after="0" w:line="253" w:lineRule="auto"/>
        <w:tabs>
          <w:tab w:leader="none" w:pos="542"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w:t>
      </w:r>
      <w:r>
        <w:rPr>
          <w:rFonts w:ascii="Times New Roman" w:cs="Times New Roman" w:eastAsia="Times New Roman" w:hAnsi="Times New Roman"/>
          <w:sz w:val="16"/>
          <w:szCs w:val="16"/>
          <w:color w:val="auto"/>
        </w:rPr>
        <w:t xml:space="preserve">. This Subscription Agreement shall terminate and be void and of no further force and effect, and all rights and obligations of the parties hereunder shall terminate without any further liability on the part of any party in respect thereof, upon the earlier to occur of (a) such date and time as the Transaction Agreement is terminated in accordance with its terms; (b) upon the mutual written agreement of the Company and Subscriber to terminate this Subscription Agreement; (c) if, on the Closing Date of the Transaction, any of the conditions to Closing set forth in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xml:space="preserve"> of this Subscription Agreement have not been satisfied as of the time required hereunder to be so satisfied or waived (to the extent a valid waiver is capable of being issued) by the party entitled to grant such waiver and, as a result thereof, the transactions contemplated by this Subscription Agreement are not consummated; or (d) the “Termination Date” as defined in the Transaction Agreement (as such Termination Date may be amended or extended from time to time) (the “</w:t>
      </w:r>
      <w:r>
        <w:rPr>
          <w:rFonts w:ascii="Times New Roman" w:cs="Times New Roman" w:eastAsia="Times New Roman" w:hAnsi="Times New Roman"/>
          <w:sz w:val="16"/>
          <w:szCs w:val="16"/>
          <w:u w:val="single" w:color="auto"/>
          <w:color w:val="auto"/>
        </w:rPr>
        <w:t>Termination Date</w:t>
      </w:r>
      <w:r>
        <w:rPr>
          <w:rFonts w:ascii="Times New Roman" w:cs="Times New Roman" w:eastAsia="Times New Roman" w:hAnsi="Times New Roman"/>
          <w:sz w:val="16"/>
          <w:szCs w:val="16"/>
          <w:color w:val="auto"/>
        </w:rPr>
        <w:t>”); provided, that nothing herein will relieve any party from liability for any willful breach hereof prior to the time of termination, and each party will be entitled to any remedies at law or in equity to recover losses, liabilities or damages arising from such breach. The Company shall notify Subscriber of the termination of the Transaction Agreement promptly after the termination thereof.</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50" w:name="page151"/>
    <w:bookmarkEnd w:id="150"/>
    <w:p>
      <w:pPr>
        <w:jc w:val="both"/>
        <w:ind w:left="4" w:firstLine="378"/>
        <w:spacing w:after="0" w:line="268" w:lineRule="auto"/>
        <w:tabs>
          <w:tab w:leader="none" w:pos="546" w:val="left"/>
        </w:tabs>
        <w:numPr>
          <w:ilvl w:val="1"/>
          <w:numId w:val="1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Trust Account Waiver</w:t>
      </w:r>
      <w:r>
        <w:rPr>
          <w:rFonts w:ascii="Times New Roman" w:cs="Times New Roman" w:eastAsia="Times New Roman" w:hAnsi="Times New Roman"/>
          <w:sz w:val="15"/>
          <w:szCs w:val="15"/>
          <w:color w:val="auto"/>
        </w:rPr>
        <w:t>. Subscriber hereby acknowledges that the Company has established a trust account (the “</w:t>
      </w:r>
      <w:r>
        <w:rPr>
          <w:rFonts w:ascii="Times New Roman" w:cs="Times New Roman" w:eastAsia="Times New Roman" w:hAnsi="Times New Roman"/>
          <w:sz w:val="15"/>
          <w:szCs w:val="15"/>
          <w:u w:val="single" w:color="auto"/>
          <w:color w:val="auto"/>
        </w:rPr>
        <w:t>Trust Account</w:t>
      </w:r>
      <w:r>
        <w:rPr>
          <w:rFonts w:ascii="Times New Roman" w:cs="Times New Roman" w:eastAsia="Times New Roman" w:hAnsi="Times New Roman"/>
          <w:sz w:val="15"/>
          <w:szCs w:val="15"/>
          <w:color w:val="auto"/>
        </w:rPr>
        <w:t>”) containing the proceeds of its initial public offering (the “</w:t>
      </w:r>
      <w:r>
        <w:rPr>
          <w:rFonts w:ascii="Times New Roman" w:cs="Times New Roman" w:eastAsia="Times New Roman" w:hAnsi="Times New Roman"/>
          <w:sz w:val="15"/>
          <w:szCs w:val="15"/>
          <w:u w:val="single" w:color="auto"/>
          <w:color w:val="auto"/>
        </w:rPr>
        <w:t>IPO</w:t>
      </w:r>
      <w:r>
        <w:rPr>
          <w:rFonts w:ascii="Times New Roman" w:cs="Times New Roman" w:eastAsia="Times New Roman" w:hAnsi="Times New Roman"/>
          <w:sz w:val="15"/>
          <w:szCs w:val="15"/>
          <w:color w:val="auto"/>
        </w:rPr>
        <w:t>”) and from certain private placements occurring simultaneously with the IPO (including interest accrued from time to time thereon) for the benefit of the Company’s public stockholders and certain other parties (including the underwriters of the IPO). For and in consideration of the Company entering into this Subscription Agreement, and for other good and valuable consideration, the receipt and sufficiency of which are hereby acknowledged, Subscriber hereby (i) agrees that it does not now and shall not at any time hereafter have any right, title, interest or claim of any kind in or to any assets held in the Trust Account, and shall not make any claim against the Trust Account, regardless of whether such claim arises as a result of, in connection with or relating in any way to this Subscription Agreement or any other matter, and regardless of whether such claim arises based on contract, tort, equity or any other theory of legal liability (any and all such claims are collectively referred to hereafter as the “</w:t>
      </w:r>
      <w:r>
        <w:rPr>
          <w:rFonts w:ascii="Times New Roman" w:cs="Times New Roman" w:eastAsia="Times New Roman" w:hAnsi="Times New Roman"/>
          <w:sz w:val="15"/>
          <w:szCs w:val="15"/>
          <w:u w:val="single" w:color="auto"/>
          <w:color w:val="auto"/>
        </w:rPr>
        <w:t>Released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Claims</w:t>
      </w:r>
      <w:r>
        <w:rPr>
          <w:rFonts w:ascii="Times New Roman" w:cs="Times New Roman" w:eastAsia="Times New Roman" w:hAnsi="Times New Roman"/>
          <w:sz w:val="15"/>
          <w:szCs w:val="15"/>
          <w:color w:val="auto"/>
        </w:rPr>
        <w:t xml:space="preserve">”); (ii) irrevocably waives any Released Claims that it may have against the Trust Account now or in the future as a result of, or arising out of, any negotiations, contracts or agreements with the Company; and (iii) will not seek recourse against the Trust Account for any reason whatsoever; provided however, that nothing in this </w:t>
      </w:r>
      <w:r>
        <w:rPr>
          <w:rFonts w:ascii="Times New Roman" w:cs="Times New Roman" w:eastAsia="Times New Roman" w:hAnsi="Times New Roman"/>
          <w:sz w:val="15"/>
          <w:szCs w:val="15"/>
          <w:u w:val="single" w:color="auto"/>
          <w:color w:val="auto"/>
        </w:rPr>
        <w:t>Section 8</w:t>
      </w:r>
      <w:r>
        <w:rPr>
          <w:rFonts w:ascii="Times New Roman" w:cs="Times New Roman" w:eastAsia="Times New Roman" w:hAnsi="Times New Roman"/>
          <w:sz w:val="15"/>
          <w:szCs w:val="15"/>
          <w:color w:val="auto"/>
        </w:rPr>
        <w:t xml:space="preserve"> shall be deemed to limit (x) any Subscriber’s right to distributions from the Trust Account in accordance with the Company’s amended and restated certificate of incorporation in respect of any redemptions by Subscriber of its shares of public Common Stock of the Company acquired by any means other than pursuant to this Subscription Agreement or</w:t>
      </w:r>
    </w:p>
    <w:p>
      <w:pPr>
        <w:spacing w:after="0" w:line="1" w:lineRule="exact"/>
        <w:rPr>
          <w:rFonts w:ascii="Times New Roman" w:cs="Times New Roman" w:eastAsia="Times New Roman" w:hAnsi="Times New Roman"/>
          <w:sz w:val="15"/>
          <w:szCs w:val="15"/>
          <w:color w:val="auto"/>
        </w:rPr>
      </w:pPr>
    </w:p>
    <w:p>
      <w:pPr>
        <w:jc w:val="both"/>
        <w:ind w:left="4" w:hanging="4"/>
        <w:spacing w:after="0" w:line="254" w:lineRule="auto"/>
        <w:tabs>
          <w:tab w:leader="none" w:pos="233"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Subscriber’s recourse against assets held outside of the Trust Account or held by the post-Closing combined entity. Subscriber acknowledges and agrees that it shall not have any redemption rights with respect to the Subscribed Shares pursuant to the Company’s organizational documents in connection with the Transaction or any other business combination, any subsequent liquidation of the Trust Account, the Company or otherwise.</w:t>
      </w:r>
    </w:p>
    <w:p>
      <w:pPr>
        <w:spacing w:after="0" w:line="163" w:lineRule="exact"/>
        <w:rPr>
          <w:rFonts w:ascii="Times New Roman" w:cs="Times New Roman" w:eastAsia="Times New Roman" w:hAnsi="Times New Roman"/>
          <w:sz w:val="16"/>
          <w:szCs w:val="16"/>
          <w:color w:val="auto"/>
        </w:rPr>
      </w:pPr>
    </w:p>
    <w:p>
      <w:pPr>
        <w:ind w:left="544" w:hanging="162"/>
        <w:spacing w:after="0"/>
        <w:tabs>
          <w:tab w:leader="none" w:pos="544" w:val="left"/>
        </w:tabs>
        <w:numPr>
          <w:ilvl w:val="1"/>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Miscellaneous</w:t>
      </w:r>
      <w:r>
        <w:rPr>
          <w:rFonts w:ascii="Times New Roman" w:cs="Times New Roman" w:eastAsia="Times New Roman" w:hAnsi="Times New Roman"/>
          <w:sz w:val="16"/>
          <w:szCs w:val="16"/>
          <w:color w:val="auto"/>
        </w:rPr>
        <w:t>.</w:t>
      </w:r>
    </w:p>
    <w:p>
      <w:pPr>
        <w:spacing w:after="0" w:line="198" w:lineRule="exact"/>
        <w:rPr>
          <w:rFonts w:ascii="Times New Roman" w:cs="Times New Roman" w:eastAsia="Times New Roman" w:hAnsi="Times New Roman"/>
          <w:sz w:val="16"/>
          <w:szCs w:val="16"/>
          <w:color w:val="auto"/>
        </w:rPr>
      </w:pPr>
    </w:p>
    <w:p>
      <w:pPr>
        <w:jc w:val="both"/>
        <w:ind w:left="4" w:firstLine="824"/>
        <w:spacing w:after="0" w:line="255" w:lineRule="auto"/>
        <w:tabs>
          <w:tab w:leader="none" w:pos="995" w:val="left"/>
        </w:tabs>
        <w:numPr>
          <w:ilvl w:val="2"/>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All notices, requests, demands, claims, and other communications hereunder shall be in writing. Any notice, request, demand, claim, or other communication hereunder shall be deemed duly given (i) when delivered personally to the recipient; (ii) when sent by electronic mail, on the date of transmission to such recipient; provided, that such notice, request, demand, claim or other communication is also sent to the recipient pursuant to clauses (i), (iii) or (iv) of this </w:t>
      </w:r>
      <w:r>
        <w:rPr>
          <w:rFonts w:ascii="Times New Roman" w:cs="Times New Roman" w:eastAsia="Times New Roman" w:hAnsi="Times New Roman"/>
          <w:sz w:val="16"/>
          <w:szCs w:val="16"/>
          <w:u w:val="single" w:color="auto"/>
          <w:color w:val="auto"/>
        </w:rPr>
        <w:t>Section 9(a)</w:t>
      </w:r>
      <w:r>
        <w:rPr>
          <w:rFonts w:ascii="Times New Roman" w:cs="Times New Roman" w:eastAsia="Times New Roman" w:hAnsi="Times New Roman"/>
          <w:sz w:val="16"/>
          <w:szCs w:val="16"/>
          <w:color w:val="auto"/>
        </w:rPr>
        <w:t xml:space="preserve">; (iii) one Business Day after being sent to the recipient by reputable overnight courier service (charges prepaid), or (iv) four (4) Business Days after being mailed to the recipient by certified or registered mail, return receipt requested and postage prepaid, and, in each case, addressed to the intended recipient at its address specified on the signature page hereof or to such electronic mail address or address as subsequently modified by written notice given in accordance with this </w:t>
      </w:r>
      <w:r>
        <w:rPr>
          <w:rFonts w:ascii="Times New Roman" w:cs="Times New Roman" w:eastAsia="Times New Roman" w:hAnsi="Times New Roman"/>
          <w:sz w:val="16"/>
          <w:szCs w:val="16"/>
          <w:u w:val="single" w:color="auto"/>
          <w:color w:val="auto"/>
        </w:rPr>
        <w:t>Section 9(a)</w:t>
      </w:r>
      <w:r>
        <w:rPr>
          <w:rFonts w:ascii="Times New Roman" w:cs="Times New Roman" w:eastAsia="Times New Roman" w:hAnsi="Times New Roman"/>
          <w:sz w:val="16"/>
          <w:szCs w:val="16"/>
          <w:color w:val="auto"/>
        </w:rPr>
        <w:t>.</w:t>
      </w:r>
    </w:p>
    <w:p>
      <w:pPr>
        <w:spacing w:after="0" w:line="165" w:lineRule="exact"/>
        <w:rPr>
          <w:rFonts w:ascii="Times New Roman" w:cs="Times New Roman" w:eastAsia="Times New Roman" w:hAnsi="Times New Roman"/>
          <w:sz w:val="16"/>
          <w:szCs w:val="16"/>
          <w:color w:val="auto"/>
        </w:rPr>
      </w:pPr>
    </w:p>
    <w:p>
      <w:pPr>
        <w:jc w:val="both"/>
        <w:ind w:left="4" w:right="20" w:firstLine="824"/>
        <w:spacing w:after="0" w:line="255" w:lineRule="auto"/>
        <w:tabs>
          <w:tab w:leader="none" w:pos="995" w:val="left"/>
        </w:tabs>
        <w:numPr>
          <w:ilvl w:val="2"/>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Subscriber acknowledges that the Company and others will rely on the acknowledgments, understandings, agreements, representations and warranties contained in this Subscription Agreement. Prior to the Closing, Subscriber agrees to promptly notify the Company if it becomes aware that any of the acknowledgments, understandings, agreements, representations and warranties of Subscriber set forth herein are no longer accurate in all material respects. The Company acknowledges that Subscriber and others will rely on the acknowledgments, understandings, agreements, representations and warranties contained in this Subscription Agreement. Prior to the Closing, the Company agrees to promptly notify Subscriber if it becomes aware that any of the acknowledgments, understandings, agreements, representations and warranties of the Company set forth herein are no longer accurate in all material respects.</w:t>
      </w:r>
    </w:p>
    <w:p>
      <w:pPr>
        <w:spacing w:after="0" w:line="165" w:lineRule="exact"/>
        <w:rPr>
          <w:rFonts w:ascii="Times New Roman" w:cs="Times New Roman" w:eastAsia="Times New Roman" w:hAnsi="Times New Roman"/>
          <w:sz w:val="16"/>
          <w:szCs w:val="16"/>
          <w:color w:val="auto"/>
        </w:rPr>
      </w:pPr>
    </w:p>
    <w:p>
      <w:pPr>
        <w:ind w:left="4" w:firstLine="824"/>
        <w:spacing w:after="0" w:line="280" w:lineRule="auto"/>
        <w:tabs>
          <w:tab w:leader="none" w:pos="1014" w:val="left"/>
        </w:tabs>
        <w:numPr>
          <w:ilvl w:val="2"/>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Company and Subscriber is irrevocably authorized to produce this Subscription Agreement or a copy hereof to any interested party in any administrative or legal proceeding or official inquiry with respect to the matters covered hereby.</w:t>
      </w:r>
    </w:p>
    <w:p>
      <w:pPr>
        <w:spacing w:after="0" w:line="144" w:lineRule="exact"/>
        <w:rPr>
          <w:rFonts w:ascii="Times New Roman" w:cs="Times New Roman" w:eastAsia="Times New Roman" w:hAnsi="Times New Roman"/>
          <w:sz w:val="16"/>
          <w:szCs w:val="16"/>
          <w:color w:val="auto"/>
        </w:rPr>
      </w:pPr>
    </w:p>
    <w:p>
      <w:pPr>
        <w:ind w:left="984" w:hanging="156"/>
        <w:spacing w:after="0"/>
        <w:tabs>
          <w:tab w:leader="none" w:pos="984" w:val="left"/>
        </w:tabs>
        <w:numPr>
          <w:ilvl w:val="2"/>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Subscriber shall pay all of its own expenses in connection with this Subscription Agreement and the transactions contemplated herein.</w:t>
      </w:r>
    </w:p>
    <w:p>
      <w:pPr>
        <w:spacing w:after="0" w:line="198" w:lineRule="exact"/>
        <w:rPr>
          <w:rFonts w:ascii="Times New Roman" w:cs="Times New Roman" w:eastAsia="Times New Roman" w:hAnsi="Times New Roman"/>
          <w:sz w:val="16"/>
          <w:szCs w:val="16"/>
          <w:color w:val="auto"/>
        </w:rPr>
      </w:pPr>
    </w:p>
    <w:p>
      <w:pPr>
        <w:jc w:val="both"/>
        <w:ind w:left="4" w:right="20" w:firstLine="824"/>
        <w:spacing w:after="0" w:line="254" w:lineRule="auto"/>
        <w:tabs>
          <w:tab w:leader="none" w:pos="989" w:val="left"/>
        </w:tabs>
        <w:numPr>
          <w:ilvl w:val="2"/>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this Subscription Agreement nor any rights that may accrue to Subscriber hereunder (other than the Subscribed Shares acquired hereunder, if any) may be transferred or assigned. Neither this Subscription Agreement nor any rights that may accrue to the Company hereunder may be transferred or assigned (provided, that, for the avoidance of doubt, the Company may transfer the Subscription Agreement and its rights hereunder solely in connection with the consummation of the Transaction and exclusively to another entity under the control of, or under common control with, the Company). Notwithstanding the foregoing, Subscriber may assign its rights and obligations under this Subscription Agreement to one or more of its affiliates (including other investment funds or accounts managed or advised by the investment manager who acts on behalf of Subscriber) or, with the Company’s prior written consent, to another person, provided that no such assignment shall relieve Subscriber of its obligations hereunder if any such assignee fails to perform such obligations, unless the Company has given its prior written consent to such relief.</w:t>
      </w:r>
    </w:p>
    <w:p>
      <w:pPr>
        <w:spacing w:after="0" w:line="34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8195" cy="152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151" w:name="page152"/>
    <w:bookmarkEnd w:id="151"/>
    <w:p>
      <w:pPr>
        <w:ind w:left="820"/>
        <w:spacing w:after="0"/>
        <w:rPr>
          <w:sz w:val="20"/>
          <w:szCs w:val="20"/>
          <w:color w:val="auto"/>
        </w:rPr>
      </w:pPr>
      <w:r>
        <w:rPr>
          <w:rFonts w:ascii="Times New Roman" w:cs="Times New Roman" w:eastAsia="Times New Roman" w:hAnsi="Times New Roman"/>
          <w:sz w:val="16"/>
          <w:szCs w:val="16"/>
          <w:color w:val="auto"/>
        </w:rPr>
        <w:t>f. All the agreements, representations and warranties made by each party hereto in this Subscription Agreement shall survive the Closing.</w:t>
      </w:r>
    </w:p>
    <w:p>
      <w:pPr>
        <w:spacing w:after="0" w:line="198" w:lineRule="exact"/>
        <w:rPr>
          <w:sz w:val="20"/>
          <w:szCs w:val="20"/>
          <w:color w:val="auto"/>
        </w:rPr>
      </w:pPr>
    </w:p>
    <w:p>
      <w:pPr>
        <w:jc w:val="both"/>
        <w:ind w:firstLine="828"/>
        <w:spacing w:after="0" w:line="265" w:lineRule="auto"/>
        <w:rPr>
          <w:sz w:val="20"/>
          <w:szCs w:val="20"/>
          <w:color w:val="auto"/>
        </w:rPr>
      </w:pPr>
      <w:r>
        <w:rPr>
          <w:rFonts w:ascii="Times New Roman" w:cs="Times New Roman" w:eastAsia="Times New Roman" w:hAnsi="Times New Roman"/>
          <w:sz w:val="16"/>
          <w:szCs w:val="16"/>
          <w:color w:val="auto"/>
        </w:rPr>
        <w:t>g. The Company may request from Subscriber such additional information as the Company may deem necessary to evaluate the eligibility of Subscriber to acquire the Subscribed Shares, and Subscriber shall provide such information as may be reasonably requested, to the extent readily available and to the extent consistent with its internal policies and procedures.</w:t>
      </w:r>
    </w:p>
    <w:p>
      <w:pPr>
        <w:spacing w:after="0" w:line="155" w:lineRule="exact"/>
        <w:rPr>
          <w:sz w:val="20"/>
          <w:szCs w:val="20"/>
          <w:color w:val="auto"/>
        </w:rPr>
      </w:pPr>
    </w:p>
    <w:p>
      <w:pPr>
        <w:jc w:val="both"/>
        <w:ind w:firstLine="828"/>
        <w:spacing w:after="0" w:line="252" w:lineRule="auto"/>
        <w:rPr>
          <w:sz w:val="20"/>
          <w:szCs w:val="20"/>
          <w:color w:val="auto"/>
        </w:rPr>
      </w:pPr>
      <w:r>
        <w:rPr>
          <w:rFonts w:ascii="Times New Roman" w:cs="Times New Roman" w:eastAsia="Times New Roman" w:hAnsi="Times New Roman"/>
          <w:sz w:val="16"/>
          <w:szCs w:val="16"/>
          <w:color w:val="auto"/>
        </w:rPr>
        <w:t>h. This Subscription Agreement may not be amended, modified, waived or terminated except by an instrument in writing, signed by the party against whom enforcement of such modification, waiver, or termination is sought; provided, that, this Subscription Agreement may be amended, modified, waived or terminated with the written consent of the Company and Subscribers then holding a majority of the Aggregate Subscribed Securities then committed to be purchased at the Closing by (or, if after the Closing, then held by) all Subscribers (the “</w:t>
      </w:r>
      <w:r>
        <w:rPr>
          <w:rFonts w:ascii="Times New Roman" w:cs="Times New Roman" w:eastAsia="Times New Roman" w:hAnsi="Times New Roman"/>
          <w:sz w:val="16"/>
          <w:szCs w:val="16"/>
          <w:u w:val="single" w:color="auto"/>
          <w:color w:val="auto"/>
        </w:rPr>
        <w:t>Required Subscribers</w:t>
      </w:r>
      <w:r>
        <w:rPr>
          <w:rFonts w:ascii="Times New Roman" w:cs="Times New Roman" w:eastAsia="Times New Roman" w:hAnsi="Times New Roman"/>
          <w:sz w:val="16"/>
          <w:szCs w:val="16"/>
          <w:color w:val="auto"/>
        </w:rPr>
        <w:t xml:space="preserve">”). Upon the effectuation of such waiver, modification, amendment or termination with the consent of the Required Subscribers in conformance with this </w:t>
      </w:r>
      <w:r>
        <w:rPr>
          <w:rFonts w:ascii="Times New Roman" w:cs="Times New Roman" w:eastAsia="Times New Roman" w:hAnsi="Times New Roman"/>
          <w:sz w:val="16"/>
          <w:szCs w:val="16"/>
          <w:u w:val="single" w:color="auto"/>
          <w:color w:val="auto"/>
        </w:rPr>
        <w:t>Section 9(h)</w:t>
      </w:r>
      <w:r>
        <w:rPr>
          <w:rFonts w:ascii="Times New Roman" w:cs="Times New Roman" w:eastAsia="Times New Roman" w:hAnsi="Times New Roman"/>
          <w:sz w:val="16"/>
          <w:szCs w:val="16"/>
          <w:color w:val="auto"/>
        </w:rPr>
        <w:t xml:space="preserve">, such amendment, modification, waiver or termination shall be binding on all Subscribers and effective as to all of the Subscription Agreements. The Company shall promptly give written notice thereof to Subscriber if Subscriber has not previously consented to such amendment, modification, waiver or termination in writing; provided that the failure to give such notice shall not affect the validity of such amendment, modification, waiver or termination. Notwithstanding anything to the contrary herein, (i) no amendment, modification or waiver shall be effective against any Subscriber unless such amendment, modification or waiver applies to all Subscribers equally; (ii) any amendment, modification or waiver that has a disproportionate effect on a Subscriber (considered apart from any disproportionate effect owing to the number of Subscribed Shares held by such Subscriber), shall require the consent of such Subscriber; (iii) any amendment to </w:t>
      </w:r>
      <w:r>
        <w:rPr>
          <w:rFonts w:ascii="Times New Roman" w:cs="Times New Roman" w:eastAsia="Times New Roman" w:hAnsi="Times New Roman"/>
          <w:sz w:val="16"/>
          <w:szCs w:val="16"/>
          <w:u w:val="single" w:color="auto"/>
          <w:color w:val="auto"/>
        </w:rPr>
        <w:t>Section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3(e)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6</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7</w:t>
      </w:r>
      <w:r>
        <w:rPr>
          <w:rFonts w:ascii="Times New Roman" w:cs="Times New Roman" w:eastAsia="Times New Roman" w:hAnsi="Times New Roman"/>
          <w:sz w:val="16"/>
          <w:szCs w:val="16"/>
          <w:color w:val="auto"/>
        </w:rPr>
        <w:t xml:space="preserve"> (to amend the definition of Termination Date) or this </w:t>
      </w:r>
      <w:r>
        <w:rPr>
          <w:rFonts w:ascii="Times New Roman" w:cs="Times New Roman" w:eastAsia="Times New Roman" w:hAnsi="Times New Roman"/>
          <w:sz w:val="16"/>
          <w:szCs w:val="16"/>
          <w:u w:val="single" w:color="auto"/>
          <w:color w:val="auto"/>
        </w:rPr>
        <w:t>Section 9(h)</w:t>
      </w:r>
      <w:r>
        <w:rPr>
          <w:rFonts w:ascii="Times New Roman" w:cs="Times New Roman" w:eastAsia="Times New Roman" w:hAnsi="Times New Roman"/>
          <w:sz w:val="16"/>
          <w:szCs w:val="16"/>
          <w:color w:val="auto"/>
        </w:rPr>
        <w:t xml:space="preserve"> of this Subscription Agreement; and (iv) any amendment, modification or other change that alters the Per Share Price, the Purchase Price, or the number of Subscribed Shares shall require the consent of the undersigned Subscriber.</w:t>
      </w:r>
    </w:p>
    <w:p>
      <w:pPr>
        <w:spacing w:after="0" w:line="167" w:lineRule="exact"/>
        <w:rPr>
          <w:sz w:val="20"/>
          <w:szCs w:val="20"/>
          <w:color w:val="auto"/>
        </w:rPr>
      </w:pPr>
    </w:p>
    <w:p>
      <w:pPr>
        <w:jc w:val="both"/>
        <w:ind w:right="20" w:firstLine="828"/>
        <w:spacing w:after="0" w:line="280" w:lineRule="auto"/>
        <w:rPr>
          <w:sz w:val="20"/>
          <w:szCs w:val="20"/>
          <w:color w:val="auto"/>
        </w:rPr>
      </w:pPr>
      <w:r>
        <w:rPr>
          <w:rFonts w:ascii="Times New Roman" w:cs="Times New Roman" w:eastAsia="Times New Roman" w:hAnsi="Times New Roman"/>
          <w:sz w:val="16"/>
          <w:szCs w:val="16"/>
          <w:color w:val="auto"/>
        </w:rPr>
        <w:t>i. This Subscription Agreement constitutes the entire agreement, and supersedes all other prior agreements, understandings, representations and warranties, both written and oral, among the parties, with respect to the subject matter hereof.</w:t>
      </w:r>
    </w:p>
    <w:p>
      <w:pPr>
        <w:spacing w:after="0" w:line="144" w:lineRule="exact"/>
        <w:rPr>
          <w:sz w:val="20"/>
          <w:szCs w:val="20"/>
          <w:color w:val="auto"/>
        </w:rPr>
      </w:pPr>
    </w:p>
    <w:p>
      <w:pPr>
        <w:jc w:val="both"/>
        <w:ind w:right="20" w:firstLine="828"/>
        <w:spacing w:after="0" w:line="265" w:lineRule="auto"/>
        <w:rPr>
          <w:sz w:val="20"/>
          <w:szCs w:val="20"/>
          <w:color w:val="auto"/>
        </w:rPr>
      </w:pPr>
      <w:r>
        <w:rPr>
          <w:rFonts w:ascii="Times New Roman" w:cs="Times New Roman" w:eastAsia="Times New Roman" w:hAnsi="Times New Roman"/>
          <w:sz w:val="16"/>
          <w:szCs w:val="16"/>
          <w:color w:val="auto"/>
        </w:rPr>
        <w:t>j. Except as otherwise provided herein,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155" w:lineRule="exact"/>
        <w:rPr>
          <w:sz w:val="20"/>
          <w:szCs w:val="20"/>
          <w:color w:val="auto"/>
        </w:rPr>
      </w:pPr>
    </w:p>
    <w:p>
      <w:pPr>
        <w:jc w:val="both"/>
        <w:ind w:right="20" w:firstLine="828"/>
        <w:spacing w:after="0" w:line="280" w:lineRule="auto"/>
        <w:rPr>
          <w:sz w:val="20"/>
          <w:szCs w:val="20"/>
          <w:color w:val="auto"/>
        </w:rPr>
      </w:pPr>
      <w:r>
        <w:rPr>
          <w:rFonts w:ascii="Times New Roman" w:cs="Times New Roman" w:eastAsia="Times New Roman" w:hAnsi="Times New Roman"/>
          <w:sz w:val="16"/>
          <w:szCs w:val="16"/>
          <w:color w:val="auto"/>
        </w:rPr>
        <w:t>k. If any provision of this Subscription Agreement shall be invalid, illegal or unenforceable, the validity, legality or enforceability of the remaining provisions of this Subscription Agreement shall not in any way be affected or impaired thereby and shall continue in full force and effect.</w:t>
      </w:r>
    </w:p>
    <w:p>
      <w:pPr>
        <w:spacing w:after="0" w:line="144" w:lineRule="exact"/>
        <w:rPr>
          <w:sz w:val="20"/>
          <w:szCs w:val="20"/>
          <w:color w:val="auto"/>
        </w:rPr>
      </w:pPr>
    </w:p>
    <w:p>
      <w:pPr>
        <w:jc w:val="both"/>
        <w:ind w:right="20" w:firstLine="828"/>
        <w:spacing w:after="0" w:line="265" w:lineRule="auto"/>
        <w:rPr>
          <w:sz w:val="20"/>
          <w:szCs w:val="20"/>
          <w:color w:val="auto"/>
        </w:rPr>
      </w:pPr>
      <w:r>
        <w:rPr>
          <w:rFonts w:ascii="Times New Roman" w:cs="Times New Roman" w:eastAsia="Times New Roman" w:hAnsi="Times New Roman"/>
          <w:sz w:val="16"/>
          <w:szCs w:val="16"/>
          <w:color w:val="auto"/>
        </w:rPr>
        <w:t>l. This Subscription Agreement may be executed and delivered in one or more counterparts (including by facsimile or electronic mail or in .pdf) and by different parties in separate counterparts, with the same effect as if all parties hereto had signed the same document. All counterparts so executed and delivered shall be construed together and shall constitute one and the same agreement.</w:t>
      </w:r>
    </w:p>
    <w:p>
      <w:pPr>
        <w:spacing w:after="0" w:line="155" w:lineRule="exact"/>
        <w:rPr>
          <w:sz w:val="20"/>
          <w:szCs w:val="20"/>
          <w:color w:val="auto"/>
        </w:rPr>
      </w:pPr>
    </w:p>
    <w:p>
      <w:pPr>
        <w:jc w:val="both"/>
        <w:ind w:firstLine="828"/>
        <w:spacing w:after="0" w:line="280" w:lineRule="auto"/>
        <w:rPr>
          <w:sz w:val="20"/>
          <w:szCs w:val="20"/>
          <w:color w:val="auto"/>
        </w:rPr>
      </w:pPr>
      <w:r>
        <w:rPr>
          <w:rFonts w:ascii="Times New Roman" w:cs="Times New Roman" w:eastAsia="Times New Roman" w:hAnsi="Times New Roman"/>
          <w:sz w:val="16"/>
          <w:szCs w:val="16"/>
          <w:color w:val="auto"/>
        </w:rPr>
        <w:t>m. This Subscription Agreement is intended for the benefit of the parties hereto and their respective successors and permitted assigns and is not for the benefit of, nor may any provision hereof be enforced by, any other person.</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52" w:name="page153"/>
    <w:bookmarkEnd w:id="152"/>
    <w:p>
      <w:pPr>
        <w:jc w:val="both"/>
        <w:ind w:right="20" w:firstLine="828"/>
        <w:spacing w:after="0" w:line="259" w:lineRule="auto"/>
        <w:rPr>
          <w:sz w:val="20"/>
          <w:szCs w:val="20"/>
          <w:color w:val="auto"/>
        </w:rPr>
      </w:pPr>
      <w:r>
        <w:rPr>
          <w:rFonts w:ascii="Times New Roman" w:cs="Times New Roman" w:eastAsia="Times New Roman" w:hAnsi="Times New Roman"/>
          <w:sz w:val="16"/>
          <w:szCs w:val="16"/>
          <w:color w:val="auto"/>
        </w:rPr>
        <w:t>n. The parties hereto agree that irreparable damage would occur in the event that any of the provisions of this Subscription Agreement were not performed in accordance with their specific terms or were otherwise breached. It is accordingly agreed that the parties shall be entitled to seek an injunction or injunctions to prevent breaches of this Subscription Agreement and to enforce specifically the terms and provisions of this Subscription Agreement, this being in addition to any other remedy to which such party is entitled at law, in equity, in contract, in tort or otherwise.</w:t>
      </w:r>
    </w:p>
    <w:p>
      <w:pPr>
        <w:spacing w:after="0" w:line="162" w:lineRule="exact"/>
        <w:rPr>
          <w:sz w:val="20"/>
          <w:szCs w:val="20"/>
          <w:color w:val="auto"/>
        </w:rPr>
      </w:pPr>
    </w:p>
    <w:p>
      <w:pPr>
        <w:jc w:val="both"/>
        <w:ind w:right="20" w:firstLine="828"/>
        <w:spacing w:after="0" w:line="280" w:lineRule="auto"/>
        <w:rPr>
          <w:sz w:val="20"/>
          <w:szCs w:val="20"/>
          <w:color w:val="auto"/>
        </w:rPr>
      </w:pPr>
      <w:r>
        <w:rPr>
          <w:rFonts w:ascii="Times New Roman" w:cs="Times New Roman" w:eastAsia="Times New Roman" w:hAnsi="Times New Roman"/>
          <w:sz w:val="16"/>
          <w:szCs w:val="16"/>
          <w:color w:val="auto"/>
        </w:rPr>
        <w:t>o. This Subscription Agreement shall be governed by, and construed in accordance with, the laws of the State of Delaware, without regard to the principles of conflicts of laws that would otherwise require the application of the law of any other state.</w:t>
      </w:r>
    </w:p>
    <w:p>
      <w:pPr>
        <w:spacing w:after="0" w:line="142" w:lineRule="exact"/>
        <w:rPr>
          <w:sz w:val="20"/>
          <w:szCs w:val="20"/>
          <w:color w:val="auto"/>
        </w:rPr>
      </w:pPr>
    </w:p>
    <w:p>
      <w:pPr>
        <w:jc w:val="both"/>
        <w:ind w:right="20" w:firstLine="828"/>
        <w:spacing w:after="0" w:line="253" w:lineRule="auto"/>
        <w:rPr>
          <w:sz w:val="20"/>
          <w:szCs w:val="20"/>
          <w:color w:val="auto"/>
        </w:rPr>
      </w:pPr>
      <w:r>
        <w:rPr>
          <w:rFonts w:ascii="Times New Roman" w:cs="Times New Roman" w:eastAsia="Times New Roman" w:hAnsi="Times New Roman"/>
          <w:sz w:val="16"/>
          <w:szCs w:val="16"/>
          <w:color w:val="auto"/>
        </w:rPr>
        <w:t xml:space="preserve">p. </w:t>
      </w:r>
      <w:r>
        <w:rPr>
          <w:rFonts w:ascii="Times New Roman" w:cs="Times New Roman" w:eastAsia="Times New Roman" w:hAnsi="Times New Roman"/>
          <w:sz w:val="16"/>
          <w:szCs w:val="16"/>
          <w:b w:val="1"/>
          <w:bCs w:val="1"/>
          <w:color w:val="auto"/>
        </w:rPr>
        <w:t>EACH PARTY HEREBY WAIVES ITS RESPECTIVE RIGHTS TO A TRIAL BY JURY OF ANY CLAIM OR CAUSE OF ACTION BASED UPON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OR ARISING OUT OR RELATED TO THIS SUBSCRIPTION AGREEMENT OR THE TRANSACTIONS CONTEMPLATED HEREBY IN ANY ACTION, PROCEEDING OR OTHER LITIGATION OF ANY TYPE BROUGHT BY ANY PARTY AGAINST ANY OTHER PARTY OR ANY AFFILIATE OF ANY OTHER SUCH PARTY, WHETHER WITH RESPECT TO CONTRACT CLAIMS, TORT CLAIMS OR OTHERWISE. THE PARTIES AGREE THAT ANY SUCH CLAIM OR CAUSE OF ACTION SHALL BE TRIED BY A COURT TRIAL WITHOUT A JURY. WITHOUT LIMITING THE FOREGOING, THE PARTIES FURTHER AGREE THAT THEIR RESPECTIVE RIGHT TO A TRIAL BY JURY IS WAIVED BY OPERATION OF THIS SECTION AS TO ANY ACTION, COUNTERCLAIM OR OTHER PROCEEDING WHICH SEEKS, IN WHOLE OR IN PART, TO CHALLENGE THE VALIDITY OR ENFORCEABILITY OF THIS SUBSCRIPTION AGREEMENT OR ANY PROVISION HEREOF. THIS WAIVER SHALL APPLY TO ANY SUBSEQUENT AMENDMENTS, RENEWALS, SUPPLEMENTS OR MODIFICATIONS TO THIS SUBSCRIPTION AGREEMENT.</w:t>
      </w:r>
    </w:p>
    <w:p>
      <w:pPr>
        <w:spacing w:after="0" w:line="168" w:lineRule="exact"/>
        <w:rPr>
          <w:sz w:val="20"/>
          <w:szCs w:val="20"/>
          <w:color w:val="auto"/>
        </w:rPr>
      </w:pPr>
    </w:p>
    <w:p>
      <w:pPr>
        <w:jc w:val="both"/>
        <w:ind w:right="20" w:firstLine="828"/>
        <w:spacing w:after="0" w:line="252" w:lineRule="auto"/>
        <w:rPr>
          <w:sz w:val="20"/>
          <w:szCs w:val="20"/>
          <w:color w:val="auto"/>
        </w:rPr>
      </w:pPr>
      <w:r>
        <w:rPr>
          <w:rFonts w:ascii="Times New Roman" w:cs="Times New Roman" w:eastAsia="Times New Roman" w:hAnsi="Times New Roman"/>
          <w:sz w:val="16"/>
          <w:szCs w:val="16"/>
          <w:color w:val="auto"/>
        </w:rPr>
        <w:t>q. The parties agree that all disputes, legal actions, suits and proceedings arising out of or relating to this Subscription Agreement must be brought exclusively in the Court of Chancery of the State of Delaware and any state appellate court therefrom within the State of Delaware (or, if the Court of Chancery of the State of Delaware declines to accept jurisdiction over a particular matter, any federal court within the State of Delaware or, in the event each federal court within the State of Delaware declines to accept jurisdiction over a particular matter, any state court within the State of Delaware) (collectively the “</w:t>
      </w:r>
      <w:r>
        <w:rPr>
          <w:rFonts w:ascii="Times New Roman" w:cs="Times New Roman" w:eastAsia="Times New Roman" w:hAnsi="Times New Roman"/>
          <w:sz w:val="16"/>
          <w:szCs w:val="16"/>
          <w:u w:val="single" w:color="auto"/>
          <w:color w:val="auto"/>
        </w:rPr>
        <w:t>Designated Courts</w:t>
      </w:r>
      <w:r>
        <w:rPr>
          <w:rFonts w:ascii="Times New Roman" w:cs="Times New Roman" w:eastAsia="Times New Roman" w:hAnsi="Times New Roman"/>
          <w:sz w:val="16"/>
          <w:szCs w:val="16"/>
          <w:color w:val="auto"/>
        </w:rPr>
        <w:t xml:space="preserve">”). Each party hereby consents and submits to the exclusive jurisdiction of the Designated Courts. No legal action, suit or proceeding with respect to this subscription agreement may be brought in any other forum. Each party hereby irrevocably waives all claims of immunity from jurisdiction and any objection which such party may now or hereafter have to the laying of venue of any suit, action or proceeding in any Designated Court, including any right to object on the basis that any dispute, action, suit or proceeding brought in the Designated Courts has been brought in an improper or inconvenient forum or venue. Each of the parties also agrees that delivery of any process, summons, notice or document to a party hereof in compliance with </w:t>
      </w:r>
      <w:r>
        <w:rPr>
          <w:rFonts w:ascii="Times New Roman" w:cs="Times New Roman" w:eastAsia="Times New Roman" w:hAnsi="Times New Roman"/>
          <w:sz w:val="16"/>
          <w:szCs w:val="16"/>
          <w:u w:val="single" w:color="auto"/>
          <w:color w:val="auto"/>
        </w:rPr>
        <w:t>Section 9(a)</w:t>
      </w:r>
      <w:r>
        <w:rPr>
          <w:rFonts w:ascii="Times New Roman" w:cs="Times New Roman" w:eastAsia="Times New Roman" w:hAnsi="Times New Roman"/>
          <w:sz w:val="16"/>
          <w:szCs w:val="16"/>
          <w:color w:val="auto"/>
        </w:rPr>
        <w:t xml:space="preserve"> of this Subscription Agreement shall be effective service of process for any action, suit or proceeding in a Designated Court with respect to any matters to which the parties have submitted to jurisdiction as set forth above.</w:t>
      </w:r>
    </w:p>
    <w:p>
      <w:pPr>
        <w:spacing w:after="0" w:line="171" w:lineRule="exact"/>
        <w:rPr>
          <w:sz w:val="20"/>
          <w:szCs w:val="20"/>
          <w:color w:val="auto"/>
        </w:rPr>
      </w:pPr>
    </w:p>
    <w:p>
      <w:pPr>
        <w:jc w:val="both"/>
        <w:ind w:right="20" w:firstLine="828"/>
        <w:spacing w:after="0" w:line="255" w:lineRule="auto"/>
        <w:rPr>
          <w:sz w:val="20"/>
          <w:szCs w:val="20"/>
          <w:color w:val="auto"/>
        </w:rPr>
      </w:pPr>
      <w:r>
        <w:rPr>
          <w:rFonts w:ascii="Times New Roman" w:cs="Times New Roman" w:eastAsia="Times New Roman" w:hAnsi="Times New Roman"/>
          <w:sz w:val="16"/>
          <w:szCs w:val="16"/>
          <w:color w:val="auto"/>
        </w:rPr>
        <w:t>r. This Subscription Agreement may only be enforced against, and any claim, action, suit or other legal proceeding based upon, arising out of, or related to this Subscription Agreement, or the negotiation, execution or performance of this Subscription Agreement, may only be brought against the entities that are expressly named as parties hereto and then only with respect to the specific obligations set forth herein with respect to such party. No past, present or future director, officer, employee, incorporator, manager, member, partner, stockholder, affiliate, agent, attorney or other representative of any party hereto or of any affiliate of any party hereto, or any of their successors or permitted assigns, shall have any liability for any obligations or liabilities of any party hereto under this Subscription Agreement or for any claim, action, suit or other legal proceeding based on, in respect of or by reason of the transactions contemplated hereby.</w:t>
      </w:r>
    </w:p>
    <w:p>
      <w:pPr>
        <w:spacing w:after="0" w:line="169" w:lineRule="exact"/>
        <w:rPr>
          <w:sz w:val="20"/>
          <w:szCs w:val="20"/>
          <w:color w:val="auto"/>
        </w:rPr>
      </w:pPr>
    </w:p>
    <w:p>
      <w:pPr>
        <w:jc w:val="both"/>
        <w:ind w:firstLine="828"/>
        <w:spacing w:after="0"/>
        <w:rPr>
          <w:sz w:val="20"/>
          <w:szCs w:val="20"/>
          <w:color w:val="auto"/>
        </w:rPr>
      </w:pPr>
      <w:r>
        <w:rPr>
          <w:rFonts w:ascii="Times New Roman" w:cs="Times New Roman" w:eastAsia="Times New Roman" w:hAnsi="Times New Roman"/>
          <w:sz w:val="16"/>
          <w:szCs w:val="16"/>
          <w:color w:val="auto"/>
        </w:rPr>
        <w:t>s. The Company shall, by 9:00 a.m., New York City time, on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6"/>
          <w:szCs w:val="16"/>
          <w:color w:val="auto"/>
        </w:rPr>
        <w:t>) business day immediately following the date of this Subscription Agreement, issue one or more press releases or file with the Commission a Current Report on Form 8-K (collectively, the “</w:t>
      </w:r>
      <w:r>
        <w:rPr>
          <w:rFonts w:ascii="Times New Roman" w:cs="Times New Roman" w:eastAsia="Times New Roman" w:hAnsi="Times New Roman"/>
          <w:sz w:val="16"/>
          <w:szCs w:val="16"/>
          <w:u w:val="single" w:color="auto"/>
          <w:color w:val="auto"/>
        </w:rPr>
        <w:t>Disclosure Document</w:t>
      </w:r>
      <w:r>
        <w:rPr>
          <w:rFonts w:ascii="Times New Roman" w:cs="Times New Roman" w:eastAsia="Times New Roman" w:hAnsi="Times New Roman"/>
          <w:sz w:val="16"/>
          <w:szCs w:val="16"/>
          <w:color w:val="auto"/>
        </w:rPr>
        <w:t>”) disclosing, to the extent not previously publicly disclosed, all material terms of the transactions contemplated hereby and any other material, nonpublic information that the Company has provided to Subscriber at any time prior to the filing of the Disclosure Document. From and after the issuance of the Disclosure Document, Subscriber shall not be in possession of any material, non- public information received from the Company or any of its officers, directors or employees. Notwithstanding the foregoing, the Company shall not publicly disclose the name of Subscriber or any affiliate or investment adviser of Subscriber, or include the name of Subscriber or any affiliate or investment adviser of Subscriber in any press release or in any filing with the Commission or any regulatory agency or trading market, without the prior written consent (including by e-mail) of Subscriber, except as required by the federal securities laws, rules or regulations and to the extent such disclosure is required by other laws, rules or regulations, at the request of the staff of the Commission or regulatory agency or under Nasdaq Stock Market regulations, in which case the Company shall provide Subscriber with prior written notice (including by e-mail) of such permitted disclosure, and shall reasonably consult with Subscriber regarding such disclosure.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53" w:name="page154"/>
    <w:bookmarkEnd w:id="153"/>
    <w:p>
      <w:pPr>
        <w:jc w:val="both"/>
        <w:ind w:firstLine="828"/>
        <w:spacing w:after="0" w:line="251" w:lineRule="auto"/>
        <w:rPr>
          <w:sz w:val="20"/>
          <w:szCs w:val="20"/>
          <w:color w:val="auto"/>
        </w:rPr>
      </w:pPr>
      <w:r>
        <w:rPr>
          <w:rFonts w:ascii="Times New Roman" w:cs="Times New Roman" w:eastAsia="Times New Roman" w:hAnsi="Times New Roman"/>
          <w:sz w:val="16"/>
          <w:szCs w:val="16"/>
          <w:color w:val="auto"/>
        </w:rPr>
        <w:t>t. The obligations of Subscriber under this Subscription Agreement are several and not joint with the obligations of any Other Subscriber or any other investor under the Other Subscription Agreements, and Subscriber shall not be responsible in any way for the performance of the obligations of any Other Subscriber under this Subscription Agreement or any other investor under the Other Subscription Agreements. The decision of Subscriber to purchase Subscribed Shares pursuant to this Subscription Agreement has been made by Subscriber independently of any Other Subscriber or any other investor and independently of any information, materials, statements or opinions as to the business, affairs, operations, assets, properties, liabilities, results of operations, condition (financial or otherwise) or prospects of the Company or any of its subsidiaries which may have been made or given by any Other Subscriber or investor or by any agent or employee of any Other Subscriber or investor, and neither Subscriber nor any of its agents or employees shall have any liability to any Other Subscriber or investor (or any other person) relating to or arising from any such information, materials, statements or opinions. Nothing contained herein or in any Other Subscription Agreement, and no action taken by Subscriber or investor pursuant hereto or thereto, shall be deemed to constitute Subscriber and other investors as a partnership, an association, a joint venture or any other kind of entity, or create a presumption that Subscriber and other investors are in any way acting in concert or as a group with respect to such obligations or the transactions contemplated by this Subscription Agreement and the Other Subscription Agreements. Subscriber acknowledges that no Other Subscriber has acted as agent for Subscriber in connection with making its investment hereunder and no Other Subscriber will be acting as agent of Subscriber in connection with monitoring its investment in the Subscribed Shares or enforcing its rights under this Subscription Agreement. Subscriber shall be entitled to independently protect and enforce its rights, including without limitation the rights arising out of this Subscription Agreement, and it shall not be necessary for any Other Subscriber or investor to be joined as an additional party in any proceeding for such purpose.</w:t>
      </w:r>
    </w:p>
    <w:p>
      <w:pPr>
        <w:spacing w:after="0" w:line="174"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6"/>
          <w:szCs w:val="16"/>
          <w:color w:val="auto"/>
        </w:rPr>
        <w:t>u. Following the Closing Date, Company shall hold regular quarterly conference calls to discuss the company’s financial results during the previous quarter.</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pages follow.]</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54" w:name="page155"/>
    <w:bookmarkEnd w:id="154"/>
    <w:p>
      <w:pPr>
        <w:ind w:firstLine="382"/>
        <w:spacing w:after="0" w:line="283" w:lineRule="auto"/>
        <w:rPr>
          <w:sz w:val="20"/>
          <w:szCs w:val="20"/>
          <w:color w:val="auto"/>
        </w:rPr>
      </w:pPr>
      <w:r>
        <w:rPr>
          <w:rFonts w:ascii="Times New Roman" w:cs="Times New Roman" w:eastAsia="Times New Roman" w:hAnsi="Times New Roman"/>
          <w:sz w:val="16"/>
          <w:szCs w:val="16"/>
          <w:b w:val="1"/>
          <w:bCs w:val="1"/>
          <w:color w:val="auto"/>
        </w:rPr>
        <w:t>IN WITNESS WHEREOF</w:t>
      </w:r>
      <w:r>
        <w:rPr>
          <w:rFonts w:ascii="Times New Roman" w:cs="Times New Roman" w:eastAsia="Times New Roman" w:hAnsi="Times New Roman"/>
          <w:sz w:val="16"/>
          <w:szCs w:val="16"/>
          <w:color w:val="auto"/>
        </w:rPr>
        <w:t>, each of the Company and Subscriber has executed or caused this Subscription Agreement to be executed by its duly authorized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representative as of the date first set forth above.</w:t>
      </w:r>
    </w:p>
    <w:p>
      <w:pPr>
        <w:spacing w:after="0" w:line="14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VENTOUX CCM ACQUISITION CORP.</w:t>
      </w:r>
    </w:p>
    <w:p>
      <w:pPr>
        <w:spacing w:after="0" w:line="198"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6"/>
          <w:szCs w:val="16"/>
          <w:color w:val="auto"/>
        </w:rPr>
        <w:t>By:</w:t>
        <w:tab/>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15240</wp:posOffset>
            </wp:positionV>
            <wp:extent cx="2572385" cy="152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6"/>
          <w:szCs w:val="16"/>
          <w:color w:val="auto"/>
        </w:rPr>
        <w:t>Name: Edward Scheetz</w:t>
      </w:r>
    </w:p>
    <w:p>
      <w:pPr>
        <w:spacing w:after="0" w:line="24"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6"/>
          <w:szCs w:val="16"/>
          <w:color w:val="auto"/>
        </w:rPr>
        <w:t>Title: Chairman and Chief Executive Officer</w:t>
      </w:r>
    </w:p>
    <w:p>
      <w:pPr>
        <w:spacing w:after="0" w:line="18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Address for Notices:</w:t>
      </w:r>
    </w:p>
    <w:p>
      <w:pPr>
        <w:spacing w:after="0" w:line="19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1 East Putnam Avenue, Floor 4</w:t>
      </w:r>
    </w:p>
    <w:p>
      <w:pPr>
        <w:spacing w:after="0" w:line="19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Greenwich, CT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Ventoux CCM Acquisition Corp Subscription Agreement]</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155" w:name="page156"/>
    <w:bookmarkEnd w:id="155"/>
    <w:tbl>
      <w:tblPr>
        <w:tblLayout w:type="fixed"/>
        <w:tblInd w:w="6760" w:type="dxa"/>
        <w:tblCellMar>
          <w:top w:w="0" w:type="dxa"/>
          <w:left w:w="0" w:type="dxa"/>
          <w:bottom w:w="0" w:type="dxa"/>
          <w:right w:w="0" w:type="dxa"/>
        </w:tblCellMar>
      </w:tblPr>
      <w:tr>
        <w:trPr>
          <w:trHeight w:val="208"/>
        </w:trPr>
        <w:tc>
          <w:tcPr>
            <w:tcW w:w="1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SUBSCRIBER:</w:t>
            </w:r>
          </w:p>
        </w:tc>
        <w:tc>
          <w:tcPr>
            <w:tcW w:w="3380" w:type="dxa"/>
            <w:vAlign w:val="bottom"/>
          </w:tcPr>
          <w:p>
            <w:pPr>
              <w:spacing w:after="0"/>
              <w:rPr>
                <w:sz w:val="18"/>
                <w:szCs w:val="18"/>
                <w:color w:val="auto"/>
              </w:rPr>
            </w:pPr>
          </w:p>
        </w:tc>
      </w:tr>
      <w:tr>
        <w:trPr>
          <w:trHeight w:val="386"/>
        </w:trPr>
        <w:tc>
          <w:tcPr>
            <w:tcW w:w="1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Print Name:</w:t>
            </w:r>
          </w:p>
        </w:tc>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Presto CA LLC</w:t>
            </w:r>
          </w:p>
        </w:tc>
      </w:tr>
      <w:tr>
        <w:trPr>
          <w:trHeight w:val="386"/>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/s/ Joseph McCoy</w:t>
            </w:r>
          </w:p>
        </w:tc>
      </w:tr>
      <w:tr>
        <w:trPr>
          <w:trHeight w:val="175"/>
        </w:trPr>
        <w:tc>
          <w:tcPr>
            <w:tcW w:w="5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Name:</w:t>
            </w:r>
          </w:p>
        </w:tc>
        <w:tc>
          <w:tcPr>
            <w:tcW w:w="394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Joseph McCoy</w:t>
            </w:r>
          </w:p>
        </w:tc>
      </w:tr>
      <w:tr>
        <w:trPr>
          <w:trHeight w:val="208"/>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Authorized Signatory</w:t>
            </w:r>
          </w:p>
        </w:tc>
      </w:tr>
    </w:tbl>
    <w:p>
      <w:pPr>
        <w:spacing w:after="0" w:line="17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Address for Notices:</w:t>
      </w:r>
    </w:p>
    <w:p>
      <w:pPr>
        <w:spacing w:after="0" w:line="19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222 N. Canal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4291965</wp:posOffset>
            </wp:positionH>
            <wp:positionV relativeFrom="paragraph">
              <wp:posOffset>15240</wp:posOffset>
            </wp:positionV>
            <wp:extent cx="2853055" cy="152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1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Third Floor Chicago, IL 60606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4291965</wp:posOffset>
            </wp:positionH>
            <wp:positionV relativeFrom="paragraph">
              <wp:posOffset>15240</wp:posOffset>
            </wp:positionV>
            <wp:extent cx="2853055" cy="152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1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Name in which shares are to be registered: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4291965</wp:posOffset>
            </wp:positionH>
            <wp:positionV relativeFrom="paragraph">
              <wp:posOffset>257810</wp:posOffset>
            </wp:positionV>
            <wp:extent cx="2853055" cy="152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Number of Subscribed Shares subscribed for:</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6,593,687</w:t>
            </w:r>
          </w:p>
        </w:tc>
        <w:tc>
          <w:tcPr>
            <w:tcW w:w="120" w:type="dxa"/>
            <w:vAlign w:val="bottom"/>
            <w:shd w:val="clear" w:color="auto" w:fill="CCEEFF"/>
          </w:tcPr>
          <w:p>
            <w:pPr>
              <w:spacing w:after="0"/>
              <w:rPr>
                <w:sz w:val="16"/>
                <w:szCs w:val="16"/>
                <w:color w:val="auto"/>
              </w:rPr>
            </w:pPr>
          </w:p>
        </w:tc>
      </w:tr>
      <w:tr>
        <w:trPr>
          <w:trHeight w:val="191"/>
        </w:trPr>
        <w:tc>
          <w:tcPr>
            <w:tcW w:w="10020" w:type="dxa"/>
            <w:vAlign w:val="bottom"/>
          </w:tcPr>
          <w:p>
            <w:pPr>
              <w:spacing w:after="0"/>
              <w:rPr>
                <w:sz w:val="20"/>
                <w:szCs w:val="20"/>
                <w:color w:val="auto"/>
              </w:rPr>
            </w:pPr>
            <w:r>
              <w:rPr>
                <w:rFonts w:ascii="Times New Roman" w:cs="Times New Roman" w:eastAsia="Times New Roman" w:hAnsi="Times New Roman"/>
                <w:sz w:val="16"/>
                <w:szCs w:val="16"/>
                <w:color w:val="auto"/>
              </w:rPr>
              <w:t>Price Per Subscribed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7.58</w:t>
            </w:r>
          </w:p>
        </w:tc>
      </w:tr>
      <w:tr>
        <w:trPr>
          <w:trHeight w:val="203"/>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Aggregate Purchase Price of Subscribed Shares: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50,000,000.00</w:t>
            </w:r>
          </w:p>
        </w:tc>
      </w:tr>
      <w:tr>
        <w:trPr>
          <w:trHeight w:val="24"/>
        </w:trPr>
        <w:tc>
          <w:tcPr>
            <w:tcW w:w="100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You must pay the Purchase Price by wire transfer of United States dollars in immediately available funds to the account of the Company specified by the Company in the Closing Notice.</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Ventoux CCM Acquisition Corp Subscription Agreement]</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56" w:name="page157"/>
    <w:bookmarkEnd w:id="156"/>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ANNEX A</w:t>
      </w:r>
    </w:p>
    <w:p>
      <w:pPr>
        <w:spacing w:after="0" w:line="19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ELIGIBILITY REPRESENTATIONS OF SUBSCRIBER</w:t>
      </w:r>
    </w:p>
    <w:p>
      <w:pPr>
        <w:spacing w:after="0" w:line="20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This Annex A should be completed and signed by Subscriber</w:t>
      </w:r>
    </w:p>
    <w:p>
      <w:pPr>
        <w:spacing w:after="0" w:line="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and constitutes a part of the Subscription Agreement.</w:t>
      </w:r>
    </w:p>
    <w:p>
      <w:pPr>
        <w:spacing w:after="0" w:line="182" w:lineRule="exact"/>
        <w:rPr>
          <w:sz w:val="20"/>
          <w:szCs w:val="20"/>
          <w:color w:val="auto"/>
        </w:rPr>
      </w:pPr>
    </w:p>
    <w:p>
      <w:pPr>
        <w:ind w:left="564" w:hanging="564"/>
        <w:spacing w:after="0"/>
        <w:tabs>
          <w:tab w:leader="none" w:pos="564" w:val="left"/>
        </w:tabs>
        <w:numPr>
          <w:ilvl w:val="0"/>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ACCREDITED INVESTOR STATUS (Please check the box)</w:t>
      </w:r>
    </w:p>
    <w:p>
      <w:pPr>
        <w:spacing w:after="0" w:line="198" w:lineRule="exact"/>
        <w:rPr>
          <w:rFonts w:ascii="Times New Roman" w:cs="Times New Roman" w:eastAsia="Times New Roman" w:hAnsi="Times New Roman"/>
          <w:sz w:val="16"/>
          <w:szCs w:val="16"/>
          <w:color w:val="auto"/>
        </w:rPr>
      </w:pPr>
    </w:p>
    <w:p>
      <w:pPr>
        <w:ind w:left="864" w:right="20" w:hanging="291"/>
        <w:spacing w:after="0" w:line="280" w:lineRule="auto"/>
        <w:tabs>
          <w:tab w:leader="none" w:pos="864" w:val="left"/>
        </w:tabs>
        <w:numPr>
          <w:ilvl w:val="1"/>
          <w:numId w:val="176"/>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Subscriber is an “accredited investor” (within the meaning of Rule 501(a) under the Securities Act) and has marked and initialed the appropriate box below indicating the provision under which it qualifies as an “accredited investor.”</w:t>
      </w:r>
    </w:p>
    <w:p>
      <w:pPr>
        <w:spacing w:after="0" w:line="144" w:lineRule="exact"/>
        <w:rPr>
          <w:rFonts w:ascii="MS PGothic" w:cs="MS PGothic" w:eastAsia="MS PGothic" w:hAnsi="MS PGothic"/>
          <w:sz w:val="16"/>
          <w:szCs w:val="16"/>
          <w:color w:val="auto"/>
        </w:rPr>
      </w:pPr>
    </w:p>
    <w:p>
      <w:pPr>
        <w:ind w:left="564" w:hanging="564"/>
        <w:spacing w:after="0"/>
        <w:tabs>
          <w:tab w:leader="none" w:pos="564" w:val="left"/>
        </w:tabs>
        <w:numPr>
          <w:ilvl w:val="0"/>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AFFILIATE STATUS</w:t>
      </w:r>
    </w:p>
    <w:p>
      <w:pPr>
        <w:spacing w:after="0" w:line="23" w:lineRule="exact"/>
        <w:rPr>
          <w:rFonts w:ascii="Times New Roman" w:cs="Times New Roman" w:eastAsia="Times New Roman" w:hAnsi="Times New Roman"/>
          <w:sz w:val="16"/>
          <w:szCs w:val="16"/>
          <w:color w:val="auto"/>
        </w:rPr>
      </w:pPr>
    </w:p>
    <w:p>
      <w:pPr>
        <w:ind w:left="564"/>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(Please check the applicable box)</w:t>
      </w:r>
    </w:p>
    <w:p>
      <w:pPr>
        <w:spacing w:after="0" w:line="181" w:lineRule="exact"/>
        <w:rPr>
          <w:rFonts w:ascii="Times New Roman" w:cs="Times New Roman" w:eastAsia="Times New Roman" w:hAnsi="Times New Roman"/>
          <w:sz w:val="16"/>
          <w:szCs w:val="16"/>
          <w:color w:val="auto"/>
        </w:rPr>
      </w:pPr>
    </w:p>
    <w:p>
      <w:pPr>
        <w:ind w:left="564"/>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SUBSCRIBER:</w:t>
      </w:r>
    </w:p>
    <w:p>
      <w:pPr>
        <w:spacing w:after="0" w:line="198" w:lineRule="exact"/>
        <w:rPr>
          <w:rFonts w:ascii="Times New Roman" w:cs="Times New Roman" w:eastAsia="Times New Roman" w:hAnsi="Times New Roman"/>
          <w:sz w:val="16"/>
          <w:szCs w:val="16"/>
          <w:color w:val="auto"/>
        </w:rPr>
      </w:pPr>
    </w:p>
    <w:p>
      <w:pPr>
        <w:ind w:left="864" w:hanging="291"/>
        <w:spacing w:after="0"/>
        <w:tabs>
          <w:tab w:leader="none" w:pos="864" w:val="left"/>
        </w:tabs>
        <w:numPr>
          <w:ilvl w:val="1"/>
          <w:numId w:val="176"/>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is:</w:t>
      </w:r>
    </w:p>
    <w:p>
      <w:pPr>
        <w:spacing w:after="0" w:line="198" w:lineRule="exact"/>
        <w:rPr>
          <w:rFonts w:ascii="MS PGothic" w:cs="MS PGothic" w:eastAsia="MS PGothic" w:hAnsi="MS PGothic"/>
          <w:sz w:val="16"/>
          <w:szCs w:val="16"/>
          <w:color w:val="auto"/>
        </w:rPr>
      </w:pPr>
    </w:p>
    <w:p>
      <w:pPr>
        <w:ind w:left="864" w:hanging="291"/>
        <w:spacing w:after="0"/>
        <w:tabs>
          <w:tab w:leader="none" w:pos="864" w:val="left"/>
        </w:tabs>
        <w:numPr>
          <w:ilvl w:val="1"/>
          <w:numId w:val="176"/>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is not:</w:t>
      </w:r>
    </w:p>
    <w:p>
      <w:pPr>
        <w:spacing w:after="0" w:line="198"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an “affiliate” (as defined in Rule 144 under the Securities Act) of the Company or acting on behalf of an affiliate of the Company.</w:t>
      </w:r>
    </w:p>
    <w:p>
      <w:pPr>
        <w:spacing w:after="0" w:line="198" w:lineRule="exact"/>
        <w:rPr>
          <w:sz w:val="20"/>
          <w:szCs w:val="20"/>
          <w:color w:val="auto"/>
        </w:rPr>
      </w:pPr>
    </w:p>
    <w:p>
      <w:pPr>
        <w:jc w:val="both"/>
        <w:ind w:left="4" w:firstLine="574"/>
        <w:spacing w:after="0" w:line="265" w:lineRule="auto"/>
        <w:rPr>
          <w:sz w:val="20"/>
          <w:szCs w:val="20"/>
          <w:color w:val="auto"/>
        </w:rPr>
      </w:pPr>
      <w:r>
        <w:rPr>
          <w:rFonts w:ascii="Times New Roman" w:cs="Times New Roman" w:eastAsia="Times New Roman" w:hAnsi="Times New Roman"/>
          <w:sz w:val="16"/>
          <w:szCs w:val="16"/>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Subscriber has indicated, by marking and initialing the appropriate box below, the provision(s) below which apply to Subscriber and under which Subscriber accordingly qualifies as an “accredited investor.”</w:t>
      </w:r>
    </w:p>
    <w:p>
      <w:pPr>
        <w:spacing w:after="0" w:line="155" w:lineRule="exact"/>
        <w:rPr>
          <w:sz w:val="20"/>
          <w:szCs w:val="20"/>
          <w:color w:val="auto"/>
        </w:rPr>
      </w:pPr>
    </w:p>
    <w:p>
      <w:pPr>
        <w:ind w:left="864" w:right="20" w:hanging="291"/>
        <w:spacing w:after="0" w:line="280" w:lineRule="auto"/>
        <w:tabs>
          <w:tab w:leader="none" w:pos="864" w:val="left"/>
        </w:tabs>
        <w:numPr>
          <w:ilvl w:val="0"/>
          <w:numId w:val="177"/>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bank, registered broker or dealer, insurance company, registered investment company, business development company, or small business investment company;</w:t>
      </w:r>
    </w:p>
    <w:p>
      <w:pPr>
        <w:spacing w:after="0" w:line="144" w:lineRule="exact"/>
        <w:rPr>
          <w:rFonts w:ascii="MS PGothic" w:cs="MS PGothic" w:eastAsia="MS PGothic" w:hAnsi="MS PGothic"/>
          <w:sz w:val="16"/>
          <w:szCs w:val="16"/>
          <w:color w:val="auto"/>
        </w:rPr>
      </w:pPr>
    </w:p>
    <w:p>
      <w:pPr>
        <w:ind w:left="864" w:right="20" w:hanging="291"/>
        <w:spacing w:after="0" w:line="280" w:lineRule="auto"/>
        <w:tabs>
          <w:tab w:leader="none" w:pos="864" w:val="left"/>
        </w:tabs>
        <w:numPr>
          <w:ilvl w:val="0"/>
          <w:numId w:val="177"/>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144" w:lineRule="exact"/>
        <w:rPr>
          <w:rFonts w:ascii="MS PGothic" w:cs="MS PGothic" w:eastAsia="MS PGothic" w:hAnsi="MS PGothic"/>
          <w:sz w:val="16"/>
          <w:szCs w:val="16"/>
          <w:color w:val="auto"/>
        </w:rPr>
      </w:pPr>
    </w:p>
    <w:p>
      <w:pPr>
        <w:ind w:left="864" w:right="20" w:hanging="291"/>
        <w:spacing w:after="0" w:line="280" w:lineRule="auto"/>
        <w:tabs>
          <w:tab w:leader="none" w:pos="864" w:val="left"/>
        </w:tabs>
        <w:numPr>
          <w:ilvl w:val="0"/>
          <w:numId w:val="177"/>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employee benefit plan, within the meaning of the Employee Retirement Income Security Act of 1974, if a bank, insurance company, or registered investment adviser makes the investment decisions, or if the plan has total assets in excess of $5,000,000;</w:t>
      </w:r>
    </w:p>
    <w:p>
      <w:pPr>
        <w:spacing w:after="0" w:line="144" w:lineRule="exact"/>
        <w:rPr>
          <w:rFonts w:ascii="MS PGothic" w:cs="MS PGothic" w:eastAsia="MS PGothic" w:hAnsi="MS PGothic"/>
          <w:sz w:val="16"/>
          <w:szCs w:val="16"/>
          <w:color w:val="auto"/>
        </w:rPr>
      </w:pPr>
    </w:p>
    <w:p>
      <w:pPr>
        <w:ind w:left="864" w:right="20" w:hanging="291"/>
        <w:spacing w:after="0" w:line="280" w:lineRule="auto"/>
        <w:tabs>
          <w:tab w:leader="none" w:pos="864" w:val="left"/>
        </w:tabs>
        <w:numPr>
          <w:ilvl w:val="0"/>
          <w:numId w:val="177"/>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corporation, similar business trust, partnership or any organization described in Section 501(c)(3) of the Internal Revenue Code, not formed for the specific purpose of acquiring the securities offered, with total assets in excess of $5,000,000;</w:t>
      </w:r>
    </w:p>
    <w:p>
      <w:pPr>
        <w:spacing w:after="0" w:line="144" w:lineRule="exact"/>
        <w:rPr>
          <w:rFonts w:ascii="MS PGothic" w:cs="MS PGothic" w:eastAsia="MS PGothic" w:hAnsi="MS PGothic"/>
          <w:sz w:val="16"/>
          <w:szCs w:val="16"/>
          <w:color w:val="auto"/>
        </w:rPr>
      </w:pPr>
    </w:p>
    <w:p>
      <w:pPr>
        <w:ind w:left="864" w:hanging="291"/>
        <w:spacing w:after="0"/>
        <w:tabs>
          <w:tab w:leader="none" w:pos="864" w:val="left"/>
        </w:tabs>
        <w:numPr>
          <w:ilvl w:val="0"/>
          <w:numId w:val="177"/>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trust with assets in excess of $5,000,000, not formed to acquire the securities offered, whose purchase is directed by a sophisticated person;</w:t>
      </w:r>
    </w:p>
    <w:p>
      <w:pPr>
        <w:spacing w:after="0" w:line="198" w:lineRule="exact"/>
        <w:rPr>
          <w:rFonts w:ascii="MS PGothic" w:cs="MS PGothic" w:eastAsia="MS PGothic" w:hAnsi="MS PGothic"/>
          <w:sz w:val="16"/>
          <w:szCs w:val="16"/>
          <w:color w:val="auto"/>
        </w:rPr>
      </w:pPr>
    </w:p>
    <w:p>
      <w:pPr>
        <w:ind w:left="864" w:hanging="291"/>
        <w:spacing w:after="0"/>
        <w:tabs>
          <w:tab w:leader="none" w:pos="864" w:val="left"/>
        </w:tabs>
        <w:numPr>
          <w:ilvl w:val="0"/>
          <w:numId w:val="177"/>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entity in which all of the equity owners are accredited investors meeting one or more of the above tests or one of the following tests; or</w:t>
      </w:r>
    </w:p>
    <w:p>
      <w:pPr>
        <w:spacing w:after="0" w:line="198" w:lineRule="exact"/>
        <w:rPr>
          <w:rFonts w:ascii="MS PGothic" w:cs="MS PGothic" w:eastAsia="MS PGothic" w:hAnsi="MS PGothic"/>
          <w:sz w:val="16"/>
          <w:szCs w:val="16"/>
          <w:color w:val="auto"/>
        </w:rPr>
      </w:pPr>
    </w:p>
    <w:p>
      <w:pPr>
        <w:ind w:left="864" w:hanging="291"/>
        <w:spacing w:after="0"/>
        <w:tabs>
          <w:tab w:leader="none" w:pos="864" w:val="left"/>
        </w:tabs>
        <w:numPr>
          <w:ilvl w:val="0"/>
          <w:numId w:val="177"/>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entity of a type not listed above and not formed for the specific purpose of acquiring the securities offered that owns investments in excess of $5,000,000.</w:t>
      </w:r>
    </w:p>
    <w:p>
      <w:pPr>
        <w:spacing w:after="0" w:line="38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8195" cy="152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4" w:right="319" w:bottom="1440" w:gutter="0" w:footer="0" w:header="0"/>
        </w:sectPr>
      </w:pPr>
    </w:p>
    <w:bookmarkStart w:id="157" w:name="page158"/>
    <w:bookmarkEnd w:id="157"/>
    <w:p>
      <w:pPr>
        <w:ind w:left="20"/>
        <w:spacing w:after="0"/>
        <w:tabs>
          <w:tab w:leader="none" w:pos="1540" w:val="left"/>
        </w:tabs>
        <w:rPr>
          <w:sz w:val="20"/>
          <w:szCs w:val="20"/>
          <w:color w:val="auto"/>
        </w:rPr>
      </w:pPr>
      <w:r>
        <w:rPr>
          <w:rFonts w:ascii="Times New Roman" w:cs="Times New Roman" w:eastAsia="Times New Roman" w:hAnsi="Times New Roman"/>
          <w:sz w:val="16"/>
          <w:szCs w:val="16"/>
          <w:color w:val="auto"/>
        </w:rPr>
        <w:t>[Specify which tests:</w:t>
        <w:tab/>
        <w:t>]</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SUBSCRIBER:</w:t>
      </w:r>
    </w:p>
    <w:p>
      <w:pPr>
        <w:spacing w:after="0" w:line="21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Print Name:</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15240</wp:posOffset>
            </wp:positionV>
            <wp:extent cx="2572385" cy="152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color w:val="auto"/>
        </w:rPr>
        <w:t>Name:</w:t>
      </w:r>
    </w:p>
    <w:p>
      <w:pPr>
        <w:spacing w:after="0" w:line="24"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color w:val="auto"/>
        </w:rPr>
        <w:t>Title:</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15240</wp:posOffset>
            </wp:positionV>
            <wp:extent cx="7148195" cy="152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019"/>
          </w:cols>
          <w:pgMar w:left="1440" w:top="816" w:right="1440" w:bottom="1440" w:gutter="0" w:footer="0" w:header="0"/>
        </w:sectPr>
      </w:pPr>
    </w:p>
    <w:bookmarkStart w:id="158" w:name="page159"/>
    <w:bookmarkEnd w:id="158"/>
    <w:p>
      <w:pPr>
        <w:ind w:left="10420"/>
        <w:spacing w:after="0"/>
        <w:rPr>
          <w:sz w:val="20"/>
          <w:szCs w:val="20"/>
          <w:color w:val="auto"/>
        </w:rPr>
      </w:pPr>
      <w:r>
        <w:rPr>
          <w:rFonts w:ascii="Times New Roman" w:cs="Times New Roman" w:eastAsia="Times New Roman" w:hAnsi="Times New Roman"/>
          <w:sz w:val="16"/>
          <w:szCs w:val="16"/>
          <w:b w:val="1"/>
          <w:bCs w:val="1"/>
          <w:color w:val="auto"/>
        </w:rPr>
        <w:t>Exhibit 10.3</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OF SUBSCRIPTION AGREEMENT</w:t>
      </w:r>
    </w:p>
    <w:p>
      <w:pPr>
        <w:spacing w:after="0" w:line="200" w:lineRule="exact"/>
        <w:rPr>
          <w:sz w:val="20"/>
          <w:szCs w:val="20"/>
          <w:color w:val="auto"/>
        </w:rPr>
      </w:pPr>
    </w:p>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This SUBSCRIPTION AGREEMENT (this “</w:t>
      </w:r>
      <w:r>
        <w:rPr>
          <w:rFonts w:ascii="Times New Roman" w:cs="Times New Roman" w:eastAsia="Times New Roman" w:hAnsi="Times New Roman"/>
          <w:sz w:val="16"/>
          <w:szCs w:val="16"/>
          <w:u w:val="single" w:color="auto"/>
          <w:color w:val="auto"/>
        </w:rPr>
        <w:t>Subscription Agreement”)</w:t>
      </w:r>
      <w:r>
        <w:rPr>
          <w:rFonts w:ascii="Times New Roman" w:cs="Times New Roman" w:eastAsia="Times New Roman" w:hAnsi="Times New Roman"/>
          <w:sz w:val="16"/>
          <w:szCs w:val="16"/>
          <w:color w:val="auto"/>
        </w:rPr>
        <w:t xml:space="preserve"> is entered into on July 25, 2022, by and between Ventoux CCM Acquisition Corp., a Delaware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and the undersigned subscriber (“</w:t>
      </w:r>
      <w:r>
        <w:rPr>
          <w:rFonts w:ascii="Times New Roman" w:cs="Times New Roman" w:eastAsia="Times New Roman" w:hAnsi="Times New Roman"/>
          <w:sz w:val="16"/>
          <w:szCs w:val="16"/>
          <w:u w:val="single" w:color="auto"/>
          <w:color w:val="auto"/>
        </w:rPr>
        <w:t>Subscriber</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firstLine="382"/>
        <w:spacing w:after="0" w:line="265" w:lineRule="auto"/>
        <w:rPr>
          <w:sz w:val="20"/>
          <w:szCs w:val="20"/>
          <w:color w:val="auto"/>
        </w:rPr>
      </w:pPr>
      <w:r>
        <w:rPr>
          <w:rFonts w:ascii="Times New Roman" w:cs="Times New Roman" w:eastAsia="Times New Roman" w:hAnsi="Times New Roman"/>
          <w:sz w:val="16"/>
          <w:szCs w:val="16"/>
          <w:color w:val="auto"/>
        </w:rPr>
        <w:t>WHEREAS, on November 10, 2021, the Company entered into a definitive agreement with E la Carte, Inc., a Delaware corporation (“</w:t>
      </w:r>
      <w:r>
        <w:rPr>
          <w:rFonts w:ascii="Times New Roman" w:cs="Times New Roman" w:eastAsia="Times New Roman" w:hAnsi="Times New Roman"/>
          <w:sz w:val="16"/>
          <w:szCs w:val="16"/>
          <w:u w:val="single" w:color="auto"/>
          <w:color w:val="auto"/>
        </w:rPr>
        <w:t>Presto</w:t>
      </w:r>
      <w:r>
        <w:rPr>
          <w:rFonts w:ascii="Times New Roman" w:cs="Times New Roman" w:eastAsia="Times New Roman" w:hAnsi="Times New Roman"/>
          <w:sz w:val="16"/>
          <w:szCs w:val="16"/>
          <w:color w:val="auto"/>
        </w:rPr>
        <w:t>”), and the other parties thereto (as subsequently amended), providing for the combination of the Company and Presto (as amended, the “</w:t>
      </w:r>
      <w:r>
        <w:rPr>
          <w:rFonts w:ascii="Times New Roman" w:cs="Times New Roman" w:eastAsia="Times New Roman" w:hAnsi="Times New Roman"/>
          <w:sz w:val="16"/>
          <w:szCs w:val="16"/>
          <w:u w:val="single" w:color="auto"/>
          <w:color w:val="auto"/>
        </w:rPr>
        <w:t>Transaction Agreement</w:t>
      </w:r>
      <w:r>
        <w:rPr>
          <w:rFonts w:ascii="Times New Roman" w:cs="Times New Roman" w:eastAsia="Times New Roman" w:hAnsi="Times New Roman"/>
          <w:sz w:val="16"/>
          <w:szCs w:val="16"/>
          <w:color w:val="auto"/>
        </w:rPr>
        <w:t>” and the transactions contemplated by the Transaction Agreement, the “</w:t>
      </w:r>
      <w:r>
        <w:rPr>
          <w:rFonts w:ascii="Times New Roman" w:cs="Times New Roman" w:eastAsia="Times New Roman" w:hAnsi="Times New Roman"/>
          <w:sz w:val="16"/>
          <w:szCs w:val="16"/>
          <w:u w:val="single" w:color="auto"/>
          <w:color w:val="auto"/>
        </w:rPr>
        <w:t>Transaction</w:t>
      </w:r>
      <w:r>
        <w:rPr>
          <w:rFonts w:ascii="Times New Roman" w:cs="Times New Roman" w:eastAsia="Times New Roman" w:hAnsi="Times New Roman"/>
          <w:sz w:val="16"/>
          <w:szCs w:val="16"/>
          <w:color w:val="auto"/>
        </w:rPr>
        <w:t>”);</w:t>
      </w:r>
    </w:p>
    <w:p>
      <w:pPr>
        <w:spacing w:after="0" w:line="155"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6"/>
          <w:szCs w:val="16"/>
          <w:color w:val="auto"/>
        </w:rPr>
        <w:t>WHEREAS, in connection with the Transaction, Subscriber desires to subscribe for and purchase from the Company, immediately prior to the consummation of the Transaction, that number of shares of the Company’s common stock, par value $0.0001 per share (the “</w:t>
      </w:r>
      <w:r>
        <w:rPr>
          <w:rFonts w:ascii="Times New Roman" w:cs="Times New Roman" w:eastAsia="Times New Roman" w:hAnsi="Times New Roman"/>
          <w:sz w:val="16"/>
          <w:szCs w:val="16"/>
          <w:u w:val="single" w:color="auto"/>
          <w:color w:val="auto"/>
        </w:rPr>
        <w:t>Common Stock</w:t>
      </w:r>
      <w:r>
        <w:rPr>
          <w:rFonts w:ascii="Times New Roman" w:cs="Times New Roman" w:eastAsia="Times New Roman" w:hAnsi="Times New Roman"/>
          <w:sz w:val="16"/>
          <w:szCs w:val="16"/>
          <w:color w:val="auto"/>
        </w:rPr>
        <w:t>”), set forth on the signature page hereto (the “</w:t>
      </w:r>
      <w:r>
        <w:rPr>
          <w:rFonts w:ascii="Times New Roman" w:cs="Times New Roman" w:eastAsia="Times New Roman" w:hAnsi="Times New Roman"/>
          <w:sz w:val="16"/>
          <w:szCs w:val="16"/>
          <w:u w:val="single" w:color="auto"/>
          <w:color w:val="auto"/>
        </w:rPr>
        <w:t>Subscribed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Shares</w:t>
      </w:r>
      <w:r>
        <w:rPr>
          <w:rFonts w:ascii="Times New Roman" w:cs="Times New Roman" w:eastAsia="Times New Roman" w:hAnsi="Times New Roman"/>
          <w:sz w:val="16"/>
          <w:szCs w:val="16"/>
          <w:color w:val="auto"/>
        </w:rPr>
        <w:t>”) for a purchase price of $10.00 per share (the “</w:t>
      </w:r>
      <w:r>
        <w:rPr>
          <w:rFonts w:ascii="Times New Roman" w:cs="Times New Roman" w:eastAsia="Times New Roman" w:hAnsi="Times New Roman"/>
          <w:sz w:val="16"/>
          <w:szCs w:val="16"/>
          <w:u w:val="single" w:color="auto"/>
          <w:color w:val="auto"/>
        </w:rPr>
        <w:t>Per Share Price</w:t>
      </w:r>
      <w:r>
        <w:rPr>
          <w:rFonts w:ascii="Times New Roman" w:cs="Times New Roman" w:eastAsia="Times New Roman" w:hAnsi="Times New Roman"/>
          <w:sz w:val="16"/>
          <w:szCs w:val="16"/>
          <w:color w:val="auto"/>
        </w:rPr>
        <w:t>” and the aggregate of such Per Share Price for all Subscribed Shares being referred to herein as the “</w:t>
      </w:r>
      <w:r>
        <w:rPr>
          <w:rFonts w:ascii="Times New Roman" w:cs="Times New Roman" w:eastAsia="Times New Roman" w:hAnsi="Times New Roman"/>
          <w:sz w:val="16"/>
          <w:szCs w:val="16"/>
          <w:u w:val="single" w:color="auto"/>
          <w:color w:val="auto"/>
        </w:rPr>
        <w:t>Purchase Price</w:t>
      </w:r>
      <w:r>
        <w:rPr>
          <w:rFonts w:ascii="Times New Roman" w:cs="Times New Roman" w:eastAsia="Times New Roman" w:hAnsi="Times New Roman"/>
          <w:sz w:val="16"/>
          <w:szCs w:val="16"/>
          <w:color w:val="auto"/>
        </w:rPr>
        <w:t>”), and the Company desires to issue and sell to Subscriber the Subscribed Shares in consideration of the payment of the Purchase Price by or on behalf of Subscriber to the Company; and</w:t>
      </w:r>
    </w:p>
    <w:p>
      <w:pPr>
        <w:spacing w:after="0" w:line="162" w:lineRule="exact"/>
        <w:rPr>
          <w:sz w:val="20"/>
          <w:szCs w:val="20"/>
          <w:color w:val="auto"/>
        </w:rPr>
      </w:pPr>
    </w:p>
    <w:p>
      <w:pPr>
        <w:jc w:val="both"/>
        <w:ind w:firstLine="382"/>
        <w:spacing w:after="0" w:line="252" w:lineRule="auto"/>
        <w:rPr>
          <w:sz w:val="20"/>
          <w:szCs w:val="20"/>
          <w:color w:val="auto"/>
        </w:rPr>
      </w:pPr>
      <w:r>
        <w:rPr>
          <w:rFonts w:ascii="Times New Roman" w:cs="Times New Roman" w:eastAsia="Times New Roman" w:hAnsi="Times New Roman"/>
          <w:sz w:val="16"/>
          <w:szCs w:val="16"/>
          <w:color w:val="auto"/>
        </w:rPr>
        <w:t>WHEREAS, substantially concurrently with the execution of the Transaction Agreement or prior to the closing date of the Transaction (the “</w:t>
      </w:r>
      <w:r>
        <w:rPr>
          <w:rFonts w:ascii="Times New Roman" w:cs="Times New Roman" w:eastAsia="Times New Roman" w:hAnsi="Times New Roman"/>
          <w:sz w:val="16"/>
          <w:szCs w:val="16"/>
          <w:u w:val="single" w:color="auto"/>
          <w:color w:val="auto"/>
        </w:rPr>
        <w:t>Closing Date</w:t>
      </w:r>
      <w:r>
        <w:rPr>
          <w:rFonts w:ascii="Times New Roman" w:cs="Times New Roman" w:eastAsia="Times New Roman" w:hAnsi="Times New Roman"/>
          <w:sz w:val="16"/>
          <w:szCs w:val="16"/>
          <w:color w:val="auto"/>
        </w:rPr>
        <w:t>”), the Company entered into or will enter into subscription agreements (the “</w:t>
      </w:r>
      <w:r>
        <w:rPr>
          <w:rFonts w:ascii="Times New Roman" w:cs="Times New Roman" w:eastAsia="Times New Roman" w:hAnsi="Times New Roman"/>
          <w:sz w:val="16"/>
          <w:szCs w:val="16"/>
          <w:u w:val="single" w:color="auto"/>
          <w:color w:val="auto"/>
        </w:rPr>
        <w:t>Other Subscription Agreements</w:t>
      </w:r>
      <w:r>
        <w:rPr>
          <w:rFonts w:ascii="Times New Roman" w:cs="Times New Roman" w:eastAsia="Times New Roman" w:hAnsi="Times New Roman"/>
          <w:sz w:val="16"/>
          <w:szCs w:val="16"/>
          <w:color w:val="auto"/>
        </w:rPr>
        <w:t>” and together with this Subscription Agreement, the “</w:t>
      </w:r>
      <w:r>
        <w:rPr>
          <w:rFonts w:ascii="Times New Roman" w:cs="Times New Roman" w:eastAsia="Times New Roman" w:hAnsi="Times New Roman"/>
          <w:sz w:val="16"/>
          <w:szCs w:val="16"/>
          <w:u w:val="single" w:color="auto"/>
          <w:color w:val="auto"/>
        </w:rPr>
        <w:t>Subscription Agreements</w:t>
      </w:r>
      <w:r>
        <w:rPr>
          <w:rFonts w:ascii="Times New Roman" w:cs="Times New Roman" w:eastAsia="Times New Roman" w:hAnsi="Times New Roman"/>
          <w:sz w:val="16"/>
          <w:szCs w:val="16"/>
          <w:color w:val="auto"/>
        </w:rPr>
        <w:t>”) with certain other accredited investors (the “</w:t>
      </w:r>
      <w:r>
        <w:rPr>
          <w:rFonts w:ascii="Times New Roman" w:cs="Times New Roman" w:eastAsia="Times New Roman" w:hAnsi="Times New Roman"/>
          <w:sz w:val="16"/>
          <w:szCs w:val="16"/>
          <w:u w:val="single" w:color="auto"/>
          <w:color w:val="auto"/>
        </w:rPr>
        <w:t>Other Subscribers</w:t>
      </w:r>
      <w:r>
        <w:rPr>
          <w:rFonts w:ascii="Times New Roman" w:cs="Times New Roman" w:eastAsia="Times New Roman" w:hAnsi="Times New Roman"/>
          <w:sz w:val="16"/>
          <w:szCs w:val="16"/>
          <w:color w:val="auto"/>
        </w:rPr>
        <w:t>” and together with Subscriber, the “</w:t>
      </w:r>
      <w:r>
        <w:rPr>
          <w:rFonts w:ascii="Times New Roman" w:cs="Times New Roman" w:eastAsia="Times New Roman" w:hAnsi="Times New Roman"/>
          <w:sz w:val="16"/>
          <w:szCs w:val="16"/>
          <w:u w:val="single" w:color="auto"/>
          <w:color w:val="auto"/>
        </w:rPr>
        <w:t>Subscribers</w:t>
      </w:r>
      <w:r>
        <w:rPr>
          <w:rFonts w:ascii="Times New Roman" w:cs="Times New Roman" w:eastAsia="Times New Roman" w:hAnsi="Times New Roman"/>
          <w:sz w:val="16"/>
          <w:szCs w:val="16"/>
          <w:color w:val="auto"/>
        </w:rPr>
        <w:t>”), which are on substantially the same terms as the terms of this Subscription Agreement (other than with respect to (t) the amounts, price and types of the Company’s securities to be subscribed for and purchased by the Other Subscribers and any terms relating to such other types of the Company’s securities, (u) certain fees payable by Presto to and certain board observer rights granted to Silver Rock Contingent Credit Fund LP, Silver Rock Tactical Allocation Fund LP, Lake Vineyard Fund LP and Silver Rock Empire Fund LP and their affiliates (collectively, “</w:t>
      </w:r>
      <w:r>
        <w:rPr>
          <w:rFonts w:ascii="Times New Roman" w:cs="Times New Roman" w:eastAsia="Times New Roman" w:hAnsi="Times New Roman"/>
          <w:sz w:val="16"/>
          <w:szCs w:val="16"/>
          <w:u w:val="single" w:color="auto"/>
          <w:color w:val="auto"/>
        </w:rPr>
        <w:t>Silver Rock</w:t>
      </w:r>
      <w:r>
        <w:rPr>
          <w:rFonts w:ascii="Times New Roman" w:cs="Times New Roman" w:eastAsia="Times New Roman" w:hAnsi="Times New Roman"/>
          <w:sz w:val="16"/>
          <w:szCs w:val="16"/>
          <w:color w:val="auto"/>
        </w:rPr>
        <w:t>”), (v) the purchase of Common Stock from the Sponsors (as defined herein), (w) certain rights to nominate a member of the Company’s board of directors after and contingent upon the Closing, (x) certain closing conditions in the Other Subscription Agreements relating to the Notes (as defined below) and certain representations related to the payment of expenses in the Transaction, (y) (i) any rights or benefits granted to an Other Subscriber in connection with such Other Subscriber’s compliance with any law, regulation or policy specifically applicable to such Other Subscriber or in connection with the taxable status of an Other Subscriber and (ii) any rights with respect to the confidentiality or disclosure of an Other Subscriber’s identity and (z) certain registration rights), pursuant to which such investors shall agree or have agreed to purchase on the Closing Date, as applicable (i) shares of Common Stock, at the Per Share Price and (ii) the Company’s convertible senior notes due 2026 (the “</w:t>
      </w:r>
      <w:r>
        <w:rPr>
          <w:rFonts w:ascii="Times New Roman" w:cs="Times New Roman" w:eastAsia="Times New Roman" w:hAnsi="Times New Roman"/>
          <w:sz w:val="16"/>
          <w:szCs w:val="16"/>
          <w:u w:val="single" w:color="auto"/>
          <w:color w:val="auto"/>
        </w:rPr>
        <w:t>Notes</w:t>
      </w:r>
      <w:r>
        <w:rPr>
          <w:rFonts w:ascii="Times New Roman" w:cs="Times New Roman" w:eastAsia="Times New Roman" w:hAnsi="Times New Roman"/>
          <w:sz w:val="16"/>
          <w:szCs w:val="16"/>
          <w:color w:val="auto"/>
        </w:rPr>
        <w:t>”) and related warrants (the “</w:t>
      </w:r>
      <w:r>
        <w:rPr>
          <w:rFonts w:ascii="Times New Roman" w:cs="Times New Roman" w:eastAsia="Times New Roman" w:hAnsi="Times New Roman"/>
          <w:sz w:val="16"/>
          <w:szCs w:val="16"/>
          <w:u w:val="single" w:color="auto"/>
          <w:color w:val="auto"/>
        </w:rPr>
        <w:t>Warrants</w:t>
      </w:r>
      <w:r>
        <w:rPr>
          <w:rFonts w:ascii="Times New Roman" w:cs="Times New Roman" w:eastAsia="Times New Roman" w:hAnsi="Times New Roman"/>
          <w:sz w:val="16"/>
          <w:szCs w:val="16"/>
          <w:color w:val="auto"/>
        </w:rPr>
        <w:t>”) to purchase shares of Common Stock (together with the Subscribed Shares, the “</w:t>
      </w:r>
      <w:r>
        <w:rPr>
          <w:rFonts w:ascii="Times New Roman" w:cs="Times New Roman" w:eastAsia="Times New Roman" w:hAnsi="Times New Roman"/>
          <w:sz w:val="16"/>
          <w:szCs w:val="16"/>
          <w:u w:val="single" w:color="auto"/>
          <w:color w:val="auto"/>
        </w:rPr>
        <w:t>Aggregate Subscribed Securities</w:t>
      </w:r>
      <w:r>
        <w:rPr>
          <w:rFonts w:ascii="Times New Roman" w:cs="Times New Roman" w:eastAsia="Times New Roman" w:hAnsi="Times New Roman"/>
          <w:sz w:val="16"/>
          <w:szCs w:val="16"/>
          <w:color w:val="auto"/>
        </w:rPr>
        <w:t>”); and</w:t>
      </w:r>
    </w:p>
    <w:p>
      <w:pPr>
        <w:spacing w:after="0" w:line="165" w:lineRule="exact"/>
        <w:rPr>
          <w:sz w:val="20"/>
          <w:szCs w:val="20"/>
          <w:color w:val="auto"/>
        </w:rPr>
      </w:pPr>
    </w:p>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WHEREAS, William Blair &amp; Company, L.L.C. (“</w:t>
      </w:r>
      <w:r>
        <w:rPr>
          <w:rFonts w:ascii="Times New Roman" w:cs="Times New Roman" w:eastAsia="Times New Roman" w:hAnsi="Times New Roman"/>
          <w:sz w:val="16"/>
          <w:szCs w:val="16"/>
          <w:u w:val="single" w:color="auto"/>
          <w:color w:val="auto"/>
        </w:rPr>
        <w:t>William Blair</w:t>
      </w:r>
      <w:r>
        <w:rPr>
          <w:rFonts w:ascii="Times New Roman" w:cs="Times New Roman" w:eastAsia="Times New Roman" w:hAnsi="Times New Roman"/>
          <w:sz w:val="16"/>
          <w:szCs w:val="16"/>
          <w:color w:val="auto"/>
        </w:rPr>
        <w:t>”), Truist Securities, Inc. (“</w:t>
      </w:r>
      <w:r>
        <w:rPr>
          <w:rFonts w:ascii="Times New Roman" w:cs="Times New Roman" w:eastAsia="Times New Roman" w:hAnsi="Times New Roman"/>
          <w:sz w:val="16"/>
          <w:szCs w:val="16"/>
          <w:u w:val="single" w:color="auto"/>
          <w:color w:val="auto"/>
        </w:rPr>
        <w:t>Truist</w:t>
      </w:r>
      <w:r>
        <w:rPr>
          <w:rFonts w:ascii="Times New Roman" w:cs="Times New Roman" w:eastAsia="Times New Roman" w:hAnsi="Times New Roman"/>
          <w:sz w:val="16"/>
          <w:szCs w:val="16"/>
          <w:color w:val="auto"/>
        </w:rPr>
        <w:t>”) and Chardan Capital Markets, LLC (“</w:t>
      </w:r>
      <w:r>
        <w:rPr>
          <w:rFonts w:ascii="Times New Roman" w:cs="Times New Roman" w:eastAsia="Times New Roman" w:hAnsi="Times New Roman"/>
          <w:sz w:val="16"/>
          <w:szCs w:val="16"/>
          <w:u w:val="single" w:color="auto"/>
          <w:color w:val="auto"/>
        </w:rPr>
        <w:t>Chardan”</w:t>
      </w:r>
      <w:r>
        <w:rPr>
          <w:rFonts w:ascii="Times New Roman" w:cs="Times New Roman" w:eastAsia="Times New Roman" w:hAnsi="Times New Roman"/>
          <w:sz w:val="16"/>
          <w:szCs w:val="16"/>
          <w:color w:val="auto"/>
        </w:rPr>
        <w:t>) are acting as placement agents to the Company in connection with the issuance and sale of Common Stock to Other Subscribers.</w:t>
      </w:r>
    </w:p>
    <w:p>
      <w:pPr>
        <w:spacing w:after="0" w:line="144" w:lineRule="exact"/>
        <w:rPr>
          <w:sz w:val="20"/>
          <w:szCs w:val="20"/>
          <w:color w:val="auto"/>
        </w:rPr>
      </w:pPr>
    </w:p>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NOW, THEREFORE, in consideration of the foregoing and the mutual representations, warranties and covenants, and subject to the conditions, herein contained, and intending to be legally bound hereby, the parties hereto hereby agree as follows:</w:t>
      </w:r>
    </w:p>
    <w:p>
      <w:pPr>
        <w:spacing w:after="0" w:line="144" w:lineRule="exact"/>
        <w:rPr>
          <w:sz w:val="20"/>
          <w:szCs w:val="20"/>
          <w:color w:val="auto"/>
        </w:rPr>
      </w:pPr>
    </w:p>
    <w:p>
      <w:pPr>
        <w:ind w:right="20" w:firstLine="378"/>
        <w:spacing w:after="0" w:line="280" w:lineRule="auto"/>
        <w:tabs>
          <w:tab w:leader="none" w:pos="542" w:val="left"/>
        </w:tabs>
        <w:numPr>
          <w:ilvl w:val="0"/>
          <w:numId w:val="1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Subscription</w:t>
      </w:r>
      <w:r>
        <w:rPr>
          <w:rFonts w:ascii="Times New Roman" w:cs="Times New Roman" w:eastAsia="Times New Roman" w:hAnsi="Times New Roman"/>
          <w:sz w:val="16"/>
          <w:szCs w:val="16"/>
          <w:color w:val="auto"/>
        </w:rPr>
        <w:t>. Subject to the terms and conditions hereof, at the Closing (as defined below), Subscriber hereby agrees to subscribe for and purchase, and the Company hereby agrees to issue and sell to Subscriber, upon the payment of the Purchase Price, the Subscribed Shares (such subscription and issuance, the “</w:t>
      </w:r>
      <w:r>
        <w:rPr>
          <w:rFonts w:ascii="Times New Roman" w:cs="Times New Roman" w:eastAsia="Times New Roman" w:hAnsi="Times New Roman"/>
          <w:sz w:val="16"/>
          <w:szCs w:val="16"/>
          <w:u w:val="single" w:color="auto"/>
          <w:color w:val="auto"/>
        </w:rPr>
        <w:t>Subscription</w:t>
      </w:r>
      <w:r>
        <w:rPr>
          <w:rFonts w:ascii="Times New Roman" w:cs="Times New Roman" w:eastAsia="Times New Roman" w:hAnsi="Times New Roman"/>
          <w:sz w:val="16"/>
          <w:szCs w:val="16"/>
          <w:color w:val="auto"/>
        </w:rPr>
        <w:t>”).</w:t>
      </w:r>
    </w:p>
    <w:p>
      <w:pPr>
        <w:spacing w:after="0" w:line="144" w:lineRule="exact"/>
        <w:rPr>
          <w:rFonts w:ascii="Times New Roman" w:cs="Times New Roman" w:eastAsia="Times New Roman" w:hAnsi="Times New Roman"/>
          <w:sz w:val="16"/>
          <w:szCs w:val="16"/>
          <w:color w:val="auto"/>
        </w:rPr>
      </w:pPr>
    </w:p>
    <w:p>
      <w:pPr>
        <w:ind w:left="540" w:hanging="162"/>
        <w:spacing w:after="0"/>
        <w:tabs>
          <w:tab w:leader="none" w:pos="540" w:val="left"/>
        </w:tabs>
        <w:numPr>
          <w:ilvl w:val="0"/>
          <w:numId w:val="1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Closing</w:t>
      </w:r>
      <w:r>
        <w:rPr>
          <w:rFonts w:ascii="Times New Roman" w:cs="Times New Roman" w:eastAsia="Times New Roman" w:hAnsi="Times New Roman"/>
          <w:sz w:val="16"/>
          <w:szCs w:val="16"/>
          <w:color w:val="auto"/>
        </w:rPr>
        <w:t>.</w:t>
      </w:r>
    </w:p>
    <w:p>
      <w:pPr>
        <w:spacing w:after="0" w:line="198" w:lineRule="exact"/>
        <w:rPr>
          <w:rFonts w:ascii="Times New Roman" w:cs="Times New Roman" w:eastAsia="Times New Roman" w:hAnsi="Times New Roman"/>
          <w:sz w:val="16"/>
          <w:szCs w:val="16"/>
          <w:color w:val="auto"/>
        </w:rPr>
      </w:pPr>
    </w:p>
    <w:p>
      <w:pPr>
        <w:ind w:right="20" w:firstLine="765"/>
        <w:spacing w:after="0" w:line="28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Subject to the terms of this Subscription Agreement, the consummation of the Subscription contemplated hereby (the “</w:t>
      </w:r>
      <w:r>
        <w:rPr>
          <w:rFonts w:ascii="Times New Roman" w:cs="Times New Roman" w:eastAsia="Times New Roman" w:hAnsi="Times New Roman"/>
          <w:sz w:val="16"/>
          <w:szCs w:val="16"/>
          <w:u w:val="single" w:color="auto"/>
          <w:color w:val="auto"/>
        </w:rPr>
        <w:t>Closing</w:t>
      </w:r>
      <w:r>
        <w:rPr>
          <w:rFonts w:ascii="Times New Roman" w:cs="Times New Roman" w:eastAsia="Times New Roman" w:hAnsi="Times New Roman"/>
          <w:sz w:val="16"/>
          <w:szCs w:val="16"/>
          <w:color w:val="auto"/>
        </w:rPr>
        <w:t>”) shall occur on the Closing Date immediately prior to or substantially concurrently with the consummation of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360045</wp:posOffset>
            </wp:positionV>
            <wp:extent cx="7148195" cy="152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59" w:name="page160"/>
    <w:bookmarkEnd w:id="159"/>
    <w:p>
      <w:pPr>
        <w:jc w:val="both"/>
        <w:ind w:firstLine="765"/>
        <w:spacing w:after="0" w:line="251" w:lineRule="auto"/>
        <w:rPr>
          <w:sz w:val="20"/>
          <w:szCs w:val="20"/>
          <w:color w:val="auto"/>
        </w:rPr>
      </w:pPr>
      <w:r>
        <w:rPr>
          <w:rFonts w:ascii="Times New Roman" w:cs="Times New Roman" w:eastAsia="Times New Roman" w:hAnsi="Times New Roman"/>
          <w:sz w:val="16"/>
          <w:szCs w:val="16"/>
          <w:color w:val="auto"/>
        </w:rPr>
        <w:t>b. At least five (5) Business Days before the anticipated Closing Date, the Company shall deliver written notice to Subscriber (the “</w:t>
      </w:r>
      <w:r>
        <w:rPr>
          <w:rFonts w:ascii="Times New Roman" w:cs="Times New Roman" w:eastAsia="Times New Roman" w:hAnsi="Times New Roman"/>
          <w:sz w:val="16"/>
          <w:szCs w:val="16"/>
          <w:u w:val="single" w:color="auto"/>
          <w:color w:val="auto"/>
        </w:rPr>
        <w:t>Closing Notice</w:t>
      </w:r>
      <w:r>
        <w:rPr>
          <w:rFonts w:ascii="Times New Roman" w:cs="Times New Roman" w:eastAsia="Times New Roman" w:hAnsi="Times New Roman"/>
          <w:sz w:val="16"/>
          <w:szCs w:val="16"/>
          <w:color w:val="auto"/>
        </w:rPr>
        <w:t xml:space="preserve">”) specifying (i) the anticipated Closing Date and (ii) the wire instructions for delivery of the Purchase Price to the Company. No later than two (2) Business Days after receiving the Closing Notice, Subscriber shall deliver to the Company such information as is reasonably requested in the Closing Notice in order for the Company to issue the Subscribed Shares to Subscriber. Subscriber shall deliver to the Company, no later than one (1) Business Day prior to the Closing Date as set forth in the Closing Notice, (a) the Purchase Price for the Subscribed Shares by wire transfer of United States dollars in immediately available funds to the account specified by the Company in the Closing Notice, such funds to be held by the Company in escrow until the Closing and (b) such information as is reasonably requested in the Closing Notice in order for the Company to issue the Subscribed Shares to Subscriber at the Closing. Upon satisfaction (or, if applicable, waiver) of the conditions set forth in this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xml:space="preserve">, the Company shall deliver to Subscriber (i) at the Closing, the Subscribed Shares in book entry form, free and clear of any liens or other restrictions (other than those arising under this Subscription Agreement or applicable state or federal securities laws), in the name of Subscriber (or its nominee in accordance with its delivery instructions) or to a custodian designated by Subscriber, as applicable, and (ii) written notice from the Company or its transfer agent evidencing the issuance to Subscriber of the Subscribed Shares on and as of the Closing Date. In the event that the consummation of the Transaction does not occur within two (2) Business Days after the anticipated Closing Date specified in the Closing Notice, unless otherwise agreed to in writing by the Company and Subscriber, the Company shall promptly (but in no event later than one (1) Business Day thereafter) return the funds so delivered by Subscriber to the Company by wire transfer in immediately available funds to the account specified by Subscriber and any book entries shall be deemed cancelled. Subscriber shall not be required to deliver to the Company on more than two (2) occasions, the Purchase Price pursuant to a Closing Notice. Notwithstanding such return or cancellation, a failure to close on the anticipated Closing Date shall not, by itself, be deemed to be a failure of any of the conditions to Closing set forth in this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xml:space="preserve"> to be satisfied or waived on or prior to the Closing Date. For the purposes of this Subscription Agreement, “Business Day” means any day other than a Saturday, Sunday or a day on which the Federal Reserve Bank of New York is closed.</w:t>
      </w:r>
    </w:p>
    <w:p>
      <w:pPr>
        <w:spacing w:after="0" w:line="170" w:lineRule="exact"/>
        <w:rPr>
          <w:sz w:val="20"/>
          <w:szCs w:val="20"/>
          <w:color w:val="auto"/>
        </w:rPr>
      </w:pPr>
    </w:p>
    <w:p>
      <w:pPr>
        <w:jc w:val="both"/>
        <w:ind w:right="20" w:firstLine="765"/>
        <w:spacing w:after="0" w:line="280" w:lineRule="auto"/>
        <w:rPr>
          <w:sz w:val="20"/>
          <w:szCs w:val="20"/>
          <w:color w:val="auto"/>
        </w:rPr>
      </w:pPr>
      <w:r>
        <w:rPr>
          <w:rFonts w:ascii="Times New Roman" w:cs="Times New Roman" w:eastAsia="Times New Roman" w:hAnsi="Times New Roman"/>
          <w:sz w:val="16"/>
          <w:szCs w:val="16"/>
          <w:color w:val="auto"/>
        </w:rPr>
        <w:t>c. The Closing shall be subject to the satisfaction or valid waiver in writing by each of the parties hereto (to the extent a valid waiver is capable of being issued) by the Company, on the one hand, or Subscriber, on the other, of the conditions that, on the Closing Date:</w:t>
      </w:r>
    </w:p>
    <w:p>
      <w:pPr>
        <w:spacing w:after="0" w:line="144" w:lineRule="exact"/>
        <w:rPr>
          <w:sz w:val="20"/>
          <w:szCs w:val="20"/>
          <w:color w:val="auto"/>
        </w:rPr>
      </w:pPr>
    </w:p>
    <w:p>
      <w:pPr>
        <w:jc w:val="both"/>
        <w:ind w:right="20" w:firstLine="1143"/>
        <w:spacing w:after="0" w:line="265" w:lineRule="auto"/>
        <w:tabs>
          <w:tab w:leader="none" w:pos="1337" w:val="left"/>
        </w:tabs>
        <w:numPr>
          <w:ilvl w:val="0"/>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suspension of the qualification of the Common Stock for offering or sale or trading in any jurisdiction, or initiation or threatening of any proceedings for any of such purposes, shall have occurred and the Subscribed Shares shall have been approved for listing on The Nasdaq Stock Market LLC (“</w:t>
      </w:r>
      <w:r>
        <w:rPr>
          <w:rFonts w:ascii="Times New Roman" w:cs="Times New Roman" w:eastAsia="Times New Roman" w:hAnsi="Times New Roman"/>
          <w:sz w:val="16"/>
          <w:szCs w:val="16"/>
          <w:u w:val="single" w:color="auto"/>
          <w:color w:val="auto"/>
        </w:rPr>
        <w:t>NASDAQ</w:t>
      </w:r>
      <w:r>
        <w:rPr>
          <w:rFonts w:ascii="Times New Roman" w:cs="Times New Roman" w:eastAsia="Times New Roman" w:hAnsi="Times New Roman"/>
          <w:sz w:val="16"/>
          <w:szCs w:val="16"/>
          <w:color w:val="auto"/>
        </w:rPr>
        <w:t>”), subject to official notice of issuance;</w:t>
      </w:r>
    </w:p>
    <w:p>
      <w:pPr>
        <w:spacing w:after="0" w:line="155" w:lineRule="exact"/>
        <w:rPr>
          <w:rFonts w:ascii="Times New Roman" w:cs="Times New Roman" w:eastAsia="Times New Roman" w:hAnsi="Times New Roman"/>
          <w:sz w:val="16"/>
          <w:szCs w:val="16"/>
          <w:color w:val="auto"/>
        </w:rPr>
      </w:pPr>
    </w:p>
    <w:p>
      <w:pPr>
        <w:ind w:right="20" w:firstLine="1143"/>
        <w:spacing w:after="0" w:line="280" w:lineRule="auto"/>
        <w:tabs>
          <w:tab w:leader="none" w:pos="1382" w:val="left"/>
        </w:tabs>
        <w:numPr>
          <w:ilvl w:val="0"/>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conditions precedent to the closing of the Transaction set forth in the Transaction Agreement, including the approval of the Company’s stockholders, shall have been satisfied or waived, and the closing of the Transaction shall be scheduled to occur concurrently with or immediately following the Closing; and</w:t>
      </w:r>
    </w:p>
    <w:p>
      <w:pPr>
        <w:spacing w:after="0" w:line="144" w:lineRule="exact"/>
        <w:rPr>
          <w:rFonts w:ascii="Times New Roman" w:cs="Times New Roman" w:eastAsia="Times New Roman" w:hAnsi="Times New Roman"/>
          <w:sz w:val="16"/>
          <w:szCs w:val="16"/>
          <w:color w:val="auto"/>
        </w:rPr>
      </w:pPr>
    </w:p>
    <w:p>
      <w:pPr>
        <w:jc w:val="both"/>
        <w:ind w:firstLine="1143"/>
        <w:spacing w:after="0" w:line="255" w:lineRule="auto"/>
        <w:tabs>
          <w:tab w:leader="none" w:pos="1510" w:val="left"/>
        </w:tabs>
        <w:numPr>
          <w:ilvl w:val="0"/>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governmental authority shall have enacted, issued, promulgated, enforced or entered any judgment, order, law, rule or regulation (whether temporary, preliminary or permanent) which is then in effect and has the effect of making consummation of the transactions contemplated hereby illegal or otherwise restraining or prohibiting consummation of the transactions contemplated hereby (except in the case of a governmental authority located outside the United States where such judgment, order, law, rule or regulation would not be reasonably expected to have a Company Material Adverse Effect (as defined below)); and no such governmental authority shall have instituted or threatened in writing a proceeding seeking to impose any such restraint or prohibition (except in the case of a governmental authority located outside the United States where such restraint or prohibition would not be reasonably expected to have a Company Material Adverse Effect).</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60" w:name="page161"/>
    <w:bookmarkEnd w:id="160"/>
    <w:p>
      <w:pPr>
        <w:ind w:firstLine="765"/>
        <w:spacing w:after="0" w:line="280" w:lineRule="auto"/>
        <w:rPr>
          <w:sz w:val="20"/>
          <w:szCs w:val="20"/>
          <w:color w:val="auto"/>
        </w:rPr>
      </w:pPr>
      <w:r>
        <w:rPr>
          <w:rFonts w:ascii="Times New Roman" w:cs="Times New Roman" w:eastAsia="Times New Roman" w:hAnsi="Times New Roman"/>
          <w:sz w:val="16"/>
          <w:szCs w:val="16"/>
          <w:color w:val="auto"/>
        </w:rPr>
        <w:t>d. The obligation of the Company to consummate the Closing shall be subject to the satisfaction or valid waiver in writing by the Company of the additional conditions that, on the Closing Date:</w:t>
      </w:r>
    </w:p>
    <w:p>
      <w:pPr>
        <w:spacing w:after="0" w:line="144" w:lineRule="exact"/>
        <w:rPr>
          <w:sz w:val="20"/>
          <w:szCs w:val="20"/>
          <w:color w:val="auto"/>
        </w:rPr>
      </w:pPr>
    </w:p>
    <w:p>
      <w:pPr>
        <w:jc w:val="both"/>
        <w:ind w:right="20" w:firstLine="1143"/>
        <w:spacing w:after="0" w:line="259" w:lineRule="auto"/>
        <w:tabs>
          <w:tab w:leader="none" w:pos="1337" w:val="left"/>
        </w:tabs>
        <w:numPr>
          <w:ilvl w:val="1"/>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representations and warranties of Subscriber contained in this Subscription Agreement are true and correct in all material respects (other than (x) those representations and warranties expressly made as of an earlier date, which shall be true and correct in all material respects as of such date, and (y) representations and warranties that are qualified as to materiality or Subscriber Material Adverse Effect (as defined below), which representations and warranties shall be true in all respects) at and as of the Closing Date; and</w:t>
      </w:r>
    </w:p>
    <w:p>
      <w:pPr>
        <w:spacing w:after="0" w:line="161"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417" w:val="left"/>
        </w:tabs>
        <w:numPr>
          <w:ilvl w:val="1"/>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Subscriber shall have performed, satisfied and complied in all material respects with all covenants, agreements and conditions required by this Subscription Agreement to be performed, satisfied or complied with by it at or prior to the Closing, except where the failure of such performance or compliance would not reasonably be expected to prevent, materially delay or materially impair the ability of the Company to consummate the Closing.</w:t>
      </w:r>
    </w:p>
    <w:p>
      <w:pPr>
        <w:spacing w:after="0" w:line="155" w:lineRule="exact"/>
        <w:rPr>
          <w:rFonts w:ascii="Times New Roman" w:cs="Times New Roman" w:eastAsia="Times New Roman" w:hAnsi="Times New Roman"/>
          <w:sz w:val="16"/>
          <w:szCs w:val="16"/>
          <w:color w:val="auto"/>
        </w:rPr>
      </w:pPr>
    </w:p>
    <w:p>
      <w:pPr>
        <w:ind w:left="920" w:hanging="160"/>
        <w:spacing w:after="0"/>
        <w:tabs>
          <w:tab w:leader="none" w:pos="920" w:val="left"/>
        </w:tabs>
        <w:numPr>
          <w:ilvl w:val="0"/>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obligation of Subscriber to consummate the Closing shall be subject to the satisfaction or valid waiver by Subscriber of the additional conditions that, on the</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Closing Date:</w:t>
      </w:r>
    </w:p>
    <w:p>
      <w:pPr>
        <w:spacing w:after="0" w:line="181" w:lineRule="exact"/>
        <w:rPr>
          <w:rFonts w:ascii="Times New Roman" w:cs="Times New Roman" w:eastAsia="Times New Roman" w:hAnsi="Times New Roman"/>
          <w:sz w:val="16"/>
          <w:szCs w:val="16"/>
          <w:color w:val="auto"/>
        </w:rPr>
      </w:pPr>
    </w:p>
    <w:p>
      <w:pPr>
        <w:jc w:val="both"/>
        <w:ind w:firstLine="1143"/>
        <w:spacing w:after="0" w:line="259" w:lineRule="auto"/>
        <w:tabs>
          <w:tab w:leader="none" w:pos="1349" w:val="left"/>
        </w:tabs>
        <w:numPr>
          <w:ilvl w:val="1"/>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representations and warranties of the Company contained in this Subscription Agreement are true and correct in all material respects (other than (x) those representations and warranties expressly made as of an earlier date, which shall be true and correct in all material respects as of such date, and (y) representations and warranties that are qualified as to materiality or Company Material Adverse Effect (as defined below), which representations and warranties shall be true in all respects) at and as of the Closing Date;</w:t>
      </w:r>
    </w:p>
    <w:p>
      <w:pPr>
        <w:spacing w:after="0" w:line="161" w:lineRule="exact"/>
        <w:rPr>
          <w:rFonts w:ascii="Times New Roman" w:cs="Times New Roman" w:eastAsia="Times New Roman" w:hAnsi="Times New Roman"/>
          <w:sz w:val="16"/>
          <w:szCs w:val="16"/>
          <w:color w:val="auto"/>
        </w:rPr>
      </w:pPr>
    </w:p>
    <w:p>
      <w:pPr>
        <w:ind w:right="20" w:firstLine="1143"/>
        <w:spacing w:after="0" w:line="280" w:lineRule="auto"/>
        <w:tabs>
          <w:tab w:leader="none" w:pos="1411" w:val="left"/>
        </w:tabs>
        <w:numPr>
          <w:ilvl w:val="1"/>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performed, satisfied and complied in all material respects with all covenants, agreements and conditions required by this Subscription Agreement to be performed, satisfied or complied with by it at or prior to the Closing;</w:t>
      </w:r>
    </w:p>
    <w:p>
      <w:pPr>
        <w:spacing w:after="0" w:line="144"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432" w:val="left"/>
        </w:tabs>
        <w:numPr>
          <w:ilvl w:val="1"/>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shall have been no amendment, waiver or modification to the Transaction Agreement after the date hereof that materially and adversely affects the Company or the economic benefits that Subscriber would reasonably expect to receive under this Subscription Agreement without having received Subscriber’s prior written consent;</w:t>
      </w:r>
    </w:p>
    <w:p>
      <w:pPr>
        <w:spacing w:after="0" w:line="155" w:lineRule="exact"/>
        <w:rPr>
          <w:rFonts w:ascii="Times New Roman" w:cs="Times New Roman" w:eastAsia="Times New Roman" w:hAnsi="Times New Roman"/>
          <w:sz w:val="16"/>
          <w:szCs w:val="16"/>
          <w:color w:val="auto"/>
        </w:rPr>
      </w:pPr>
    </w:p>
    <w:p>
      <w:pPr>
        <w:jc w:val="both"/>
        <w:ind w:firstLine="1143"/>
        <w:spacing w:after="0" w:line="253" w:lineRule="auto"/>
        <w:tabs>
          <w:tab w:leader="none" w:pos="1437" w:val="left"/>
        </w:tabs>
        <w:numPr>
          <w:ilvl w:val="1"/>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not have entered into any Other Subscription Agreement relating to Common Stock with a lower Per Share Price or other terms (economic or otherwise) more favorable to such Other Subscriber than as set forth in this Subscription Agreement, other than with respect to (a) the amounts, price and types of the Company’s securities to be subscribed for and purchased by the Other Subscribers and any terms relating to such other types of the Company’s securities, (b) certain fees payable by Presto to and certain board observer rights granted to Silver Rock, (c) the purchase of Common Stock from the Sponsors, (d) certain rights to nominate a member of the Company’s board of directors after and contingent upon the Closing, (e) certain closing conditions in the Other Subscription Agreements relating to the Notes and certain representations related to the payment of expenses in the Transaction, (f) (i) any rights or benefits granted to an Other Subscriber in connection with such Other Subscriber’s compliance with any law, regulation or policy specifically applicable to such Other Subscriber or in connection with the taxable status of an Other Subscriber and (ii) any rights with respect to the confidentiality or disclosure of an Other Subscriber’s identity and (g) certain registration rights;</w:t>
      </w:r>
    </w:p>
    <w:p>
      <w:pPr>
        <w:spacing w:after="0" w:line="169"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1"/>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has not occurred a Company Material Adverse Effect; and</w:t>
      </w:r>
    </w:p>
    <w:p>
      <w:pPr>
        <w:spacing w:after="0" w:line="198" w:lineRule="exact"/>
        <w:rPr>
          <w:rFonts w:ascii="Times New Roman" w:cs="Times New Roman" w:eastAsia="Times New Roman" w:hAnsi="Times New Roman"/>
          <w:sz w:val="16"/>
          <w:szCs w:val="16"/>
          <w:color w:val="auto"/>
        </w:rPr>
      </w:pPr>
    </w:p>
    <w:p>
      <w:pPr>
        <w:jc w:val="both"/>
        <w:ind w:firstLine="1143"/>
        <w:spacing w:after="0" w:line="257" w:lineRule="auto"/>
        <w:tabs>
          <w:tab w:leader="none" w:pos="1445" w:val="left"/>
        </w:tabs>
        <w:numPr>
          <w:ilvl w:val="1"/>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shall not have received any consideration from any Other Subscriber that is not otherwise contemplated in such Other Subscription Agreement as in effect as of the date hereof in order to, directly or indirectly, induce the Company or any Subsidiary (i) to treat such Other Subscriber in a manner that is more favorable than the Subscriber, or (ii) to treat the Subscriber in a manner that is less favorable than any Other Subscriber;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the determination of whether the Subscriber has been treated more or less favorably than any Other Subscriber shall disregard any other securities (other than the Subscribed Shares) of the Company purchased by the Subscriber or Other Subscriber, respectively.</w:t>
      </w:r>
    </w:p>
    <w:p>
      <w:pPr>
        <w:spacing w:after="0" w:line="162" w:lineRule="exact"/>
        <w:rPr>
          <w:rFonts w:ascii="Times New Roman" w:cs="Times New Roman" w:eastAsia="Times New Roman" w:hAnsi="Times New Roman"/>
          <w:sz w:val="16"/>
          <w:szCs w:val="16"/>
          <w:color w:val="auto"/>
        </w:rPr>
      </w:pPr>
    </w:p>
    <w:p>
      <w:pPr>
        <w:ind w:left="900" w:hanging="140"/>
        <w:spacing w:after="0"/>
        <w:tabs>
          <w:tab w:leader="none" w:pos="900" w:val="left"/>
        </w:tabs>
        <w:numPr>
          <w:ilvl w:val="0"/>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or at the Closing, Subscriber shall deliver to the Company a duly completed and executed Internal Revenue Service Form W-9 or appropriate Form W-8.</w:t>
      </w:r>
    </w:p>
    <w:p>
      <w:pPr>
        <w:spacing w:after="0" w:line="198" w:lineRule="exact"/>
        <w:rPr>
          <w:rFonts w:ascii="Times New Roman" w:cs="Times New Roman" w:eastAsia="Times New Roman" w:hAnsi="Times New Roman"/>
          <w:sz w:val="16"/>
          <w:szCs w:val="16"/>
          <w:color w:val="auto"/>
        </w:rPr>
      </w:pPr>
    </w:p>
    <w:p>
      <w:pPr>
        <w:ind w:left="920" w:hanging="160"/>
        <w:spacing w:after="0"/>
        <w:tabs>
          <w:tab w:leader="none" w:pos="920" w:val="left"/>
        </w:tabs>
        <w:numPr>
          <w:ilvl w:val="0"/>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avoidance of doubt, the Closing shall not be subject to Company’s consummation of the transactions pursuant to the Other Subscription Agreements.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61" w:name="page162"/>
    <w:bookmarkEnd w:id="161"/>
    <w:p>
      <w:pPr>
        <w:ind w:left="540" w:hanging="162"/>
        <w:spacing w:after="0"/>
        <w:tabs>
          <w:tab w:leader="none" w:pos="540" w:val="left"/>
        </w:tabs>
        <w:numPr>
          <w:ilvl w:val="0"/>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Company Representations and Warranties</w:t>
      </w:r>
      <w:r>
        <w:rPr>
          <w:rFonts w:ascii="Times New Roman" w:cs="Times New Roman" w:eastAsia="Times New Roman" w:hAnsi="Times New Roman"/>
          <w:sz w:val="16"/>
          <w:szCs w:val="16"/>
          <w:color w:val="auto"/>
        </w:rPr>
        <w:t>. The Company represents and warrants to Subscriber that:</w:t>
      </w:r>
    </w:p>
    <w:p>
      <w:pPr>
        <w:spacing w:after="0" w:line="198" w:lineRule="exact"/>
        <w:rPr>
          <w:rFonts w:ascii="Times New Roman" w:cs="Times New Roman" w:eastAsia="Times New Roman" w:hAnsi="Times New Roman"/>
          <w:sz w:val="16"/>
          <w:szCs w:val="16"/>
          <w:color w:val="auto"/>
        </w:rPr>
      </w:pPr>
    </w:p>
    <w:p>
      <w:pPr>
        <w:jc w:val="both"/>
        <w:ind w:firstLine="760"/>
        <w:spacing w:after="0" w:line="252" w:lineRule="auto"/>
        <w:tabs>
          <w:tab w:leader="none" w:pos="932" w:val="left"/>
        </w:tabs>
        <w:numPr>
          <w:ilvl w:val="1"/>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 is duly organized, validly existing and in good standing under the laws of its jurisdiction of incorporation; (ii) has the requisite power and authority to own, lease and operate its properties, to carry on its business as it is now being conducted and to enter into, deliver and perform its obligations under this Subscription Agreement; and (iii) is duly licensed or qualified to conduct its business and, if applicable, is in good standing under the laws of each jurisdiction (other than its jurisdiction of incorporation) in which the conduct of its business or the ownership of its properties or assets requires such license or qualification, except, with respect to the foregoing clause (iii), where the failure to be in good standing would not reasonably be expected to have a Company Material Adverse Effect. For purposes of this Subscription Agreement, a “</w:t>
      </w:r>
      <w:r>
        <w:rPr>
          <w:rFonts w:ascii="Times New Roman" w:cs="Times New Roman" w:eastAsia="Times New Roman" w:hAnsi="Times New Roman"/>
          <w:sz w:val="16"/>
          <w:szCs w:val="16"/>
          <w:u w:val="single" w:color="auto"/>
          <w:color w:val="auto"/>
        </w:rPr>
        <w:t>Company Material Adverse Effect</w:t>
      </w:r>
      <w:r>
        <w:rPr>
          <w:rFonts w:ascii="Times New Roman" w:cs="Times New Roman" w:eastAsia="Times New Roman" w:hAnsi="Times New Roman"/>
          <w:sz w:val="16"/>
          <w:szCs w:val="16"/>
          <w:color w:val="auto"/>
        </w:rPr>
        <w:t>” means an event, change, development, occurrence, condition or effect with respect to the Company and its subsidiaries, taken together as a whole (on a consolidated basis), that, individually or in the aggregate, (A) would reasonably be expected to have a material adverse effect on the business, financial condition or results of operations of the Company and its subsidiaries, taken together as a whole (on a consolidated basis) or (B) would prevent, materially delay or materially impede the performance by the Company or its subsidiaries of their respective obligations under this Subscription Agreement, including the sale of the Subscribed Shares, the Transaction Agreement or the consummation of the Transaction.</w:t>
      </w:r>
    </w:p>
    <w:p>
      <w:pPr>
        <w:spacing w:after="0" w:line="171" w:lineRule="exact"/>
        <w:rPr>
          <w:rFonts w:ascii="Times New Roman" w:cs="Times New Roman" w:eastAsia="Times New Roman" w:hAnsi="Times New Roman"/>
          <w:sz w:val="16"/>
          <w:szCs w:val="16"/>
          <w:color w:val="auto"/>
        </w:rPr>
      </w:pPr>
    </w:p>
    <w:p>
      <w:pPr>
        <w:jc w:val="both"/>
        <w:ind w:right="20" w:firstLine="760"/>
        <w:spacing w:after="0" w:line="257" w:lineRule="auto"/>
        <w:tabs>
          <w:tab w:leader="none" w:pos="930" w:val="left"/>
        </w:tabs>
        <w:numPr>
          <w:ilvl w:val="1"/>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Closing Date, the Subscribed Shares will be duly authorized and, when issued and delivered to Subscriber against full payment therefor in accordance with the terms of this Subscription Agreement, will be validly issued and will constitute legal, valid and binding obligations of the Company, enforceable against the Company in accordance with their terms, except that the enforcement thereof may be subject to applicable bankruptcy, insolvency or similar laws affecting creditors’ rights generally or by equitable principles relating to enforceability (collectively, the “</w:t>
      </w:r>
      <w:r>
        <w:rPr>
          <w:rFonts w:ascii="Times New Roman" w:cs="Times New Roman" w:eastAsia="Times New Roman" w:hAnsi="Times New Roman"/>
          <w:sz w:val="16"/>
          <w:szCs w:val="16"/>
          <w:u w:val="single" w:color="auto"/>
          <w:color w:val="auto"/>
        </w:rPr>
        <w:t>Enforceability Exceptions</w:t>
      </w:r>
      <w:r>
        <w:rPr>
          <w:rFonts w:ascii="Times New Roman" w:cs="Times New Roman" w:eastAsia="Times New Roman" w:hAnsi="Times New Roman"/>
          <w:sz w:val="16"/>
          <w:szCs w:val="16"/>
          <w:color w:val="auto"/>
        </w:rPr>
        <w:t>”), and will not have been issued in violation of any preemptive rights created under the Company’s organizational documents or the laws of the State of Delaware.</w:t>
      </w:r>
    </w:p>
    <w:p>
      <w:pPr>
        <w:spacing w:after="0" w:line="162" w:lineRule="exact"/>
        <w:rPr>
          <w:rFonts w:ascii="Times New Roman" w:cs="Times New Roman" w:eastAsia="Times New Roman" w:hAnsi="Times New Roman"/>
          <w:sz w:val="16"/>
          <w:szCs w:val="16"/>
          <w:color w:val="auto"/>
        </w:rPr>
      </w:pPr>
    </w:p>
    <w:p>
      <w:pPr>
        <w:jc w:val="both"/>
        <w:ind w:firstLine="760"/>
        <w:spacing w:after="0" w:line="265" w:lineRule="auto"/>
        <w:tabs>
          <w:tab w:leader="none" w:pos="923" w:val="left"/>
        </w:tabs>
        <w:numPr>
          <w:ilvl w:val="1"/>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Subscription Agreement has been duly authorized, executed and delivered by the Company, and assuming the due authorization, execution and delivery of the same by Subscriber, this Subscription Agreement shall constitute the valid and legally binding obligation of the Company, enforceable against the Company in accordance with its terms, except that the enforcement thereof may be subject to the Enforceability Exceptions.</w:t>
      </w:r>
    </w:p>
    <w:p>
      <w:pPr>
        <w:spacing w:after="0" w:line="155" w:lineRule="exact"/>
        <w:rPr>
          <w:rFonts w:ascii="Times New Roman" w:cs="Times New Roman" w:eastAsia="Times New Roman" w:hAnsi="Times New Roman"/>
          <w:sz w:val="16"/>
          <w:szCs w:val="16"/>
          <w:color w:val="auto"/>
        </w:rPr>
      </w:pPr>
    </w:p>
    <w:p>
      <w:pPr>
        <w:jc w:val="both"/>
        <w:ind w:firstLine="760"/>
        <w:spacing w:after="0" w:line="253" w:lineRule="auto"/>
        <w:tabs>
          <w:tab w:leader="none" w:pos="933" w:val="left"/>
        </w:tabs>
        <w:numPr>
          <w:ilvl w:val="1"/>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execution and delivery of this Subscription Agreement, the issuance and sale of the Subscribed Shares and the compliance by the Company with all of the provisions of this Subscription Agreement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the Company pursuant to the terms of (i) any indenture, mortgage, deed of trust, loan agreement, lease, license or other agreement or instrument to which the Company is a party or by which the Company is bound or to which any of the property or assets of the Company is subject; (ii) the organizational documents of the Company; or (iii) any statute or any judgment, order, rule or regulation of any court or governmental agency or body, domestic or foreign, having jurisdiction over the Company or any of its properties that, in the case of clauses (i) and (iii), would reasonably be expected to have a Company Material Adverse Effect or have a material adverse effect on the Company’s ability to consummate the transactions contemplated hereby, including the issuance and sale of the Subscribed Shares.</w:t>
      </w:r>
    </w:p>
    <w:p>
      <w:pPr>
        <w:spacing w:after="0" w:line="169" w:lineRule="exact"/>
        <w:rPr>
          <w:rFonts w:ascii="Times New Roman" w:cs="Times New Roman" w:eastAsia="Times New Roman" w:hAnsi="Times New Roman"/>
          <w:sz w:val="16"/>
          <w:szCs w:val="16"/>
          <w:color w:val="auto"/>
        </w:rPr>
      </w:pPr>
    </w:p>
    <w:p>
      <w:pPr>
        <w:jc w:val="both"/>
        <w:ind w:firstLine="760"/>
        <w:spacing w:after="0" w:line="252" w:lineRule="auto"/>
        <w:tabs>
          <w:tab w:leader="none" w:pos="919" w:val="left"/>
        </w:tabs>
        <w:numPr>
          <w:ilvl w:val="1"/>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Assuming the accuracy of the representations and warranties of Subscriber, the Company is not required to obtain any consent, waiver, authorization or order of, give any notice to, or make any filing or registration with, any court or other federal, state, local or other governmental authority, self-regulatory organization (including the Nasdaq Stock Market) or other person in connection with the execution, delivery and performance of this Subscription Agreement (including, without limitation, the issuance of the Subscribed Shares), other than (i) filings required by applicable state securities laws; (ii) the filing of a shelf registration statement pursuant to </w:t>
      </w:r>
      <w:r>
        <w:rPr>
          <w:rFonts w:ascii="Times New Roman" w:cs="Times New Roman" w:eastAsia="Times New Roman" w:hAnsi="Times New Roman"/>
          <w:sz w:val="16"/>
          <w:szCs w:val="16"/>
          <w:u w:val="single" w:color="auto"/>
          <w:color w:val="auto"/>
        </w:rPr>
        <w:t>Section 6</w:t>
      </w:r>
      <w:r>
        <w:rPr>
          <w:rFonts w:ascii="Times New Roman" w:cs="Times New Roman" w:eastAsia="Times New Roman" w:hAnsi="Times New Roman"/>
          <w:sz w:val="16"/>
          <w:szCs w:val="16"/>
          <w:color w:val="auto"/>
        </w:rPr>
        <w:t xml:space="preserve"> below; (iii) the filing of a Notice of Exempt Offering of Securities on Form D with the United States Securities and Exchange Commission (“</w:t>
      </w:r>
      <w:r>
        <w:rPr>
          <w:rFonts w:ascii="Times New Roman" w:cs="Times New Roman" w:eastAsia="Times New Roman" w:hAnsi="Times New Roman"/>
          <w:sz w:val="16"/>
          <w:szCs w:val="16"/>
          <w:u w:val="single" w:color="auto"/>
          <w:color w:val="auto"/>
        </w:rPr>
        <w:t>Commission</w:t>
      </w:r>
      <w:r>
        <w:rPr>
          <w:rFonts w:ascii="Times New Roman" w:cs="Times New Roman" w:eastAsia="Times New Roman" w:hAnsi="Times New Roman"/>
          <w:sz w:val="16"/>
          <w:szCs w:val="16"/>
          <w:color w:val="auto"/>
        </w:rPr>
        <w:t>”) under Regulation D of the Securities Act of 1933, as amended (the “</w:t>
      </w:r>
      <w:r>
        <w:rPr>
          <w:rFonts w:ascii="Times New Roman" w:cs="Times New Roman" w:eastAsia="Times New Roman" w:hAnsi="Times New Roman"/>
          <w:sz w:val="16"/>
          <w:szCs w:val="16"/>
          <w:u w:val="single" w:color="auto"/>
          <w:color w:val="auto"/>
        </w:rPr>
        <w:t>Securities Act</w:t>
      </w:r>
      <w:r>
        <w:rPr>
          <w:rFonts w:ascii="Times New Roman" w:cs="Times New Roman" w:eastAsia="Times New Roman" w:hAnsi="Times New Roman"/>
          <w:sz w:val="16"/>
          <w:szCs w:val="16"/>
          <w:color w:val="auto"/>
        </w:rPr>
        <w:t>”), if applicable; (iv) those required by the Nasdaq Stock Market, including with respect to obtaining shareholder approval; (v) those required to consummate the Transaction as provided under the Transaction Agreement; (vi) the filing of notification under the Hart-Scott-Rodino Antitrust Improvements Act of 1976, if applicable; (vii) such as have been or will have been obtained, made or given on or prior to the Closing Date, and (viii) the failure of which to obtain would not be reasonably likely to have a Company Material Adverse Effect or have a material adverse effect on the Company’s ability to consummate the transactions contemplated hereby, including the issuance and sale of the Subscribed Shares.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62" w:name="page163"/>
    <w:bookmarkEnd w:id="162"/>
    <w:p>
      <w:pPr>
        <w:jc w:val="both"/>
        <w:ind w:firstLine="760"/>
        <w:spacing w:after="0" w:line="252" w:lineRule="auto"/>
        <w:tabs>
          <w:tab w:leader="none" w:pos="936"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their respective dates, all reports required to be filed by the Company with the Commission (the “</w:t>
      </w:r>
      <w:r>
        <w:rPr>
          <w:rFonts w:ascii="Times New Roman" w:cs="Times New Roman" w:eastAsia="Times New Roman" w:hAnsi="Times New Roman"/>
          <w:sz w:val="16"/>
          <w:szCs w:val="16"/>
          <w:u w:val="single" w:color="auto"/>
          <w:color w:val="auto"/>
        </w:rPr>
        <w:t>SEC Reports</w:t>
      </w:r>
      <w:r>
        <w:rPr>
          <w:rFonts w:ascii="Times New Roman" w:cs="Times New Roman" w:eastAsia="Times New Roman" w:hAnsi="Times New Roman"/>
          <w:sz w:val="16"/>
          <w:szCs w:val="16"/>
          <w:color w:val="auto"/>
        </w:rPr>
        <w:t>”) complied in all material respects with the requirements of the Securities Act and the Securities Exchange Act of 1934, as amended (the “</w:t>
      </w:r>
      <w:r>
        <w:rPr>
          <w:rFonts w:ascii="Times New Roman" w:cs="Times New Roman" w:eastAsia="Times New Roman" w:hAnsi="Times New Roman"/>
          <w:sz w:val="16"/>
          <w:szCs w:val="16"/>
          <w:u w:val="single" w:color="auto"/>
          <w:color w:val="auto"/>
        </w:rPr>
        <w:t>Exchange Act</w:t>
      </w:r>
      <w:r>
        <w:rPr>
          <w:rFonts w:ascii="Times New Roman" w:cs="Times New Roman" w:eastAsia="Times New Roman" w:hAnsi="Times New Roman"/>
          <w:sz w:val="16"/>
          <w:szCs w:val="16"/>
          <w:color w:val="auto"/>
        </w:rPr>
        <w:t>”), and the rules and regulations of the Commission promulgated thereunder,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as in effect at the time of filing and fairly present in all material respects the financial position of the Company as of and for the dates thereof and the results of operations and cash flows for the periods then ended, subject, in the case of unaudited statements, to normal, year-end audit adjustments. The description of the business and financial information of Presto set forth in the presentation dated April 2022 (the “</w:t>
      </w:r>
      <w:r>
        <w:rPr>
          <w:rFonts w:ascii="Times New Roman" w:cs="Times New Roman" w:eastAsia="Times New Roman" w:hAnsi="Times New Roman"/>
          <w:sz w:val="16"/>
          <w:szCs w:val="16"/>
          <w:u w:val="single" w:color="auto"/>
          <w:color w:val="auto"/>
        </w:rPr>
        <w:t>Investor Presentation</w:t>
      </w:r>
      <w:r>
        <w:rPr>
          <w:rFonts w:ascii="Times New Roman" w:cs="Times New Roman" w:eastAsia="Times New Roman" w:hAnsi="Times New Roman"/>
          <w:sz w:val="16"/>
          <w:szCs w:val="16"/>
          <w:color w:val="auto"/>
        </w:rPr>
        <w:t>”) made available to the undersigned prior to the execution of this Subscription Agreement, and as amended through the Closing Date, shall be consistent in all material respects with the description of the business and financial information of Presto described or included in the definitive proxy statement of the Company filed in connection with the approval of the Transaction by the stockholders of the Company. Notwithstanding the foregoing, with respect to the proxy statement/prospectus filed or to be filed by the Company with respect to the Transactions or any other information relating to the Transactions or to Presto or any of its affiliates included in any SEC Report or filed as an exhibit thereto, the representation and warranty in this sentence is made to the Company’s knowledge.</w:t>
      </w:r>
    </w:p>
    <w:p>
      <w:pPr>
        <w:spacing w:after="0" w:line="165" w:lineRule="exact"/>
        <w:rPr>
          <w:rFonts w:ascii="Times New Roman" w:cs="Times New Roman" w:eastAsia="Times New Roman" w:hAnsi="Times New Roman"/>
          <w:sz w:val="16"/>
          <w:szCs w:val="16"/>
          <w:color w:val="auto"/>
        </w:rPr>
      </w:pPr>
    </w:p>
    <w:p>
      <w:pPr>
        <w:jc w:val="both"/>
        <w:ind w:firstLine="760"/>
        <w:spacing w:after="0" w:line="250" w:lineRule="auto"/>
        <w:tabs>
          <w:tab w:leader="none" w:pos="924"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date hereof and as of immediately prior to the Closing, the authorized share capital of the Company consists of 50,000,000 shares of Common stock and 1,000,000 preferred shares, par value $0.0001 per share (“</w:t>
      </w:r>
      <w:r>
        <w:rPr>
          <w:rFonts w:ascii="Times New Roman" w:cs="Times New Roman" w:eastAsia="Times New Roman" w:hAnsi="Times New Roman"/>
          <w:sz w:val="16"/>
          <w:szCs w:val="16"/>
          <w:u w:val="single" w:color="auto"/>
          <w:color w:val="auto"/>
        </w:rPr>
        <w:t>Preferred Shares</w:t>
      </w:r>
      <w:r>
        <w:rPr>
          <w:rFonts w:ascii="Times New Roman" w:cs="Times New Roman" w:eastAsia="Times New Roman" w:hAnsi="Times New Roman"/>
          <w:sz w:val="16"/>
          <w:szCs w:val="16"/>
          <w:color w:val="auto"/>
        </w:rPr>
        <w:t>”). As of the Closing Date (and immediately after the consummation of the Transaction), the authorized share capital of the Company will consist of 180,000,000 shares of Common Stock and 1,500,000 Preferred Shares. As of the date hereof and as of immediately prior to the Closing: (i) 1,255,018 shares of Common Stock (excluding shares of Common Stock that are owned by the Sponsors and other insiders of the Company (the “</w:t>
      </w:r>
      <w:r>
        <w:rPr>
          <w:rFonts w:ascii="Times New Roman" w:cs="Times New Roman" w:eastAsia="Times New Roman" w:hAnsi="Times New Roman"/>
          <w:sz w:val="16"/>
          <w:szCs w:val="16"/>
          <w:u w:val="single" w:color="auto"/>
          <w:color w:val="auto"/>
        </w:rPr>
        <w:t>Founder Shares</w:t>
      </w:r>
      <w:r>
        <w:rPr>
          <w:rFonts w:ascii="Times New Roman" w:cs="Times New Roman" w:eastAsia="Times New Roman" w:hAnsi="Times New Roman"/>
          <w:sz w:val="16"/>
          <w:szCs w:val="16"/>
          <w:color w:val="auto"/>
        </w:rPr>
        <w:t>”)), 4,312,500 Founder Shares and no Preferred Shares were issued and outstanding; (ii) 17,250,000 public warrants, each exercisable to purchase one-half of one share of Common Stock at $11.50 per full share and 6,675,000 private placement warrants, (including 900,000 private placement warrants that will be cancelled at the Closing Date) each exercisable to purchase one share of Common Stock at $11.50 per full share (together “</w:t>
      </w:r>
      <w:r>
        <w:rPr>
          <w:rFonts w:ascii="Times New Roman" w:cs="Times New Roman" w:eastAsia="Times New Roman" w:hAnsi="Times New Roman"/>
          <w:sz w:val="16"/>
          <w:szCs w:val="16"/>
          <w:u w:val="single" w:color="auto"/>
          <w:color w:val="auto"/>
        </w:rPr>
        <w:t>Warrants</w:t>
      </w:r>
      <w:r>
        <w:rPr>
          <w:rFonts w:ascii="Times New Roman" w:cs="Times New Roman" w:eastAsia="Times New Roman" w:hAnsi="Times New Roman"/>
          <w:sz w:val="16"/>
          <w:szCs w:val="16"/>
          <w:color w:val="auto"/>
        </w:rPr>
        <w:t>”), were issued and outstanding; (iii) 17,250,000 rights, each right entitling the holder to receive one-twentieth of one share of common stock upon the consummation of the Transaction; and (iv) no Common Stock was subject to issuance upon exercise of outstanding options. As of the date hereof, the Company has no outstanding long-term indebtedness for borrowed money that is or would be required to be recognized as a long-term liability in accordance with generally accepted accounting principles (other than fees payable under the business combination marketing agreement entered into in connection with its initial public offering and/or warrant liability accounting treatment of the Company’s private placement warrants and/or public warrants) and will not have any long-term indebtedness for borrowed money that is or would be required to be recognized as a long-term liability in accordance with generally accepted accounting principles immediately prior to and as of the Closing (other than indebtedness disclosed in the SEC Reports or the Company’s registration statement on Form S-4 (No. 333-263516), as amended, prior to the Closing Date) and all outstanding convertible promissory notes heretofore issued by Presto will have been converted into Common Stock pursuant to the terms of the Transaction Agreement as of the Closing. Immediately following the Closing, (i) 2,689,187 Founder Shares (including 90,000 Founder Shares not held by the Sponsors) and 6,675,000 private placement warrants (including 900,000 private placement warrants that will be cancelled at the Closing Date) will be fully vested, (ii) 444,500433,250 Founder Shares are subject to vesting pursuant to the vesting provisions set forth in that certain Amended and Restated Sponsors Support Agreement dated July 25, 2022 and (iii) the public warrants will have an exercise price $8.21. No Warrants are exercisable on or prior to the Closing. All (i) issued and outstanding Common Stock has been duly authorized and validly issued, is fully paid and non-assessable and is not subject to preemptive rights and (ii) outstanding Warrants have been duly authorized and validly issued, are fully paid and are not subject to preemptive rights. As of the date hereof, except as set forth above and pursuant to (i) this Agreement, (ii) the Other Subscription Agreements, (iii) the Transaction Agreement, or (iv) any agreement(s) that the Company may enter into with third parties for the purpose of recapturing or reducing the shares of Common Stock redeemed by public shareholders, (such agreement(s), the “</w:t>
      </w:r>
      <w:r>
        <w:rPr>
          <w:rFonts w:ascii="Times New Roman" w:cs="Times New Roman" w:eastAsia="Times New Roman" w:hAnsi="Times New Roman"/>
          <w:sz w:val="16"/>
          <w:szCs w:val="16"/>
          <w:u w:val="single" w:color="auto"/>
          <w:color w:val="auto"/>
        </w:rPr>
        <w:t>Forward Purchase Agreement</w:t>
      </w:r>
      <w:r>
        <w:rPr>
          <w:rFonts w:ascii="Times New Roman" w:cs="Times New Roman" w:eastAsia="Times New Roman" w:hAnsi="Times New Roman"/>
          <w:sz w:val="16"/>
          <w:szCs w:val="16"/>
          <w:color w:val="auto"/>
        </w:rPr>
        <w:t>”), there are no outstanding options, warrants or other rights to subscribe for, purchase or acquire from the Company any Common Stock or other equity interests in the Company (collectively, “</w:t>
      </w:r>
      <w:r>
        <w:rPr>
          <w:rFonts w:ascii="Times New Roman" w:cs="Times New Roman" w:eastAsia="Times New Roman" w:hAnsi="Times New Roman"/>
          <w:sz w:val="16"/>
          <w:szCs w:val="16"/>
          <w:u w:val="single" w:color="auto"/>
          <w:color w:val="auto"/>
        </w:rPr>
        <w:t>Equity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Interests</w:t>
      </w:r>
      <w:r>
        <w:rPr>
          <w:rFonts w:ascii="Times New Roman" w:cs="Times New Roman" w:eastAsia="Times New Roman" w:hAnsi="Times New Roman"/>
          <w:sz w:val="16"/>
          <w:szCs w:val="16"/>
          <w:color w:val="auto"/>
        </w:rPr>
        <w:t>”) or securities convertible into or exchangeable or exercisable for Equity Interests. As of the date hereof, the Company has no subsidiaries and does not own, directly or indirectly, interests or investments (whether equity or debt) in any person, whether incorporated or unincorporated. There are no stockholder agreements, voting trusts or other agreements or understandings to which the Company is a party or by which it is bound relating to the voting of any Equity Interests, other than (A) the letter agreements entered into by the Company in connection with the Company’s initial public offering on December 30, 2020 pursuant to which the Company’s sponsor and the Company’s executive officers and independent directors agreed to vote in favor of any proposed Business Combination (as defined therein), which includes the Transaction, (B) as contemplated by the Transaction Agreement and (C) the Forward Purchase Agreement. With the exception of the Warrants, there are no securities or instruments issued by or to which the Company is a party containing anti-dilution or similar provisions that will be triggered by the issuance of (i) the Subscribed Shares or (ii) the securities to be issued pursuant to any Other Subscription Agreement. Subscriber understands and acknowledges the Sponsors may from time to time enter into various agreements relating to the transfer of the Founder Shares and private placement warrants in furtherance of the Transaction, and that such agreements shall not be in violation of this Subscription Agreement so long as the aggregate number of outstanding Founder Shares or private placement warrants do not increase, the Sponsors shall promptly notify Subscriber if the aggregate number of Founder Shares or private placement warrants decrease as a result of such agreements.</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63" w:name="page164"/>
    <w:bookmarkEnd w:id="163"/>
    <w:p>
      <w:pPr>
        <w:jc w:val="both"/>
        <w:ind w:firstLine="765"/>
        <w:spacing w:after="0" w:line="257" w:lineRule="auto"/>
        <w:rPr>
          <w:sz w:val="20"/>
          <w:szCs w:val="20"/>
          <w:color w:val="auto"/>
        </w:rPr>
      </w:pPr>
      <w:r>
        <w:rPr>
          <w:rFonts w:ascii="Times New Roman" w:cs="Times New Roman" w:eastAsia="Times New Roman" w:hAnsi="Times New Roman"/>
          <w:sz w:val="16"/>
          <w:szCs w:val="16"/>
          <w:color w:val="auto"/>
        </w:rPr>
        <w:t xml:space="preserve">h. Except for such matters as have not had and would not be reasonably likely to have a Company Material Adverse Effect or have a material adverse effect on the Company’s ability to consummate the transactions contemplated hereby, including the issuance and sale of the Subscribed Shares, as of the date hereof, there is no (i) suit, action, investigation, proceeding or arbitration before a governmental authority or arbitrator pending, or, to the knowledge of the Company, threatened in writing against the Company or any of its directors or officers in their capacities as such or (ii) judgment, decree, injunction, ruling or order of any governmental authority or arbitrator outstanding </w:t>
      </w:r>
      <w:r>
        <w:rPr>
          <w:rFonts w:ascii="Times New Roman" w:cs="Times New Roman" w:eastAsia="Times New Roman" w:hAnsi="Times New Roman"/>
          <w:sz w:val="16"/>
          <w:szCs w:val="16"/>
          <w:i w:val="1"/>
          <w:iCs w:val="1"/>
          <w:color w:val="auto"/>
        </w:rPr>
        <w:t xml:space="preserve">against </w:t>
      </w:r>
      <w:r>
        <w:rPr>
          <w:rFonts w:ascii="Times New Roman" w:cs="Times New Roman" w:eastAsia="Times New Roman" w:hAnsi="Times New Roman"/>
          <w:sz w:val="16"/>
          <w:szCs w:val="16"/>
          <w:color w:val="auto"/>
        </w:rPr>
        <w:t>the Company or any of its directors or officers in their capacities as such.</w:t>
      </w:r>
    </w:p>
    <w:p>
      <w:pPr>
        <w:spacing w:after="0" w:line="162" w:lineRule="exact"/>
        <w:rPr>
          <w:sz w:val="20"/>
          <w:szCs w:val="20"/>
          <w:color w:val="auto"/>
        </w:rPr>
      </w:pPr>
    </w:p>
    <w:p>
      <w:pPr>
        <w:jc w:val="both"/>
        <w:ind w:firstLine="760"/>
        <w:spacing w:after="0" w:line="253" w:lineRule="auto"/>
        <w:tabs>
          <w:tab w:leader="none" w:pos="946"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issued and outstanding shares of Common Stock are registered pursuant to Section 12(b) of Exchange Act, and are listed for trading on the Nasdaq Stock Market under the symbol “VTAQ.” There is no suit, action, proceeding or investigation pending or, to the knowledge of the Company, threatened against the Company by the Nasdaq Stock Market or the Commission with respect to any intention by such entity to deregister the shares of Common Stock or prohibit or terminate the listing of the shares of Common Stock on the Nasdaq Stock Market. The Company has taken no action that is designed to terminate the registration of the shares of Common Stock under the Exchange Act. The Company has filed a listing application with NASDAQ for the Subscribed Shares and such application has been, or prior to Closing will be, approved by</w:t>
      </w:r>
    </w:p>
    <w:p>
      <w:pPr>
        <w:spacing w:after="0" w:line="2"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w:t>
      </w:r>
    </w:p>
    <w:p>
      <w:pPr>
        <w:spacing w:after="0" w:line="181" w:lineRule="exact"/>
        <w:rPr>
          <w:rFonts w:ascii="Times New Roman" w:cs="Times New Roman" w:eastAsia="Times New Roman" w:hAnsi="Times New Roman"/>
          <w:sz w:val="16"/>
          <w:szCs w:val="16"/>
          <w:color w:val="auto"/>
        </w:rPr>
      </w:pPr>
    </w:p>
    <w:p>
      <w:pPr>
        <w:ind w:right="20" w:firstLine="760"/>
        <w:spacing w:after="0" w:line="280" w:lineRule="auto"/>
        <w:tabs>
          <w:tab w:leader="none" w:pos="948"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consummation of the Transaction, the issued and outstanding shares of Common Stock will be registered pursuant to Section 12(b) of the Exchange Act and will be listed for trading on the Nasdaq Stock Market.</w:t>
      </w:r>
    </w:p>
    <w:p>
      <w:pPr>
        <w:spacing w:after="0" w:line="144" w:lineRule="exact"/>
        <w:rPr>
          <w:rFonts w:ascii="Times New Roman" w:cs="Times New Roman" w:eastAsia="Times New Roman" w:hAnsi="Times New Roman"/>
          <w:sz w:val="16"/>
          <w:szCs w:val="16"/>
          <w:color w:val="auto"/>
        </w:rPr>
      </w:pPr>
    </w:p>
    <w:p>
      <w:pPr>
        <w:ind w:right="20" w:firstLine="760"/>
        <w:spacing w:after="0" w:line="280" w:lineRule="auto"/>
        <w:tabs>
          <w:tab w:leader="none" w:pos="931"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Assuming the accuracy of Subscriber’s representations and warranties set forth in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xml:space="preserve"> of this Subscription Agreement, no registration under the Securities Act is required for the offer and sale of the Subscribed Shares by the Company to Subscriber.</w:t>
      </w:r>
    </w:p>
    <w:p>
      <w:pPr>
        <w:spacing w:after="0" w:line="144" w:lineRule="exact"/>
        <w:rPr>
          <w:rFonts w:ascii="Times New Roman" w:cs="Times New Roman" w:eastAsia="Times New Roman" w:hAnsi="Times New Roman"/>
          <w:sz w:val="16"/>
          <w:szCs w:val="16"/>
          <w:color w:val="auto"/>
        </w:rPr>
      </w:pPr>
    </w:p>
    <w:p>
      <w:pPr>
        <w:ind w:left="920" w:hanging="160"/>
        <w:spacing w:after="0"/>
        <w:tabs>
          <w:tab w:leader="none" w:pos="920"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broker or finder is entitled to any brokerage or finder’s fee or commission solely in connection with the sale of the Subscribed Shares to Subscriber.</w:t>
      </w:r>
    </w:p>
    <w:p>
      <w:pPr>
        <w:spacing w:after="0" w:line="198" w:lineRule="exact"/>
        <w:rPr>
          <w:rFonts w:ascii="Times New Roman" w:cs="Times New Roman" w:eastAsia="Times New Roman" w:hAnsi="Times New Roman"/>
          <w:sz w:val="16"/>
          <w:szCs w:val="16"/>
          <w:color w:val="auto"/>
        </w:rPr>
      </w:pPr>
    </w:p>
    <w:p>
      <w:pPr>
        <w:jc w:val="both"/>
        <w:ind w:right="20" w:firstLine="760"/>
        <w:spacing w:after="0" w:line="257" w:lineRule="auto"/>
        <w:tabs>
          <w:tab w:leader="none" w:pos="1011"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for such matters as have not had and would not be reasonably likely to have a Company Material Adverse Effect or have a material adverse effect on the Company’s ability to consummate the transactions contemplated hereby, including the issuance and sale of the Subscribed Shares, the Company is, and has been since its inception, in compliance with all laws applicable to the conduct of the business of the Company. The Company has not received any written, or to its knowledge, other communication from a governmental entity that alleges that the Company is not in compliance with or is in default or violation of any applicable law, except where such noncompliance, default or violation would not be reasonably expected to have, individually or in the aggregate, a Company Material Adverse Effect.</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64" w:name="page165"/>
    <w:bookmarkEnd w:id="164"/>
    <w:p>
      <w:pPr>
        <w:jc w:val="both"/>
        <w:ind w:right="20" w:firstLine="765"/>
        <w:spacing w:after="0" w:line="280" w:lineRule="auto"/>
        <w:rPr>
          <w:sz w:val="20"/>
          <w:szCs w:val="20"/>
          <w:color w:val="auto"/>
        </w:rPr>
      </w:pPr>
      <w:r>
        <w:rPr>
          <w:rFonts w:ascii="Times New Roman" w:cs="Times New Roman" w:eastAsia="Times New Roman" w:hAnsi="Times New Roman"/>
          <w:sz w:val="16"/>
          <w:szCs w:val="16"/>
          <w:color w:val="auto"/>
        </w:rPr>
        <w:t>n. The Company has not in the past nor will it hereafter take any action to sell, offer for sale or solicit offers to buy any securities of the Company that could result in the initial sale of the Subscribed Shares not being exempt from the registration requirements of Section 5 of the Securities Act.</w:t>
      </w:r>
    </w:p>
    <w:p>
      <w:pPr>
        <w:spacing w:after="0" w:line="144" w:lineRule="exact"/>
        <w:rPr>
          <w:sz w:val="20"/>
          <w:szCs w:val="20"/>
          <w:color w:val="auto"/>
        </w:rPr>
      </w:pPr>
    </w:p>
    <w:p>
      <w:pPr>
        <w:jc w:val="both"/>
        <w:ind w:firstLine="765"/>
        <w:spacing w:after="0" w:line="265" w:lineRule="auto"/>
        <w:rPr>
          <w:sz w:val="20"/>
          <w:szCs w:val="20"/>
          <w:color w:val="auto"/>
        </w:rPr>
      </w:pPr>
      <w:r>
        <w:rPr>
          <w:rFonts w:ascii="Times New Roman" w:cs="Times New Roman" w:eastAsia="Times New Roman" w:hAnsi="Times New Roman"/>
          <w:sz w:val="16"/>
          <w:szCs w:val="16"/>
          <w:color w:val="auto"/>
        </w:rPr>
        <w:t>o. The Company has all franchises, permits, licenses and any similar authority necessary for the conduct of its business as now being conducted by it, the lack of which would have a material adverse effect, and to the Company’s knowledge, the Company is not in default in any material respect under any of such franchises, permits, licenses or other authority.</w:t>
      </w:r>
    </w:p>
    <w:p>
      <w:pPr>
        <w:spacing w:after="0" w:line="155" w:lineRule="exact"/>
        <w:rPr>
          <w:sz w:val="20"/>
          <w:szCs w:val="20"/>
          <w:color w:val="auto"/>
        </w:rPr>
      </w:pPr>
    </w:p>
    <w:p>
      <w:pPr>
        <w:jc w:val="both"/>
        <w:ind w:right="20" w:firstLine="765"/>
        <w:spacing w:after="0" w:line="265" w:lineRule="auto"/>
        <w:rPr>
          <w:sz w:val="20"/>
          <w:szCs w:val="20"/>
          <w:color w:val="auto"/>
        </w:rPr>
      </w:pPr>
      <w:r>
        <w:rPr>
          <w:rFonts w:ascii="Times New Roman" w:cs="Times New Roman" w:eastAsia="Times New Roman" w:hAnsi="Times New Roman"/>
          <w:sz w:val="16"/>
          <w:szCs w:val="16"/>
          <w:color w:val="auto"/>
        </w:rPr>
        <w:t>p. There is no action, suit, proceeding or investigation pending or, to the Company’s knowledge, currently threatened in writing against the Company that questions the validity of this Agreement or the right of the Company to enter into this Agreement, or to consummate the transactions contemplated thereby, or that might result, if determined adversely to the Company, in a material adverse effect, or in any material change in the current equity ownership of the Company.</w:t>
      </w:r>
    </w:p>
    <w:p>
      <w:pPr>
        <w:spacing w:after="0" w:line="155" w:lineRule="exact"/>
        <w:rPr>
          <w:sz w:val="20"/>
          <w:szCs w:val="20"/>
          <w:color w:val="auto"/>
        </w:rPr>
      </w:pPr>
    </w:p>
    <w:p>
      <w:pPr>
        <w:jc w:val="both"/>
        <w:ind w:firstLine="765"/>
        <w:spacing w:after="0" w:line="255" w:lineRule="auto"/>
        <w:rPr>
          <w:sz w:val="20"/>
          <w:szCs w:val="20"/>
          <w:color w:val="auto"/>
        </w:rPr>
      </w:pPr>
      <w:r>
        <w:rPr>
          <w:rFonts w:ascii="Times New Roman" w:cs="Times New Roman" w:eastAsia="Times New Roman" w:hAnsi="Times New Roman"/>
          <w:sz w:val="16"/>
          <w:szCs w:val="16"/>
          <w:color w:val="auto"/>
        </w:rPr>
        <w:t>q. To the Company’s knowledge, the Company owns or possesses sufficient legal rights to all (a) patents, patent applications and inventions; (b) trademarks, service marks, trade names, trade dress, logos, domain names or corporate names and registrations and applications for registration thereof, together with all of the goodwill associated therewith; (c) copyrights (registered or unregistered) and copyrightable works and registrations and applications for registrations thereof; (d) computer software, data, and databases and documentation thereof; (e) trade secrets and other confidential information; and (f) licenses, information and proprietary rights and processes necessary for its business as now conducted. The Company has not received any written communications alleging that the Company has violated or, by conducting its business as proposed, would violate any of the patents, trademarks, service marks, trade names, copyrights or trade secrets or other proprietary rights of any other person or entity.</w:t>
      </w:r>
    </w:p>
    <w:p>
      <w:pPr>
        <w:spacing w:after="0" w:line="165" w:lineRule="exact"/>
        <w:rPr>
          <w:sz w:val="20"/>
          <w:szCs w:val="20"/>
          <w:color w:val="auto"/>
        </w:rPr>
      </w:pPr>
    </w:p>
    <w:p>
      <w:pPr>
        <w:jc w:val="both"/>
        <w:ind w:firstLine="760"/>
        <w:spacing w:after="0" w:line="252" w:lineRule="auto"/>
        <w:tabs>
          <w:tab w:leader="none" w:pos="952" w:val="left"/>
        </w:tabs>
        <w:numPr>
          <w:ilvl w:val="1"/>
          <w:numId w:val="1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not entered into any subscription agreement, side letter or similar agreement with any investor in connection with such investor’s direct or indirect investment in the Company other than (i) the Transaction Agreement, (ii) any agreement or arrangement contemplated by the Transaction Agreement, which for the avoidance of doubt, includes the Forward Purchase Agreement, (iii) as disclosed in the Company’s filings with the Commission and (iv) the Other Subscription Agreements. The Other Subscription Agreements reflect terms with respect to the purchase of the Notes that are no more favorable to such subscriber thereunder than the terms of this Subscription Agreement other than such Other Subscription Agreements containing any of the following: (t) the amounts, prices and types of the Company’s securities to be subscribed for and purchased by the Other Subscribers and any terms relating to such other types of the Company’s securities, (u) certain fees payable by Presto to and certain board observer rights granted to Silver Rock, (v) the purchase of Common Stock from the Sponsors, (w) certain rights to nominate a member of the Company’s board of directors after and contingent upon the Closing, (x) certain closing conditions in the Other Subscription Agreements relating to the Notes and certain representations related to the payment of expenses in the Transaction, (y) (i) any rights or benefits granted to an Other Subscriber in connection with such Other Subscriber’s compliance with any law, regulation or policy specifically applicable to such Other Subscriber or in connection with the taxable status of an Other Subscriber and (ii) any rights with respect to the confidentiality or disclosure of an Other Subscriber’s identity and (z) certain registration rights.</w:t>
      </w:r>
    </w:p>
    <w:p>
      <w:pPr>
        <w:spacing w:after="0" w:line="169" w:lineRule="exact"/>
        <w:rPr>
          <w:rFonts w:ascii="Times New Roman" w:cs="Times New Roman" w:eastAsia="Times New Roman" w:hAnsi="Times New Roman"/>
          <w:sz w:val="16"/>
          <w:szCs w:val="16"/>
          <w:color w:val="auto"/>
        </w:rPr>
      </w:pPr>
    </w:p>
    <w:p>
      <w:pPr>
        <w:ind w:left="540" w:hanging="162"/>
        <w:spacing w:after="0"/>
        <w:tabs>
          <w:tab w:leader="none" w:pos="540" w:val="left"/>
        </w:tabs>
        <w:numPr>
          <w:ilvl w:val="0"/>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Subscriber Representations and Warranties</w:t>
      </w:r>
      <w:r>
        <w:rPr>
          <w:rFonts w:ascii="Times New Roman" w:cs="Times New Roman" w:eastAsia="Times New Roman" w:hAnsi="Times New Roman"/>
          <w:sz w:val="16"/>
          <w:szCs w:val="16"/>
          <w:color w:val="auto"/>
        </w:rPr>
        <w:t>. Subscriber represents and warrants to the Company that:</w:t>
      </w:r>
    </w:p>
    <w:p>
      <w:pPr>
        <w:spacing w:after="0" w:line="198" w:lineRule="exact"/>
        <w:rPr>
          <w:rFonts w:ascii="Times New Roman" w:cs="Times New Roman" w:eastAsia="Times New Roman" w:hAnsi="Times New Roman"/>
          <w:sz w:val="16"/>
          <w:szCs w:val="16"/>
          <w:color w:val="auto"/>
        </w:rPr>
      </w:pPr>
    </w:p>
    <w:p>
      <w:pPr>
        <w:ind w:right="20" w:firstLine="760"/>
        <w:spacing w:after="0" w:line="280" w:lineRule="auto"/>
        <w:tabs>
          <w:tab w:leader="none" w:pos="930" w:val="left"/>
        </w:tabs>
        <w:numPr>
          <w:ilvl w:val="1"/>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Subscriber (i) is duly organized, validly existing and in good standing under the laws of its jurisdiction of incorporation, and (ii) has the requisite power and authority to enter into and perform its obligations under this Subscription Agreement.</w:t>
      </w:r>
    </w:p>
    <w:p>
      <w:pPr>
        <w:spacing w:after="0" w:line="144" w:lineRule="exact"/>
        <w:rPr>
          <w:rFonts w:ascii="Times New Roman" w:cs="Times New Roman" w:eastAsia="Times New Roman" w:hAnsi="Times New Roman"/>
          <w:sz w:val="16"/>
          <w:szCs w:val="16"/>
          <w:color w:val="auto"/>
        </w:rPr>
      </w:pPr>
    </w:p>
    <w:p>
      <w:pPr>
        <w:jc w:val="both"/>
        <w:ind w:right="20" w:firstLine="760"/>
        <w:spacing w:after="0" w:line="259" w:lineRule="auto"/>
        <w:tabs>
          <w:tab w:leader="none" w:pos="926" w:val="left"/>
        </w:tabs>
        <w:numPr>
          <w:ilvl w:val="1"/>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Subscription Agreement has been duly executed and delivered by Subscriber, and assuming the due authorization, execution and delivery of the same by the Company, this Subscription Agreement shall constitute the valid and legally binding obligation of Subscriber, enforceable against Subscriber in accordance with its terms, except as such enforceability may be limited by bankruptcy, insolvency, reorganization, moratorium and similar laws affecting creditors generally and by the availability of equitable remedies.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65" w:name="page166"/>
    <w:bookmarkEnd w:id="165"/>
    <w:p>
      <w:pPr>
        <w:jc w:val="both"/>
        <w:ind w:left="4" w:right="20" w:firstLine="765"/>
        <w:spacing w:after="0" w:line="253" w:lineRule="auto"/>
        <w:rPr>
          <w:sz w:val="20"/>
          <w:szCs w:val="20"/>
          <w:color w:val="auto"/>
        </w:rPr>
      </w:pPr>
      <w:r>
        <w:rPr>
          <w:rFonts w:ascii="Times New Roman" w:cs="Times New Roman" w:eastAsia="Times New Roman" w:hAnsi="Times New Roman"/>
          <w:sz w:val="16"/>
          <w:szCs w:val="16"/>
          <w:color w:val="auto"/>
        </w:rPr>
        <w:t>c. The execution and delivery of this Subscription Agreement, the purchase of the Subscribed Shares and the compliance by Subscriber with all of the provisions of this Subscription Agreement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Subscriber pursuant to the terms of (i) any indenture, mortgage, deed of trust, loan agreement, lease, license or other agreement or instrument to which Subscriber is a party or by which Subscriber is bound or to which any of the property or assets of Subscriber is subject; (ii) the organizational documents of Subscriber; or (iii) any statute or any judgment, order, rule or regulation of any court or governmental agency or body, domestic or foreign, having jurisdiction over Subscriber or any of its properties that, in the case of clauses (i) and (iii), would reasonably be expected to have a Subscriber Material Adverse Effect. For purposes of this Subscription Agreement, a “</w:t>
      </w:r>
      <w:r>
        <w:rPr>
          <w:rFonts w:ascii="Times New Roman" w:cs="Times New Roman" w:eastAsia="Times New Roman" w:hAnsi="Times New Roman"/>
          <w:sz w:val="16"/>
          <w:szCs w:val="16"/>
          <w:u w:val="single" w:color="auto"/>
          <w:color w:val="auto"/>
        </w:rPr>
        <w:t>Subscriber Material Adverse Effect</w:t>
      </w:r>
      <w:r>
        <w:rPr>
          <w:rFonts w:ascii="Times New Roman" w:cs="Times New Roman" w:eastAsia="Times New Roman" w:hAnsi="Times New Roman"/>
          <w:sz w:val="16"/>
          <w:szCs w:val="16"/>
          <w:color w:val="auto"/>
        </w:rPr>
        <w:t>” means an event, change, development, occurrence, condition or effect with respect to Subscriber that would reasonably be expected to have a material adverse effect on Subscriber’s ability to consummate the transactions contemplated hereby, including the purchase of the Subscribed Shares.</w:t>
      </w:r>
    </w:p>
    <w:p>
      <w:pPr>
        <w:spacing w:after="0" w:line="166" w:lineRule="exact"/>
        <w:rPr>
          <w:sz w:val="20"/>
          <w:szCs w:val="20"/>
          <w:color w:val="auto"/>
        </w:rPr>
      </w:pPr>
    </w:p>
    <w:p>
      <w:pPr>
        <w:jc w:val="both"/>
        <w:ind w:left="4" w:right="20" w:firstLine="765"/>
        <w:spacing w:after="0" w:line="253" w:lineRule="auto"/>
        <w:rPr>
          <w:sz w:val="20"/>
          <w:szCs w:val="20"/>
          <w:color w:val="auto"/>
        </w:rPr>
      </w:pPr>
      <w:r>
        <w:rPr>
          <w:rFonts w:ascii="Times New Roman" w:cs="Times New Roman" w:eastAsia="Times New Roman" w:hAnsi="Times New Roman"/>
          <w:sz w:val="16"/>
          <w:szCs w:val="16"/>
          <w:color w:val="auto"/>
        </w:rPr>
        <w:t>d. Subscriber is an “accredited investor” (within the meaning of Rule 501 under the Securities Act) satisfying the applicable requirements set forth on Annex A; (ii) is acquiring the Subscribed Shares only for its own account and not for the account of others, or if Subscriber is subscribing for the Subscribed Shares as a fiduciary or agent for one or more investor accounts, each owner of such account is an “accredited investor” (within the meaning of Rule 501 under the Securities Act) and Subscriber has full investment discretion with respect to each such account, and the full power and authority to make the acknowledgements, representations and agreements herein on behalf of each owner of each such account, and (iii) is not acquiring the Subscribed Shares with a view to, or for offer or sale in connection with, any distribution thereof in violation of the Securities Act (and has provided the Company with the requested information on Annex A following the signature page hereto). Subscriber has provided to the Company prior to the date of this Subscription Agreement true and correct copies of such documents that verify its status as an “accredited investor,” which documents may include, but are not limited to, bank statements, brokerage statements, Form W-2s, Form 1040s, Form 1099s, Schedule K-1 to Form 1065, and any other documents that the Company may reasonably request, in each case, for the years ended December 31, 2020 and December 31, 2021, respectively.</w:t>
      </w:r>
    </w:p>
    <w:p>
      <w:pPr>
        <w:spacing w:after="0" w:line="166" w:lineRule="exact"/>
        <w:rPr>
          <w:sz w:val="20"/>
          <w:szCs w:val="20"/>
          <w:color w:val="auto"/>
        </w:rPr>
      </w:pPr>
    </w:p>
    <w:p>
      <w:pPr>
        <w:jc w:val="both"/>
        <w:ind w:left="4" w:firstLine="765"/>
        <w:spacing w:after="0" w:line="253" w:lineRule="auto"/>
        <w:rPr>
          <w:sz w:val="20"/>
          <w:szCs w:val="20"/>
          <w:color w:val="auto"/>
        </w:rPr>
      </w:pPr>
      <w:r>
        <w:rPr>
          <w:rFonts w:ascii="Times New Roman" w:cs="Times New Roman" w:eastAsia="Times New Roman" w:hAnsi="Times New Roman"/>
          <w:sz w:val="16"/>
          <w:szCs w:val="16"/>
          <w:color w:val="auto"/>
        </w:rPr>
        <w:t>e. Subscriber understands that the Subscribed Shares are being offered in a transaction not involving any public offering within the meaning of the Securities Act and that the Subscribed Shares have not been registered under the Securities Act. Subscriber understands that the Subscribed Shares may not be offered, resold, transferred, pledged or otherwise disposed of by Subscriber absent an effective registration statement under the Securities Act, except (i) to the Company or a subsidiary thereof, or (ii) pursuant to an applicable exemption from the registration requirements of the Securities Act, and, in each of cases (i) and (ii), in accordance with any applicable securities laws of the applicable states and other jurisdictions of the United States, and as a result of these transfer restrictions, Subscriber may not be able to readily resell the Subscribed Shares and may be required to bear the financial risk of an investment in the Subscribed Shares for an indefinite period of time. Subscriber acknowledges and agrees that the Subscribed Shares will not be eligible for offer, resale, transfer, pledge or disposition pursuant to Rule 144 promulgated under the Securities Act (“</w:t>
      </w:r>
      <w:r>
        <w:rPr>
          <w:rFonts w:ascii="Times New Roman" w:cs="Times New Roman" w:eastAsia="Times New Roman" w:hAnsi="Times New Roman"/>
          <w:sz w:val="16"/>
          <w:szCs w:val="16"/>
          <w:u w:val="single" w:color="auto"/>
          <w:color w:val="auto"/>
        </w:rPr>
        <w:t>Rule 144</w:t>
      </w:r>
      <w:r>
        <w:rPr>
          <w:rFonts w:ascii="Times New Roman" w:cs="Times New Roman" w:eastAsia="Times New Roman" w:hAnsi="Times New Roman"/>
          <w:sz w:val="16"/>
          <w:szCs w:val="16"/>
          <w:color w:val="auto"/>
        </w:rPr>
        <w:t>”) until at least one year from the Closing Date. Subscriber understands that it has been advised to consult legal counsel prior to making any offer, resale, pledge or transfer of any of the Subscribed Shares.</w:t>
      </w:r>
    </w:p>
    <w:p>
      <w:pPr>
        <w:spacing w:after="0" w:line="166" w:lineRule="exact"/>
        <w:rPr>
          <w:sz w:val="20"/>
          <w:szCs w:val="20"/>
          <w:color w:val="auto"/>
        </w:rPr>
      </w:pPr>
    </w:p>
    <w:p>
      <w:pPr>
        <w:ind w:left="4" w:right="20" w:firstLine="760"/>
        <w:spacing w:after="0" w:line="280" w:lineRule="auto"/>
        <w:tabs>
          <w:tab w:leader="none" w:pos="952" w:val="left"/>
        </w:tabs>
        <w:numPr>
          <w:ilvl w:val="0"/>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book entry for the Subscribed Shares shall contain a notation, and each certificate (if any) evidencing the Subscribed Shares shall be stamped or otherwise imprinted with a legend, in substantially the following form:</w:t>
      </w:r>
    </w:p>
    <w:p>
      <w:pPr>
        <w:spacing w:after="0" w:line="142" w:lineRule="exact"/>
        <w:rPr>
          <w:sz w:val="20"/>
          <w:szCs w:val="20"/>
          <w:color w:val="auto"/>
        </w:rPr>
      </w:pPr>
    </w:p>
    <w:p>
      <w:pPr>
        <w:jc w:val="both"/>
        <w:ind w:left="4" w:right="20"/>
        <w:spacing w:after="0" w:line="266" w:lineRule="auto"/>
        <w:rPr>
          <w:sz w:val="20"/>
          <w:szCs w:val="20"/>
          <w:color w:val="auto"/>
        </w:rPr>
      </w:pPr>
      <w:r>
        <w:rPr>
          <w:rFonts w:ascii="Times New Roman" w:cs="Times New Roman" w:eastAsia="Times New Roman" w:hAnsi="Times New Roman"/>
          <w:sz w:val="16"/>
          <w:szCs w:val="16"/>
          <w:color w:val="auto"/>
        </w:rPr>
        <w:t>THIS SECURITY HAS NOT BEEN REGISTERED UNDER THE SECURITIES ACT OF 1933, AS AMENDED (THE “</w:t>
      </w:r>
      <w:r>
        <w:rPr>
          <w:rFonts w:ascii="Times New Roman" w:cs="Times New Roman" w:eastAsia="Times New Roman" w:hAnsi="Times New Roman"/>
          <w:sz w:val="16"/>
          <w:szCs w:val="16"/>
          <w:b w:val="1"/>
          <w:bCs w:val="1"/>
          <w:color w:val="auto"/>
        </w:rPr>
        <w:t>SECURITIES ACT</w:t>
      </w:r>
      <w:r>
        <w:rPr>
          <w:rFonts w:ascii="Times New Roman" w:cs="Times New Roman" w:eastAsia="Times New Roman" w:hAnsi="Times New Roman"/>
          <w:sz w:val="16"/>
          <w:szCs w:val="16"/>
          <w:color w:val="auto"/>
        </w:rPr>
        <w:t>”), AND MAY NOT BE OFFERED, SOLD, PLEDGED OR OTHERWISE TRANSFERRED EXCEPT IN ACCORDANCE WITH THE FOLLOWING SENTENCE. BY ITS ACQUISITION HEREOF OR OF A BENEFICIAL INTEREST HEREIN, THE ACQUIRER:</w:t>
      </w:r>
    </w:p>
    <w:p>
      <w:pPr>
        <w:spacing w:after="0" w:line="155" w:lineRule="exact"/>
        <w:rPr>
          <w:sz w:val="20"/>
          <w:szCs w:val="20"/>
          <w:color w:val="auto"/>
        </w:rPr>
      </w:pPr>
    </w:p>
    <w:p>
      <w:pPr>
        <w:jc w:val="both"/>
        <w:ind w:left="4" w:hanging="4"/>
        <w:spacing w:after="0" w:line="257" w:lineRule="auto"/>
        <w:tabs>
          <w:tab w:leader="none" w:pos="238"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THAT IT IS AN “ACCREDITED INVESTOR” (WITHIN THE MEANING OF RULE 501 UNDER THE SECURITIES ACT) AND (2) AGREES FOR THE BENEFIT OF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THAT IT WILL NOT OFFER, SELL, PLEDGE OR OTHERWISE TRANSFER THIS SECURITY OR ANY BENEFICIAL INTEREST HEREIN PRIOR TO THE DATE THAT IS THE LATER OF (X) ONE YEAR AFTER THE LAST ORIGINAL ISSUE DATE HEREOF OR SUCH SHORTER PERIOD OF TIME AS PERMITTED BY RULE 144 UNDER THE SECURITIES ACT OR ANY SUCCESSOR PROVISION THERETO AND (Y) SUCH LATER DATE, IF ANY, AS MAY BE REQUIRED BY APPLICABLE LAW, EXCEPT:</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(A) TO THE COMPANY OR ANY SUBSIDIARY THEREOF, OR</w:t>
      </w:r>
    </w:p>
    <w:p>
      <w:pPr>
        <w:spacing w:after="0" w:line="3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166" w:name="page167"/>
    <w:bookmarkEnd w:id="166"/>
    <w:p>
      <w:pPr>
        <w:ind w:left="4" w:right="20" w:hanging="4"/>
        <w:spacing w:after="0" w:line="280" w:lineRule="auto"/>
        <w:tabs>
          <w:tab w:leader="none" w:pos="271" w:val="left"/>
        </w:tabs>
        <w:numPr>
          <w:ilvl w:val="0"/>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A REGISTRATION STATEMENT THAT HAS BECOME EFFECTIVE UNDER THE SECURITIES ACT AND IS EFFECTIVE AT THE TIME OF SUCH TRANSFER, OR</w:t>
      </w:r>
    </w:p>
    <w:p>
      <w:pPr>
        <w:spacing w:after="0" w:line="144" w:lineRule="exact"/>
        <w:rPr>
          <w:rFonts w:ascii="Times New Roman" w:cs="Times New Roman" w:eastAsia="Times New Roman" w:hAnsi="Times New Roman"/>
          <w:sz w:val="16"/>
          <w:szCs w:val="16"/>
          <w:color w:val="auto"/>
        </w:rPr>
      </w:pPr>
    </w:p>
    <w:p>
      <w:pPr>
        <w:ind w:left="4" w:right="20" w:hanging="4"/>
        <w:spacing w:after="0" w:line="280" w:lineRule="auto"/>
        <w:tabs>
          <w:tab w:leader="none" w:pos="301" w:val="left"/>
        </w:tabs>
        <w:numPr>
          <w:ilvl w:val="0"/>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AN EXEMPTION FROM REGISTRATION PROVIDED BY RULE 144 UNDER THE SECURITIES ACT OR ANY OTHER AVAILABLE EXEMPTION FROM THE REGISTRATION REQUIREMENTS OF THE SECURITIES ACT.</w:t>
      </w:r>
    </w:p>
    <w:p>
      <w:pPr>
        <w:spacing w:after="0" w:line="144" w:lineRule="exact"/>
        <w:rPr>
          <w:sz w:val="20"/>
          <w:szCs w:val="20"/>
          <w:color w:val="auto"/>
        </w:rPr>
      </w:pPr>
    </w:p>
    <w:p>
      <w:pPr>
        <w:jc w:val="both"/>
        <w:ind w:left="4"/>
        <w:spacing w:after="0" w:line="257" w:lineRule="auto"/>
        <w:rPr>
          <w:sz w:val="20"/>
          <w:szCs w:val="20"/>
          <w:color w:val="auto"/>
        </w:rPr>
      </w:pPr>
      <w:r>
        <w:rPr>
          <w:rFonts w:ascii="Times New Roman" w:cs="Times New Roman" w:eastAsia="Times New Roman" w:hAnsi="Times New Roman"/>
          <w:sz w:val="16"/>
          <w:szCs w:val="16"/>
          <w:color w:val="auto"/>
        </w:rPr>
        <w:t>PRIOR TO THE REGISTRATION OF ANY TRANSFER IN ACCORDANCE WITH CLAUSE (2)(C) ABOVE, THE COMPANY AND THE TRANSFER AGENT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62" w:lineRule="exact"/>
        <w:rPr>
          <w:sz w:val="20"/>
          <w:szCs w:val="20"/>
          <w:color w:val="auto"/>
        </w:rPr>
      </w:pPr>
    </w:p>
    <w:p>
      <w:pPr>
        <w:jc w:val="both"/>
        <w:ind w:left="4" w:right="20"/>
        <w:spacing w:after="0" w:line="265" w:lineRule="auto"/>
        <w:rPr>
          <w:sz w:val="20"/>
          <w:szCs w:val="20"/>
          <w:color w:val="auto"/>
        </w:rPr>
      </w:pPr>
      <w:r>
        <w:rPr>
          <w:rFonts w:ascii="Times New Roman" w:cs="Times New Roman" w:eastAsia="Times New Roman" w:hAnsi="Times New Roman"/>
          <w:sz w:val="16"/>
          <w:szCs w:val="16"/>
          <w:color w:val="auto"/>
        </w:rPr>
        <w:t>THE SECURITIES REPRESENTED HEREBY ARE ALSO SUBJECT TO A LOCK-UP PERIOD AS SET FORTH IN THE SUBSCRIPTION AGREEMENT, DATED AS OF JULY 25, 2022, THE TERMS OF WHICH MAY BE OBTAINED UPON WRITTEN REQUEST OF THE SECRETARY OF THE COMPANY. SUCH LOCK-UP PERIOD IS BINDING ON TRANSFEREES OF THESE SECURITIES.</w:t>
      </w:r>
    </w:p>
    <w:p>
      <w:pPr>
        <w:spacing w:after="0" w:line="155" w:lineRule="exact"/>
        <w:rPr>
          <w:sz w:val="20"/>
          <w:szCs w:val="20"/>
          <w:color w:val="auto"/>
        </w:rPr>
      </w:pPr>
    </w:p>
    <w:p>
      <w:pPr>
        <w:jc w:val="both"/>
        <w:ind w:left="4" w:right="20" w:firstLine="765"/>
        <w:spacing w:after="0" w:line="255" w:lineRule="auto"/>
        <w:rPr>
          <w:sz w:val="20"/>
          <w:szCs w:val="20"/>
          <w:color w:val="auto"/>
        </w:rPr>
      </w:pPr>
      <w:r>
        <w:rPr>
          <w:rFonts w:ascii="Times New Roman" w:cs="Times New Roman" w:eastAsia="Times New Roman" w:hAnsi="Times New Roman"/>
          <w:sz w:val="16"/>
          <w:szCs w:val="16"/>
          <w:color w:val="auto"/>
        </w:rPr>
        <w:t>g. Subscriber understands and agrees that Subscriber is purchasing the Subscribed Shares directly from the Company. Subscriber further acknowledges that there have not been, and Subscriber hereby agrees that it is not relying on, any representations, warranties, covenants or agreements made to Subscriber by the Company, any other party to the Transaction or any other person or entity, expressly or by implication, other than those representations, warranties, covenants and agreements of the Company set forth in this Subscription Agreement. Subscriber acknowledges that certain information provided by the Company was based on projections, and such projections were prepared based on assumptions and estimates that are inherently uncertain and are subject to a wide variety of significant business, economic and competitive risks and uncertainties that could cause actual results to differ materially from those contained in the projections.</w:t>
      </w:r>
    </w:p>
    <w:p>
      <w:pPr>
        <w:spacing w:after="0" w:line="165" w:lineRule="exact"/>
        <w:rPr>
          <w:sz w:val="20"/>
          <w:szCs w:val="20"/>
          <w:color w:val="auto"/>
        </w:rPr>
      </w:pPr>
    </w:p>
    <w:p>
      <w:pPr>
        <w:jc w:val="both"/>
        <w:ind w:left="4" w:firstLine="765"/>
        <w:spacing w:after="0" w:line="259" w:lineRule="auto"/>
        <w:rPr>
          <w:sz w:val="20"/>
          <w:szCs w:val="20"/>
          <w:color w:val="auto"/>
        </w:rPr>
      </w:pPr>
      <w:r>
        <w:rPr>
          <w:rFonts w:ascii="Times New Roman" w:cs="Times New Roman" w:eastAsia="Times New Roman" w:hAnsi="Times New Roman"/>
          <w:sz w:val="16"/>
          <w:szCs w:val="16"/>
          <w:color w:val="auto"/>
        </w:rPr>
        <w:t>h. Subscriber agrees that none of the William Blair, Truist or Chardan, nor any of their respective affiliates or any of their or their respective affiliates’ control persons, officers, directors or employees, shall be liable to Subscriber pursuant to this Subscription Agreement. On behalf of itself and its affiliates, Subscriber releases each of William Blair, Truist or Chardan in respect of any losses, claims, damages, obligations, penalties, judgments, awards, liabilities, costs, expenses or disbursements related to this Subscription Agreement or the transactions contemplated hereby.</w:t>
      </w:r>
    </w:p>
    <w:p>
      <w:pPr>
        <w:spacing w:after="0" w:line="162" w:lineRule="exact"/>
        <w:rPr>
          <w:sz w:val="20"/>
          <w:szCs w:val="20"/>
          <w:color w:val="auto"/>
        </w:rPr>
      </w:pPr>
    </w:p>
    <w:p>
      <w:pPr>
        <w:jc w:val="both"/>
        <w:ind w:left="4" w:firstLine="760"/>
        <w:spacing w:after="0" w:line="251" w:lineRule="auto"/>
        <w:tabs>
          <w:tab w:leader="none" w:pos="990" w:val="left"/>
        </w:tabs>
        <w:numPr>
          <w:ilvl w:val="0"/>
          <w:numId w:val="1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making its decision to purchase the Subscribed Shares, Subscriber has relied solely upon independent investigation made by Subscriber and upon the representations, warranties and covenants set forth herein. Subscriber acknowledges and agrees that Subscriber has received such information as Subscriber deems necessary in order to make an investment decision with respect to the Subscribed Shares, including with respect to the Company and the Transaction (including Presto and their respective subsidiaries (collectively, the “</w:t>
      </w:r>
      <w:r>
        <w:rPr>
          <w:rFonts w:ascii="Times New Roman" w:cs="Times New Roman" w:eastAsia="Times New Roman" w:hAnsi="Times New Roman"/>
          <w:sz w:val="16"/>
          <w:szCs w:val="16"/>
          <w:u w:val="single" w:color="auto"/>
          <w:color w:val="auto"/>
        </w:rPr>
        <w:t>Acquired Companies</w:t>
      </w:r>
      <w:r>
        <w:rPr>
          <w:rFonts w:ascii="Times New Roman" w:cs="Times New Roman" w:eastAsia="Times New Roman" w:hAnsi="Times New Roman"/>
          <w:sz w:val="16"/>
          <w:szCs w:val="16"/>
          <w:color w:val="auto"/>
        </w:rPr>
        <w:t>”)). Subscriber represents and agrees that Subscriber and Subscriber’s professional advisor(s), if any, have had the full opportunity to ask such questions, receive such answers and obtain such information as Subscriber and such undersigned’s professional advisor(s), if any, have deemed necessary to make an investment decision with respect to the Subscribed Shares. Subscriber acknowledges and agrees that none of William Blair, Truist or Chardan, nor any respective affiliates of William Blair, Truist or Chardan have provided Subscriber with any information or advice with respect to the Subscribed Shares nor is such information or advice necessary or desired. None of William Blair, Truist or Chardan nor any of their respective affiliates have made or make any representation as to the Company or the Acquired Companies or the quality or value of the Subscribed Shares. Each of William Blair, Truist or Chardan has acting solely as a placement agent to the Company with respect to the Other Subscription Agreements and is not acting as an underwriter or in any other capacity or as a fiduciary for the Company or any other person or entity in connection with the Transaction and none of William Blair, Truist or Chardan or any of their respective affiliates has prepared any disclosure or offering document in connection with the offer and sale of the Subscribed Shares. Subscriber acknowledges that William Blair, Truist or Chardan and their respective directors, officers, employees, representatives and controlling persons have made no independent investigation with respect to the Company or the Subscribed Shares or the accuracy, completeness or adequacy of any information supplied to Subscriber by the Company.</w:t>
      </w:r>
    </w:p>
    <w:p>
      <w:pPr>
        <w:spacing w:after="0" w:line="36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167" w:name="page168"/>
    <w:bookmarkEnd w:id="167"/>
    <w:p>
      <w:pPr>
        <w:jc w:val="both"/>
        <w:ind w:firstLine="765"/>
        <w:spacing w:after="0" w:line="265" w:lineRule="auto"/>
        <w:rPr>
          <w:sz w:val="20"/>
          <w:szCs w:val="20"/>
          <w:color w:val="auto"/>
        </w:rPr>
      </w:pPr>
      <w:r>
        <w:rPr>
          <w:rFonts w:ascii="Times New Roman" w:cs="Times New Roman" w:eastAsia="Times New Roman" w:hAnsi="Times New Roman"/>
          <w:sz w:val="16"/>
          <w:szCs w:val="16"/>
          <w:color w:val="auto"/>
        </w:rPr>
        <w:t>j. Subscriber agrees and acknowledges that (i) as of the date hereof, Subscriber has had no contact, whether oral or in writing, with any of William Blair, Truist or Chardan with respect to the Transaction, including this Subscription Agreement and (ii) the Company represents and warrants that the Subscribed Shares are not being offered in a manner involving a public offering under, or in a distribution in violation of, the Securities Act, or any state securities laws.</w:t>
      </w:r>
    </w:p>
    <w:p>
      <w:pPr>
        <w:spacing w:after="0" w:line="155" w:lineRule="exact"/>
        <w:rPr>
          <w:sz w:val="20"/>
          <w:szCs w:val="20"/>
          <w:color w:val="auto"/>
        </w:rPr>
      </w:pPr>
    </w:p>
    <w:p>
      <w:pPr>
        <w:jc w:val="both"/>
        <w:ind w:right="20" w:firstLine="765"/>
        <w:spacing w:after="0" w:line="265" w:lineRule="auto"/>
        <w:rPr>
          <w:sz w:val="20"/>
          <w:szCs w:val="20"/>
          <w:color w:val="auto"/>
        </w:rPr>
      </w:pPr>
      <w:r>
        <w:rPr>
          <w:rFonts w:ascii="Times New Roman" w:cs="Times New Roman" w:eastAsia="Times New Roman" w:hAnsi="Times New Roman"/>
          <w:sz w:val="16"/>
          <w:szCs w:val="16"/>
          <w:color w:val="auto"/>
        </w:rPr>
        <w:t>k. Subscriber acknowledges that it is aware that there are substantial risks incident to the purchase and ownership of the Subscribed Shares. Subscriber has such knowledge and experience in financial and business matters as to be capable of evaluating the merits and risks of an investment in the Subscribed Shares, and Subscriber has had an opportunity to seek, and has sought, such accounting, legal, business and tax advice as Subscriber has considered necessary to make an informed investment decision.</w:t>
      </w:r>
    </w:p>
    <w:p>
      <w:pPr>
        <w:spacing w:after="0" w:line="155" w:lineRule="exact"/>
        <w:rPr>
          <w:sz w:val="20"/>
          <w:szCs w:val="20"/>
          <w:color w:val="auto"/>
        </w:rPr>
      </w:pPr>
    </w:p>
    <w:p>
      <w:pPr>
        <w:jc w:val="both"/>
        <w:ind w:right="20" w:firstLine="765"/>
        <w:spacing w:after="0" w:line="265" w:lineRule="auto"/>
        <w:rPr>
          <w:sz w:val="20"/>
          <w:szCs w:val="20"/>
          <w:color w:val="auto"/>
        </w:rPr>
      </w:pPr>
      <w:r>
        <w:rPr>
          <w:rFonts w:ascii="Times New Roman" w:cs="Times New Roman" w:eastAsia="Times New Roman" w:hAnsi="Times New Roman"/>
          <w:sz w:val="16"/>
          <w:szCs w:val="16"/>
          <w:color w:val="auto"/>
        </w:rPr>
        <w:t>l. Subscriber has adequately analyzed and fully considered the risks of an investment in the Subscribed Shares and determined that the Subscribed Shares are a suitable investment for Subscriber and that Subscriber is able at this time and in the foreseeable future to bear the economic risk of a total loss of Subscriber’s investment in the Company. Subscriber acknowledges specifically that a possibility of total loss exists.</w:t>
      </w:r>
    </w:p>
    <w:p>
      <w:pPr>
        <w:spacing w:after="0" w:line="155" w:lineRule="exact"/>
        <w:rPr>
          <w:sz w:val="20"/>
          <w:szCs w:val="20"/>
          <w:color w:val="auto"/>
        </w:rPr>
      </w:pPr>
    </w:p>
    <w:p>
      <w:pPr>
        <w:jc w:val="both"/>
        <w:ind w:right="20" w:firstLine="765"/>
        <w:spacing w:after="0" w:line="280" w:lineRule="auto"/>
        <w:rPr>
          <w:sz w:val="20"/>
          <w:szCs w:val="20"/>
          <w:color w:val="auto"/>
        </w:rPr>
      </w:pPr>
      <w:r>
        <w:rPr>
          <w:rFonts w:ascii="Times New Roman" w:cs="Times New Roman" w:eastAsia="Times New Roman" w:hAnsi="Times New Roman"/>
          <w:sz w:val="16"/>
          <w:szCs w:val="16"/>
          <w:color w:val="auto"/>
        </w:rPr>
        <w:t>m. Subscriber understands and agrees that no federal or state agency has passed upon or endorsed the merits of the offering of the Subscribed Shares or made any findings or determination as to the fairness of this investment.</w:t>
      </w:r>
    </w:p>
    <w:p>
      <w:pPr>
        <w:spacing w:after="0" w:line="144" w:lineRule="exact"/>
        <w:rPr>
          <w:sz w:val="20"/>
          <w:szCs w:val="20"/>
          <w:color w:val="auto"/>
        </w:rPr>
      </w:pPr>
    </w:p>
    <w:p>
      <w:pPr>
        <w:jc w:val="both"/>
        <w:ind w:firstLine="765"/>
        <w:spacing w:after="0" w:line="252" w:lineRule="auto"/>
        <w:rPr>
          <w:sz w:val="20"/>
          <w:szCs w:val="20"/>
          <w:color w:val="auto"/>
        </w:rPr>
      </w:pPr>
      <w:r>
        <w:rPr>
          <w:rFonts w:ascii="Times New Roman" w:cs="Times New Roman" w:eastAsia="Times New Roman" w:hAnsi="Times New Roman"/>
          <w:sz w:val="16"/>
          <w:szCs w:val="16"/>
          <w:color w:val="auto"/>
        </w:rPr>
        <w:t>n. Subscriber is not (i) a person or entity named on the List of Specially Designated Nationals and Blocked Persons administered by the U.S. Treasury Department’s Office of Foreign Assets Control (“</w:t>
      </w:r>
      <w:r>
        <w:rPr>
          <w:rFonts w:ascii="Times New Roman" w:cs="Times New Roman" w:eastAsia="Times New Roman" w:hAnsi="Times New Roman"/>
          <w:sz w:val="16"/>
          <w:szCs w:val="16"/>
          <w:u w:val="single" w:color="auto"/>
          <w:color w:val="auto"/>
        </w:rPr>
        <w:t>OFAC</w:t>
      </w:r>
      <w:r>
        <w:rPr>
          <w:rFonts w:ascii="Times New Roman" w:cs="Times New Roman" w:eastAsia="Times New Roman" w:hAnsi="Times New Roman"/>
          <w:sz w:val="16"/>
          <w:szCs w:val="16"/>
          <w:color w:val="auto"/>
        </w:rPr>
        <w:t>”) or in any Executive Order issued by the President of the United States and administered by OFAC (“</w:t>
      </w:r>
      <w:r>
        <w:rPr>
          <w:rFonts w:ascii="Times New Roman" w:cs="Times New Roman" w:eastAsia="Times New Roman" w:hAnsi="Times New Roman"/>
          <w:sz w:val="16"/>
          <w:szCs w:val="16"/>
          <w:u w:val="single" w:color="auto"/>
          <w:color w:val="auto"/>
        </w:rPr>
        <w:t>OFAC List</w:t>
      </w:r>
      <w:r>
        <w:rPr>
          <w:rFonts w:ascii="Times New Roman" w:cs="Times New Roman" w:eastAsia="Times New Roman" w:hAnsi="Times New Roman"/>
          <w:sz w:val="16"/>
          <w:szCs w:val="16"/>
          <w:color w:val="auto"/>
        </w:rPr>
        <w:t>”), or a person or entity prohibited by any OFAC sanctions program; (ii) a Designated National as defined in the Cuban Assets Control Regulations, 31 C.F.R. Part 515; or (iii) a non-U.S. shell bank or providing banking services indirectly to a non-U.S. shell bank (collectively, a “</w:t>
      </w:r>
      <w:r>
        <w:rPr>
          <w:rFonts w:ascii="Times New Roman" w:cs="Times New Roman" w:eastAsia="Times New Roman" w:hAnsi="Times New Roman"/>
          <w:sz w:val="16"/>
          <w:szCs w:val="16"/>
          <w:u w:val="single" w:color="auto"/>
          <w:color w:val="auto"/>
        </w:rPr>
        <w:t>Prohibited Investor</w:t>
      </w:r>
      <w:r>
        <w:rPr>
          <w:rFonts w:ascii="Times New Roman" w:cs="Times New Roman" w:eastAsia="Times New Roman" w:hAnsi="Times New Roman"/>
          <w:sz w:val="16"/>
          <w:szCs w:val="16"/>
          <w:color w:val="auto"/>
        </w:rPr>
        <w:t>”). Subscriber agrees to provide law enforcement agencies, if requested thereby, such records as required by applicable law, provided that Subscriber is permitted to do so under applicable law. Subscriber represents that if it is a financial institution subject to the Bank Secrecy Act (31 U.S.C. Section 5311 et seq.), as amended by the USA PATRIOT Act of 2001 and its implementing regulations (collectively, the “</w:t>
      </w:r>
      <w:r>
        <w:rPr>
          <w:rFonts w:ascii="Times New Roman" w:cs="Times New Roman" w:eastAsia="Times New Roman" w:hAnsi="Times New Roman"/>
          <w:sz w:val="16"/>
          <w:szCs w:val="16"/>
          <w:u w:val="single" w:color="auto"/>
          <w:color w:val="auto"/>
        </w:rPr>
        <w:t>BSA/PATRIOT Act</w:t>
      </w:r>
      <w:r>
        <w:rPr>
          <w:rFonts w:ascii="Times New Roman" w:cs="Times New Roman" w:eastAsia="Times New Roman" w:hAnsi="Times New Roman"/>
          <w:sz w:val="16"/>
          <w:szCs w:val="16"/>
          <w:color w:val="auto"/>
        </w:rPr>
        <w:t>”), that Subscriber maintains policies and procedures reasonably designed to comply with applicable obligations under the BSA/PATRIOT Act. Subscriber also represents that, to the extent required, it maintains policies and procedures reasonably designed for the screening of its investors against the OFAC sanctions programs, including the OFAC List. Subscriber further represents and warrants that, to the extent required, it maintains policies and procedures reasonably designed to ensure that the funds held by Subscriber and used to purchase the Subscribed Shares were legally derived.</w:t>
      </w:r>
    </w:p>
    <w:p>
      <w:pPr>
        <w:spacing w:after="0" w:line="171" w:lineRule="exact"/>
        <w:rPr>
          <w:sz w:val="20"/>
          <w:szCs w:val="20"/>
          <w:color w:val="auto"/>
        </w:rPr>
      </w:pPr>
    </w:p>
    <w:p>
      <w:pPr>
        <w:jc w:val="both"/>
        <w:ind w:firstLine="765"/>
        <w:spacing w:after="0" w:line="255" w:lineRule="auto"/>
        <w:rPr>
          <w:sz w:val="20"/>
          <w:szCs w:val="20"/>
          <w:color w:val="auto"/>
        </w:rPr>
      </w:pPr>
      <w:r>
        <w:rPr>
          <w:rFonts w:ascii="Times New Roman" w:cs="Times New Roman" w:eastAsia="Times New Roman" w:hAnsi="Times New Roman"/>
          <w:sz w:val="16"/>
          <w:szCs w:val="16"/>
          <w:color w:val="auto"/>
        </w:rPr>
        <w:t>o. As of the date hereof, and during the 30-day period immediately prior to the date hereof Subscriber has not entered into, any “put equivalent position” as such term is defined in Rule 16a-1 under the Exchange Act or short sale positions with respect to the securities of the Company. Notwithstanding the foregoing, in the case of a Subscriber that is a multi-managed investment vehicle whereby separate portfolio managers manage separate portions of such Subscriber’s assets and the portfolio managers have no direct knowledge of the investment decisions made by the portfolio managers managing other portions of such Subscriber’s assets, the representation set forth above shall only apply with respect to the portion of assets managed by the portfolio manager that made the investment decision to purchase the Subscribed Shares covered by this Agreement.</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68" w:name="page169"/>
    <w:bookmarkEnd w:id="168"/>
    <w:p>
      <w:pPr>
        <w:jc w:val="both"/>
        <w:ind w:firstLine="765"/>
        <w:spacing w:after="0" w:line="253" w:lineRule="auto"/>
        <w:rPr>
          <w:sz w:val="20"/>
          <w:szCs w:val="20"/>
          <w:color w:val="auto"/>
        </w:rPr>
      </w:pPr>
      <w:r>
        <w:rPr>
          <w:rFonts w:ascii="Times New Roman" w:cs="Times New Roman" w:eastAsia="Times New Roman" w:hAnsi="Times New Roman"/>
          <w:sz w:val="16"/>
          <w:szCs w:val="16"/>
          <w:color w:val="auto"/>
        </w:rPr>
        <w:t>p. If Subscriber is an employee benefit plan that is subject to Title I of ERISA, a plan, an individual retirement account or other arrangement that is subject to section 4975 of the Code or an employee benefit plan that is a governmental plan (as defined in section 3(32) of ERISA), a church plan (as defined in section 3(33) of ERISA), a non-U.S. plan (as described in section 4(b)(4) of ERISA) or other plan that is not subject to the foregoing but may be subject to provisions under any other federal, state, local, non-U.S. or other laws or regulations that are similar to such provisions of ERISA or the Internal Revenue Code of 1986, as amended, or an entity whose underlying assets are considered to include “plan assets” of any such plan, account or arrangement (each, a “</w:t>
      </w:r>
      <w:r>
        <w:rPr>
          <w:rFonts w:ascii="Times New Roman" w:cs="Times New Roman" w:eastAsia="Times New Roman" w:hAnsi="Times New Roman"/>
          <w:sz w:val="16"/>
          <w:szCs w:val="16"/>
          <w:u w:val="single" w:color="auto"/>
          <w:color w:val="auto"/>
        </w:rPr>
        <w:t>Plan</w:t>
      </w:r>
      <w:r>
        <w:rPr>
          <w:rFonts w:ascii="Times New Roman" w:cs="Times New Roman" w:eastAsia="Times New Roman" w:hAnsi="Times New Roman"/>
          <w:sz w:val="16"/>
          <w:szCs w:val="16"/>
          <w:color w:val="auto"/>
        </w:rPr>
        <w:t>”) subject to the fiduciary or prohibited transaction provisions of ERISA or section 4975 of the Code, Subscriber represents and warrants that neither the Company, nor any of its respective affiliates (the “</w:t>
      </w:r>
      <w:r>
        <w:rPr>
          <w:rFonts w:ascii="Times New Roman" w:cs="Times New Roman" w:eastAsia="Times New Roman" w:hAnsi="Times New Roman"/>
          <w:sz w:val="16"/>
          <w:szCs w:val="16"/>
          <w:u w:val="single" w:color="auto"/>
          <w:color w:val="auto"/>
        </w:rPr>
        <w:t>Transaction Parties</w:t>
      </w:r>
      <w:r>
        <w:rPr>
          <w:rFonts w:ascii="Times New Roman" w:cs="Times New Roman" w:eastAsia="Times New Roman" w:hAnsi="Times New Roman"/>
          <w:sz w:val="16"/>
          <w:szCs w:val="16"/>
          <w:color w:val="auto"/>
        </w:rPr>
        <w:t>”) has acted as the Plan’s fiduciary, or has been relied on for advice, with respect to its decision to acquire and hold the Subscribed Shares, and none of the Transaction Parties shall at any time be relied upon as the Plan’s fiduciary with respect to any decision to acquire, continue to hold or transfer the Subscribed Shares and none of the acquisition, holding and/or transfer or disposition of the Subscribed Shares will result in a non-exempt prohibited Transactions under ERISA or Section 4975 of the Code or any similar law or regulation.</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 xml:space="preserve">q. Subscriber at the Closing will have sufficient funds to pay the Purchase Price pursuant to </w:t>
      </w:r>
      <w:r>
        <w:rPr>
          <w:rFonts w:ascii="Times New Roman" w:cs="Times New Roman" w:eastAsia="Times New Roman" w:hAnsi="Times New Roman"/>
          <w:sz w:val="16"/>
          <w:szCs w:val="16"/>
          <w:u w:val="single" w:color="auto"/>
          <w:color w:val="auto"/>
        </w:rPr>
        <w:t>Section 2(a)</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765"/>
        <w:spacing w:after="0" w:line="257" w:lineRule="auto"/>
        <w:rPr>
          <w:sz w:val="20"/>
          <w:szCs w:val="20"/>
          <w:color w:val="auto"/>
        </w:rPr>
      </w:pPr>
      <w:r>
        <w:rPr>
          <w:rFonts w:ascii="Times New Roman" w:cs="Times New Roman" w:eastAsia="Times New Roman" w:hAnsi="Times New Roman"/>
          <w:sz w:val="16"/>
          <w:szCs w:val="16"/>
          <w:color w:val="auto"/>
        </w:rPr>
        <w:t xml:space="preserve">r. Subscriber acknowledges and understands that the Subscribed Shares are, and following the Closing will be, subject to Transfer Restrictions. For purposes of this </w:t>
      </w:r>
      <w:r>
        <w:rPr>
          <w:rFonts w:ascii="Times New Roman" w:cs="Times New Roman" w:eastAsia="Times New Roman" w:hAnsi="Times New Roman"/>
          <w:sz w:val="16"/>
          <w:szCs w:val="16"/>
          <w:u w:val="single" w:color="auto"/>
          <w:color w:val="auto"/>
        </w:rPr>
        <w:t>Section 4(r)</w:t>
      </w:r>
      <w:r>
        <w:rPr>
          <w:rFonts w:ascii="Times New Roman" w:cs="Times New Roman" w:eastAsia="Times New Roman" w:hAnsi="Times New Roman"/>
          <w:sz w:val="16"/>
          <w:szCs w:val="16"/>
          <w:color w:val="auto"/>
        </w:rPr>
        <w:t>, the term “</w:t>
      </w:r>
      <w:r>
        <w:rPr>
          <w:rFonts w:ascii="Times New Roman" w:cs="Times New Roman" w:eastAsia="Times New Roman" w:hAnsi="Times New Roman"/>
          <w:sz w:val="16"/>
          <w:szCs w:val="16"/>
          <w:u w:val="single" w:color="auto"/>
          <w:color w:val="auto"/>
        </w:rPr>
        <w:t>Transfer Restrictions</w:t>
      </w:r>
      <w:r>
        <w:rPr>
          <w:rFonts w:ascii="Times New Roman" w:cs="Times New Roman" w:eastAsia="Times New Roman" w:hAnsi="Times New Roman"/>
          <w:sz w:val="16"/>
          <w:szCs w:val="16"/>
          <w:color w:val="auto"/>
        </w:rPr>
        <w:t xml:space="preserve">” means a condition to or restriction on the ability of the undersigned to pledge, sell, assign or otherwise transfer the Subscribed Shares under any organizational document, policy or agreement of, by or with the Company, including the restrictions on transfer described in </w:t>
      </w:r>
      <w:r>
        <w:rPr>
          <w:rFonts w:ascii="Times New Roman" w:cs="Times New Roman" w:eastAsia="Times New Roman" w:hAnsi="Times New Roman"/>
          <w:sz w:val="16"/>
          <w:szCs w:val="16"/>
          <w:u w:val="single" w:color="auto"/>
          <w:color w:val="auto"/>
        </w:rPr>
        <w:t>Section 4(e)</w:t>
      </w:r>
      <w:r>
        <w:rPr>
          <w:rFonts w:ascii="Times New Roman" w:cs="Times New Roman" w:eastAsia="Times New Roman" w:hAnsi="Times New Roman"/>
          <w:sz w:val="16"/>
          <w:szCs w:val="16"/>
          <w:color w:val="auto"/>
        </w:rPr>
        <w:t xml:space="preserve"> of this Subscription Agreement with respect to the status of the Subscribed Shares as “restricted securities” pending their registration for resale under the Securities Act, and described in </w:t>
      </w:r>
      <w:r>
        <w:rPr>
          <w:rFonts w:ascii="Times New Roman" w:cs="Times New Roman" w:eastAsia="Times New Roman" w:hAnsi="Times New Roman"/>
          <w:sz w:val="16"/>
          <w:szCs w:val="16"/>
          <w:u w:val="single" w:color="auto"/>
          <w:color w:val="auto"/>
        </w:rPr>
        <w:t>Section 5</w:t>
      </w:r>
      <w:r>
        <w:rPr>
          <w:rFonts w:ascii="Times New Roman" w:cs="Times New Roman" w:eastAsia="Times New Roman" w:hAnsi="Times New Roman"/>
          <w:sz w:val="16"/>
          <w:szCs w:val="16"/>
          <w:color w:val="auto"/>
        </w:rPr>
        <w:t xml:space="preserve"> of this Subscription Agreement with respect to an eighteen (18) month lock-up, in accordance with the terms of this Subscription Agreement.</w:t>
      </w:r>
    </w:p>
    <w:p>
      <w:pPr>
        <w:spacing w:after="0" w:line="162" w:lineRule="exact"/>
        <w:rPr>
          <w:sz w:val="20"/>
          <w:szCs w:val="20"/>
          <w:color w:val="auto"/>
        </w:rPr>
      </w:pPr>
    </w:p>
    <w:p>
      <w:pPr>
        <w:jc w:val="both"/>
        <w:ind w:right="20" w:firstLine="378"/>
        <w:spacing w:after="0" w:line="252" w:lineRule="auto"/>
        <w:tabs>
          <w:tab w:leader="none" w:pos="542" w:val="left"/>
        </w:tabs>
        <w:numPr>
          <w:ilvl w:val="0"/>
          <w:numId w:val="1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Restriction on Transfer of Subscribed Shares</w:t>
      </w:r>
      <w:r>
        <w:rPr>
          <w:rFonts w:ascii="Times New Roman" w:cs="Times New Roman" w:eastAsia="Times New Roman" w:hAnsi="Times New Roman"/>
          <w:sz w:val="16"/>
          <w:szCs w:val="16"/>
          <w:color w:val="auto"/>
        </w:rPr>
        <w:t xml:space="preserve">. Until the date that is eighteen (18) months after the Closing Date, the Subscriber shall not be permitted to, voluntarily or involuntarily, sell, assign, transfer (including by operation of law), create any lien or pledge, dispose of or otherwise encumber any of the Subscribed Shares or otherwise agree to do any of the foregoing, (b) deposit any of such shares of Common Stock into a voting trust or enter into a voting agreement or arrangement or grant any proxy or power of attorney with respect thereto that is inconsistent with this Agreement (c) enter into any contract, option or other arrangement or undertaking requiring the direct acquisition or sale, assignment, transfer or other disposition of any such shares of Common Stock, or (d) make any public announcement of any intention to take any of the foregoing actions, in each case, without the prior written consent of the Company;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any transfer to an affiliate of the Subscriber that complies with the terms hereof shall not require such consent of the Company. Notwithstanding anything to the contrary contained herein, each transferee of such shares of Common Stock shall, on or prior to the date of this Agreement or (if later) the date that it first acquires any such shares of Common Stock, deliver to the Company a valid and duly completed IRS Form W-9 (and, for the avoidance of doubt, at all times during which a person is holder of such Common Stock, such person shall (i) have delivered to the Company such a valid and duly completed IRS Form W-9; and (ii) be eligible to deliver a valid and duly completed IRS Form W-9 to the Company).</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69" w:name="page170"/>
    <w:bookmarkEnd w:id="169"/>
    <w:p>
      <w:pPr>
        <w:ind w:left="544" w:hanging="162"/>
        <w:spacing w:after="0"/>
        <w:tabs>
          <w:tab w:leader="none" w:pos="544" w:val="left"/>
        </w:tabs>
        <w:numPr>
          <w:ilvl w:val="1"/>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Registration of Subscribed Shares</w:t>
      </w:r>
      <w:r>
        <w:rPr>
          <w:rFonts w:ascii="Times New Roman" w:cs="Times New Roman" w:eastAsia="Times New Roman" w:hAnsi="Times New Roman"/>
          <w:sz w:val="16"/>
          <w:szCs w:val="16"/>
          <w:color w:val="auto"/>
        </w:rPr>
        <w:t>.</w:t>
      </w:r>
    </w:p>
    <w:p>
      <w:pPr>
        <w:spacing w:after="0" w:line="198" w:lineRule="exact"/>
        <w:rPr>
          <w:rFonts w:ascii="Times New Roman" w:cs="Times New Roman" w:eastAsia="Times New Roman" w:hAnsi="Times New Roman"/>
          <w:sz w:val="16"/>
          <w:szCs w:val="16"/>
          <w:color w:val="auto"/>
        </w:rPr>
      </w:pPr>
    </w:p>
    <w:p>
      <w:pPr>
        <w:jc w:val="both"/>
        <w:ind w:left="4" w:firstLine="765"/>
        <w:spacing w:after="0" w:line="26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a. The Company agrees that, within thirty (30) days after the Closing Date, the Company will file with the SEC (at the Company’s sole cost and expense) a registration statement registering the resale of the Subscribed Shares (the “</w:t>
      </w:r>
      <w:r>
        <w:rPr>
          <w:rFonts w:ascii="Times New Roman" w:cs="Times New Roman" w:eastAsia="Times New Roman" w:hAnsi="Times New Roman"/>
          <w:sz w:val="15"/>
          <w:szCs w:val="15"/>
          <w:u w:val="single" w:color="auto"/>
          <w:color w:val="auto"/>
        </w:rPr>
        <w:t>Registration Statement</w:t>
      </w:r>
      <w:r>
        <w:rPr>
          <w:rFonts w:ascii="Times New Roman" w:cs="Times New Roman" w:eastAsia="Times New Roman" w:hAnsi="Times New Roman"/>
          <w:sz w:val="15"/>
          <w:szCs w:val="15"/>
          <w:color w:val="auto"/>
        </w:rPr>
        <w:t>”), and the Company shall use its commercially reasonable efforts to have the Registration Statement declared effective upon the Closing, but no later than sixty (60) calendar days following the Closing Date (the “</w:t>
      </w:r>
      <w:r>
        <w:rPr>
          <w:rFonts w:ascii="Times New Roman" w:cs="Times New Roman" w:eastAsia="Times New Roman" w:hAnsi="Times New Roman"/>
          <w:sz w:val="15"/>
          <w:szCs w:val="15"/>
          <w:u w:val="single" w:color="auto"/>
          <w:color w:val="auto"/>
        </w:rPr>
        <w:t>Effectiveness Deadline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the Effectiveness Deadline shall be extended to ninety (90) calendar days after the Closing Date if the Registration Statement is reviewed by, and receives comments from, the SEC. The Company will provide a draft of the Registration Statement to the undersigned for review at least two (2) business days in advance of filing the Registration Statement. In no event shall the undersigned be identified as a statutory underwriter in the Registration Statement unless requested by the SEC. Notwithstanding the foregoing, if the SEC prevents the Company from including any or all of the shares proposed to be registered under the Registration Statement due to limitations on the use of Rule 415 of the Securities Act for the resale of the Subscribed Shares by the applicable stockholders or otherwise, such Registration Statement shall register for resale such number of Subscribed Shares which is equal to the maximum number of Subscribed Shares as is permitted by the SEC. In such event, the number of Subscribed Shares to be registered for each selling stockholder named in the Registration Statement shall be reduced </w:t>
      </w:r>
      <w:r>
        <w:rPr>
          <w:rFonts w:ascii="Times New Roman" w:cs="Times New Roman" w:eastAsia="Times New Roman" w:hAnsi="Times New Roman"/>
          <w:sz w:val="15"/>
          <w:szCs w:val="15"/>
          <w:i w:val="1"/>
          <w:iCs w:val="1"/>
          <w:color w:val="auto"/>
        </w:rPr>
        <w:t>pro rata</w:t>
      </w:r>
      <w:r>
        <w:rPr>
          <w:rFonts w:ascii="Times New Roman" w:cs="Times New Roman" w:eastAsia="Times New Roman" w:hAnsi="Times New Roman"/>
          <w:sz w:val="15"/>
          <w:szCs w:val="15"/>
          <w:color w:val="auto"/>
        </w:rPr>
        <w:t xml:space="preserve"> among all such selling stockholders. The Company agrees that the Company will cause such Registration Statement to remain effective until the earlier of (i) two years from the issuance of the Subscribed Shares, (ii) the date on which all of the Subscribed Shares shall have been sold, or (iii) on the first date on which the undersigned can sell all of its Subscribed Shares (or shares received in exchange therefor) under Rule 144 of the Securities Act without limitation as to the manner of sale or the amount of such securities that may be sold. For as long as the Registration Statement shall remain effective pursuant to the immediately preceding sentence, the Company will use its reasonable best efforts to file all reports, and will provide all customary and reasonable cooperation, necessary to enable the undersigned to resell the Subscribed Shares pursuant to the Registration Statement or Rule 144 of the Securities Act, as applicable, qualify the Subscribed Shares for listing on the applicable stock exchange, update or amend the Registration Statement as necessary to include the Subscribed Shares and provide customary notice to holders of Subscribed Shares. The undersigned agrees to disclose its beneficial ownership, as determined in accordance with Rule 13d-3 of the Securities Exchange Act of 1934 (as amended, the “</w:t>
      </w:r>
      <w:r>
        <w:rPr>
          <w:rFonts w:ascii="Times New Roman" w:cs="Times New Roman" w:eastAsia="Times New Roman" w:hAnsi="Times New Roman"/>
          <w:sz w:val="15"/>
          <w:szCs w:val="15"/>
          <w:u w:val="single" w:color="auto"/>
          <w:color w:val="auto"/>
        </w:rPr>
        <w:t>Exchange Act</w:t>
      </w:r>
      <w:r>
        <w:rPr>
          <w:rFonts w:ascii="Times New Roman" w:cs="Times New Roman" w:eastAsia="Times New Roman" w:hAnsi="Times New Roman"/>
          <w:sz w:val="15"/>
          <w:szCs w:val="15"/>
          <w:color w:val="auto"/>
        </w:rPr>
        <w:t>”), of Subscribed Shares to the Company (or its successor) upon request to assist the Company in making the determination described above. The Company’s obligations to include the Subscribed Shares in the Registration Statement are contingent upon the undersigned furnishing in writing to the Company such information regarding the undersigned, the securities of the Company held by the undersigned and the intended method of disposition of the Subscribed Shares as shall be reasonably requested by the Company to effect the registration of the Subscribed Shares, and shall execute such documents in connection with such registration as the Company may reasonably request that are customary of a selling stockholder in similar situations. Subscriber shall not be entitled to use the Registration Statement for an underwritten offering of Subscribed Shares. The Company may delay filing or suspend the use of any such registration statement if it determines that in order for the registration statement to not contain a material misstatement or omission, an amendment thereto would be needed, or if such filing or use could materially affect a bona fide business or financing transaction of the Company or would require premature disclosure of information that could materially adversely affect the Company (each such circumstance, a “</w:t>
      </w:r>
      <w:r>
        <w:rPr>
          <w:rFonts w:ascii="Times New Roman" w:cs="Times New Roman" w:eastAsia="Times New Roman" w:hAnsi="Times New Roman"/>
          <w:sz w:val="15"/>
          <w:szCs w:val="15"/>
          <w:u w:val="single" w:color="auto"/>
          <w:color w:val="auto"/>
        </w:rPr>
        <w:t>Suspension Event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(i) the Company shall not so delay filing or so suspend the use of the Registration Statement for a period of more than sixty (60) consecutive days or more than two (2) times in any three hundred sixty (360) day period and (ii) the Company shall use commercially reasonable efforts to make such registration statement available for the sale by the undersigned of such securities as soon as practicable thereafter. Upon receipt of any written notice from the Company (which notice shall not contain any material non-public information regarding the Company) of the happening of any Suspension Event during the period that the Registration Statement is effective or if as a result of a Suspension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the undersigned agrees that (i) it will immediately discontinue offers and sales of the Subscribed Shares under the Registration Statement (excluding, for the avoidance of doubt, sales conducted pursuant to Rule 144) until the undersigned receives copies of a supplemental or amended prospectus (which the Company agrees to promptly prepare) that corrects the misstatement(s) or omission(s) referred to above and receives notice that any post-effective amendment has become effective or unless otherwise notified by the Company that it may resume such offers and sales, and (ii) it will maintain the confidentiality of any information included in such written notice delivered by the Company unless otherwise required by law or subpoena. If so directed by the Company, the undersigned will deliver to the Company or, in the undersigned’s sole discretion, destroy all copies of the prospectus covering the Subscribed Shares in the undersigned’s possession;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this obligation to deliver or destroy all copies of the prospectus covering the Subscribed Shares shall not apply (i) to the extent the undersigned is required to retain a copy of such prospectus (a) in order to comply with applicable legal, regulatory, self-regulatory or professional requirements or (b) in accordance with a bona fide pre-existing document retention policy or</w:t>
      </w:r>
    </w:p>
    <w:p>
      <w:pPr>
        <w:spacing w:after="0" w:line="373" w:lineRule="exact"/>
        <w:rPr>
          <w:rFonts w:ascii="Times New Roman" w:cs="Times New Roman" w:eastAsia="Times New Roman" w:hAnsi="Times New Roman"/>
          <w:sz w:val="16"/>
          <w:szCs w:val="16"/>
          <w:color w:val="auto"/>
        </w:rPr>
      </w:pPr>
    </w:p>
    <w:p>
      <w:pPr>
        <w:ind w:left="244" w:hanging="244"/>
        <w:spacing w:after="0"/>
        <w:tabs>
          <w:tab w:leader="none" w:pos="244"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copies stored electronically on archival servers as a result of automatic data back-up.</w:t>
      </w:r>
    </w:p>
    <w:p>
      <w:pPr>
        <w:spacing w:after="0" w:line="37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170" w:name="page171"/>
    <w:bookmarkEnd w:id="170"/>
    <w:p>
      <w:pPr>
        <w:jc w:val="both"/>
        <w:ind w:firstLine="765"/>
        <w:spacing w:after="0" w:line="251" w:lineRule="auto"/>
        <w:rPr>
          <w:sz w:val="20"/>
          <w:szCs w:val="20"/>
          <w:color w:val="auto"/>
        </w:rPr>
      </w:pPr>
      <w:r>
        <w:rPr>
          <w:rFonts w:ascii="Times New Roman" w:cs="Times New Roman" w:eastAsia="Times New Roman" w:hAnsi="Times New Roman"/>
          <w:sz w:val="16"/>
          <w:szCs w:val="16"/>
          <w:color w:val="auto"/>
        </w:rPr>
        <w:t>b. The Company shall, notwithstanding any termination of this Subscription Agreement, indemnify, defend and hold harmless the undersigned (to the extent a seller under the Registration Statement), the officers, directors, agents, partners, members, managers, stockholders, affiliates, employees and investment advisers of the undersigned, each person who controls the undersigned (within the meaning of Section 15 of the Securities Act or Section 20 of the Exchange Act) and the officers, directors, partners, members, managers, stockholders, agents, affiliates, employees and investment advisers of each such controlling person, to the fullest extent permitted by applicable law, from and against any and all losses, claims, damages, liabilities, costs (including, without limitation, reasonable attorneys’ fees) and expenses (collectively, “</w:t>
      </w:r>
      <w:r>
        <w:rPr>
          <w:rFonts w:ascii="Times New Roman" w:cs="Times New Roman" w:eastAsia="Times New Roman" w:hAnsi="Times New Roman"/>
          <w:sz w:val="16"/>
          <w:szCs w:val="16"/>
          <w:u w:val="single" w:color="auto"/>
          <w:color w:val="auto"/>
        </w:rPr>
        <w:t>Losses</w:t>
      </w:r>
      <w:r>
        <w:rPr>
          <w:rFonts w:ascii="Times New Roman" w:cs="Times New Roman" w:eastAsia="Times New Roman" w:hAnsi="Times New Roman"/>
          <w:sz w:val="16"/>
          <w:szCs w:val="16"/>
          <w:color w:val="auto"/>
        </w:rPr>
        <w:t xml:space="preserve">”) that arise out of or are based upon (i) any untrue or alleged untrue statement of a material fact contained (or incorporated by reference) in the Registration Statement, any prospectus included in the Registration Statement or any form of prospectus or in any amendment or supplement thereto or in any preliminary prospectus, or arising out of or relating to any omission or alleged omission to state a material fact required to be stated therein or necessary to make the statements therein (in the case of any prospectus or form of prospectus or supplement thereto, in light of the circumstances under which they were made) not misleading, or (ii) any violation or alleged violation by the Company of the Securities Act, the Exchange Act or any state securities law or any rule or regulation thereunder, in connection with the performance of its obligations under this </w:t>
      </w:r>
      <w:r>
        <w:rPr>
          <w:rFonts w:ascii="Times New Roman" w:cs="Times New Roman" w:eastAsia="Times New Roman" w:hAnsi="Times New Roman"/>
          <w:sz w:val="16"/>
          <w:szCs w:val="16"/>
          <w:u w:val="single" w:color="auto"/>
          <w:color w:val="auto"/>
        </w:rPr>
        <w:t>Section 5</w:t>
      </w:r>
      <w:r>
        <w:rPr>
          <w:rFonts w:ascii="Times New Roman" w:cs="Times New Roman" w:eastAsia="Times New Roman" w:hAnsi="Times New Roman"/>
          <w:sz w:val="16"/>
          <w:szCs w:val="16"/>
          <w:color w:val="auto"/>
        </w:rPr>
        <w:t xml:space="preserve">, except to the extent, but only to the extent, that such untrue statements, alleged untrue statements, omissions or alleged omissions are based upon information regarding the undersigned furnished in writing to the Company by the undersigned expressly for use therein. The Company shall notify the undersigned promptly of the institution, threat or assertion of any proceeding arising from or in connection with the transactions contemplated by this </w:t>
      </w:r>
      <w:r>
        <w:rPr>
          <w:rFonts w:ascii="Times New Roman" w:cs="Times New Roman" w:eastAsia="Times New Roman" w:hAnsi="Times New Roman"/>
          <w:sz w:val="16"/>
          <w:szCs w:val="16"/>
          <w:u w:val="single" w:color="auto"/>
          <w:color w:val="auto"/>
        </w:rPr>
        <w:t>Section 5</w:t>
      </w:r>
      <w:r>
        <w:rPr>
          <w:rFonts w:ascii="Times New Roman" w:cs="Times New Roman" w:eastAsia="Times New Roman" w:hAnsi="Times New Roman"/>
          <w:sz w:val="16"/>
          <w:szCs w:val="16"/>
          <w:color w:val="auto"/>
        </w:rPr>
        <w:t xml:space="preserve"> of which the Company is aware. Such indemnity shall remain in full force and effect regardless of any investigation made by or on behalf of an indemnified party and shall survive the transfer of the Subscribed Shares by the undersigned. Notwithstanding the forgoing, the Company’s indemnification obligations shall not apply to amounts paid in settlement of any Losses or action if such settlement is effected without the prior written consent of the Company (which consent shall not be unreasonably withheld or delayed), nor shall the Company be liable for any Losses to the extent they arise out of or are based upon a violation which occurs (A) in connection with any failure of such person to deliver or cause to be delivered a prospectus made available by the Company in a timely manner or (B) in connection with any offers or sales effected by or on behalf of the undersigned in violation of this Agreement.</w:t>
      </w:r>
    </w:p>
    <w:p>
      <w:pPr>
        <w:spacing w:after="0" w:line="169" w:lineRule="exact"/>
        <w:rPr>
          <w:sz w:val="20"/>
          <w:szCs w:val="20"/>
          <w:color w:val="auto"/>
        </w:rPr>
      </w:pPr>
    </w:p>
    <w:p>
      <w:pPr>
        <w:jc w:val="both"/>
        <w:ind w:firstLine="765"/>
        <w:spacing w:after="0" w:line="252" w:lineRule="auto"/>
        <w:rPr>
          <w:sz w:val="20"/>
          <w:szCs w:val="20"/>
          <w:color w:val="auto"/>
        </w:rPr>
      </w:pPr>
      <w:r>
        <w:rPr>
          <w:rFonts w:ascii="Times New Roman" w:cs="Times New Roman" w:eastAsia="Times New Roman" w:hAnsi="Times New Roman"/>
          <w:sz w:val="16"/>
          <w:szCs w:val="16"/>
          <w:color w:val="auto"/>
        </w:rPr>
        <w:t>c. The undersigned shall, severally and not jointly with any other subscriber in the offering, indemnify and hold harmless the Company, its directors, officers, agents and employees, each person who controls the Company (within the meaning of Section 15 of the Securities Act and Section 20 of the Exchange Act), and the directors, officers, agents or employees of such controlling persons, to the fullest extent permitted by applicable law, from and against all Losses arising out of or based upon any untrue or alleged untrue statement of a material fact contained in any Registration Statement, any prospectus included in the Registration Statement,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any form of prospectus or supplement thereto, in light of the circumstances under which they were made) not misleading to the extent, but only to the extent, that such untrue statements or omissions are based upon information regarding the undersigned furnished in writing to the Company by the undersigned expressly for use therein. In no event shall the liability of the undersigned be greater in amount than the dollar amount of the net proceeds received by the undersigned upon the sale of the Subscribed Shares giving rise to such indemnification obligation. Notwithstanding the forgoing, the undersigned’s indemnification obligations shall not apply to amounts paid in settlement of any Losses or action if such settlement is effected without the prior written consent of the undersigned (which consent shall not be unreasonably withheld or delayed).</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71" w:name="page172"/>
    <w:bookmarkEnd w:id="171"/>
    <w:p>
      <w:pPr>
        <w:jc w:val="both"/>
        <w:ind w:left="4" w:right="20" w:firstLine="378"/>
        <w:spacing w:after="0" w:line="253" w:lineRule="auto"/>
        <w:tabs>
          <w:tab w:leader="none" w:pos="546" w:val="left"/>
        </w:tabs>
        <w:numPr>
          <w:ilvl w:val="1"/>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w:t>
      </w:r>
      <w:r>
        <w:rPr>
          <w:rFonts w:ascii="Times New Roman" w:cs="Times New Roman" w:eastAsia="Times New Roman" w:hAnsi="Times New Roman"/>
          <w:sz w:val="16"/>
          <w:szCs w:val="16"/>
          <w:color w:val="auto"/>
        </w:rPr>
        <w:t xml:space="preserve">. This Subscription Agreement shall terminate and be void and of no further force and effect, and all rights and obligations of the parties hereunder shall terminate without any further liability on the part of any party in respect thereof, upon the earlier to occur of (a) such date and time as the Transaction Agreement is terminated in accordance with its terms; (b) upon the mutual written agreement of the Company and Subscriber to terminate this Subscription Agreement; (c) if, on the Closing Date of the Transaction, any of the conditions to Closing set forth in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xml:space="preserve"> of this Subscription Agreement have not been satisfied as of the time required hereunder to be so satisfied or waived (to the extent a valid waiver is capable of being issued) by the party entitled to grant such waiver and, as a result thereof, the transactions contemplated by this Subscription Agreement are not consummated; or (d) the “Termination Date” as defined in the Transaction Agreement (as such Termination Date may be amended or extended from time to time) (the “</w:t>
      </w:r>
      <w:r>
        <w:rPr>
          <w:rFonts w:ascii="Times New Roman" w:cs="Times New Roman" w:eastAsia="Times New Roman" w:hAnsi="Times New Roman"/>
          <w:sz w:val="16"/>
          <w:szCs w:val="16"/>
          <w:u w:val="single" w:color="auto"/>
          <w:color w:val="auto"/>
        </w:rPr>
        <w:t>Termination Date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nothing herein will relieve any party from liability for any willful breach hereof prior to the time of termination, and each party will be entitled to any remedies at law or in equity to recover losses, liabilities or damages arising from such breach. The Company shall notify Subscriber of the termination of the Transaction Agreement promptly after the termination thereof.</w:t>
      </w:r>
    </w:p>
    <w:p>
      <w:pPr>
        <w:spacing w:after="0" w:line="166" w:lineRule="exact"/>
        <w:rPr>
          <w:rFonts w:ascii="Times New Roman" w:cs="Times New Roman" w:eastAsia="Times New Roman" w:hAnsi="Times New Roman"/>
          <w:sz w:val="16"/>
          <w:szCs w:val="16"/>
          <w:color w:val="auto"/>
        </w:rPr>
      </w:pPr>
    </w:p>
    <w:p>
      <w:pPr>
        <w:jc w:val="both"/>
        <w:ind w:left="4" w:firstLine="378"/>
        <w:spacing w:after="0" w:line="268" w:lineRule="auto"/>
        <w:tabs>
          <w:tab w:leader="none" w:pos="546" w:val="left"/>
        </w:tabs>
        <w:numPr>
          <w:ilvl w:val="1"/>
          <w:numId w:val="1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Trust Account Waiver</w:t>
      </w:r>
      <w:r>
        <w:rPr>
          <w:rFonts w:ascii="Times New Roman" w:cs="Times New Roman" w:eastAsia="Times New Roman" w:hAnsi="Times New Roman"/>
          <w:sz w:val="15"/>
          <w:szCs w:val="15"/>
          <w:color w:val="auto"/>
        </w:rPr>
        <w:t>. Subscriber hereby acknowledges that the Company has established a trust account (the “</w:t>
      </w:r>
      <w:r>
        <w:rPr>
          <w:rFonts w:ascii="Times New Roman" w:cs="Times New Roman" w:eastAsia="Times New Roman" w:hAnsi="Times New Roman"/>
          <w:sz w:val="15"/>
          <w:szCs w:val="15"/>
          <w:u w:val="single" w:color="auto"/>
          <w:color w:val="auto"/>
        </w:rPr>
        <w:t>Trust Account</w:t>
      </w:r>
      <w:r>
        <w:rPr>
          <w:rFonts w:ascii="Times New Roman" w:cs="Times New Roman" w:eastAsia="Times New Roman" w:hAnsi="Times New Roman"/>
          <w:sz w:val="15"/>
          <w:szCs w:val="15"/>
          <w:color w:val="auto"/>
        </w:rPr>
        <w:t>”) containing the proceeds of its initial public offering (the “</w:t>
      </w:r>
      <w:r>
        <w:rPr>
          <w:rFonts w:ascii="Times New Roman" w:cs="Times New Roman" w:eastAsia="Times New Roman" w:hAnsi="Times New Roman"/>
          <w:sz w:val="15"/>
          <w:szCs w:val="15"/>
          <w:u w:val="single" w:color="auto"/>
          <w:color w:val="auto"/>
        </w:rPr>
        <w:t>IPO</w:t>
      </w:r>
      <w:r>
        <w:rPr>
          <w:rFonts w:ascii="Times New Roman" w:cs="Times New Roman" w:eastAsia="Times New Roman" w:hAnsi="Times New Roman"/>
          <w:sz w:val="15"/>
          <w:szCs w:val="15"/>
          <w:color w:val="auto"/>
        </w:rPr>
        <w:t>”) and from certain private placements occurring simultaneously with the IPO (including interest accrued from time to time thereon) for the benefit of the Company’s public stockholders and certain other parties (including the underwriters of the IPO). For and in consideration of the Company entering into this Subscription Agreement, and for other good and valuable consideration, the receipt and sufficiency of which are hereby acknowledged, Subscriber hereby (i) agrees that it does not now and shall not at any time hereafter have any right, title, interest or claim of any kind in or to any assets held in the Trust Account, and shall not make any claim against the Trust Account, regardless of whether such claim arises as a result of, in connection with or relating in any way to this Subscription Agreement or any other matter, and regardless of whether such claim arises based on contract, tort, equity or any other theory of legal liability (any and all such claims are collectively referred to hereafter as the “</w:t>
      </w:r>
      <w:r>
        <w:rPr>
          <w:rFonts w:ascii="Times New Roman" w:cs="Times New Roman" w:eastAsia="Times New Roman" w:hAnsi="Times New Roman"/>
          <w:sz w:val="15"/>
          <w:szCs w:val="15"/>
          <w:u w:val="single" w:color="auto"/>
          <w:color w:val="auto"/>
        </w:rPr>
        <w:t>Released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Claims</w:t>
      </w:r>
      <w:r>
        <w:rPr>
          <w:rFonts w:ascii="Times New Roman" w:cs="Times New Roman" w:eastAsia="Times New Roman" w:hAnsi="Times New Roman"/>
          <w:sz w:val="15"/>
          <w:szCs w:val="15"/>
          <w:color w:val="auto"/>
        </w:rPr>
        <w:t xml:space="preserve">”); (ii) irrevocably waives any Released Claims that it may have against the Trust Account now or in the future as a result of, or arising out of, any negotiations, contracts or agreements with the Company; and (iii) will not seek recourse against the Trust Account for any reason whatsoever; </w:t>
      </w:r>
      <w:r>
        <w:rPr>
          <w:rFonts w:ascii="Times New Roman" w:cs="Times New Roman" w:eastAsia="Times New Roman" w:hAnsi="Times New Roman"/>
          <w:sz w:val="15"/>
          <w:szCs w:val="15"/>
          <w:u w:val="single" w:color="auto"/>
          <w:color w:val="auto"/>
        </w:rPr>
        <w:t>provided however</w:t>
      </w:r>
      <w:r>
        <w:rPr>
          <w:rFonts w:ascii="Times New Roman" w:cs="Times New Roman" w:eastAsia="Times New Roman" w:hAnsi="Times New Roman"/>
          <w:sz w:val="15"/>
          <w:szCs w:val="15"/>
          <w:color w:val="auto"/>
        </w:rPr>
        <w:t xml:space="preserve">, that nothing in this </w:t>
      </w:r>
      <w:r>
        <w:rPr>
          <w:rFonts w:ascii="Times New Roman" w:cs="Times New Roman" w:eastAsia="Times New Roman" w:hAnsi="Times New Roman"/>
          <w:sz w:val="15"/>
          <w:szCs w:val="15"/>
          <w:u w:val="single" w:color="auto"/>
          <w:color w:val="auto"/>
        </w:rPr>
        <w:t>Section 8</w:t>
      </w:r>
      <w:r>
        <w:rPr>
          <w:rFonts w:ascii="Times New Roman" w:cs="Times New Roman" w:eastAsia="Times New Roman" w:hAnsi="Times New Roman"/>
          <w:sz w:val="15"/>
          <w:szCs w:val="15"/>
          <w:color w:val="auto"/>
        </w:rPr>
        <w:t xml:space="preserve"> shall be deemed to limit (x) any Subscriber’s right to distributions from the Trust Account in accordance with the Company’s amended and restated certificate of incorporation in respect of any redemptions by Subscriber of its shares of public Common Stock of the Company acquired by any means other than pursuant to this Subscription Agreement or</w:t>
      </w:r>
    </w:p>
    <w:p>
      <w:pPr>
        <w:spacing w:after="0" w:line="1" w:lineRule="exact"/>
        <w:rPr>
          <w:rFonts w:ascii="Times New Roman" w:cs="Times New Roman" w:eastAsia="Times New Roman" w:hAnsi="Times New Roman"/>
          <w:sz w:val="15"/>
          <w:szCs w:val="15"/>
          <w:color w:val="auto"/>
        </w:rPr>
      </w:pPr>
    </w:p>
    <w:p>
      <w:pPr>
        <w:jc w:val="both"/>
        <w:ind w:left="4" w:hanging="4"/>
        <w:spacing w:after="0" w:line="254" w:lineRule="auto"/>
        <w:tabs>
          <w:tab w:leader="none" w:pos="233" w:val="left"/>
        </w:tabs>
        <w:numPr>
          <w:ilvl w:val="0"/>
          <w:numId w:val="1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Subscriber’s recourse against assets held outside of the Trust Account or held by the post-Closing combined entity. Subscriber acknowledges and agrees that it shall not have any redemption rights with respect to the Subscribed Shares pursuant to the Company’s organizational documents in connection with the Transaction or any other business combination, any subsequent liquidation of the Trust Account, the Company or otherwise.</w:t>
      </w:r>
    </w:p>
    <w:p>
      <w:pPr>
        <w:spacing w:after="0" w:line="163" w:lineRule="exact"/>
        <w:rPr>
          <w:rFonts w:ascii="Times New Roman" w:cs="Times New Roman" w:eastAsia="Times New Roman" w:hAnsi="Times New Roman"/>
          <w:sz w:val="16"/>
          <w:szCs w:val="16"/>
          <w:color w:val="auto"/>
        </w:rPr>
      </w:pPr>
    </w:p>
    <w:p>
      <w:pPr>
        <w:ind w:left="544" w:hanging="162"/>
        <w:spacing w:after="0"/>
        <w:tabs>
          <w:tab w:leader="none" w:pos="544" w:val="left"/>
        </w:tabs>
        <w:numPr>
          <w:ilvl w:val="1"/>
          <w:numId w:val="1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Miscellaneous</w:t>
      </w:r>
      <w:r>
        <w:rPr>
          <w:rFonts w:ascii="Times New Roman" w:cs="Times New Roman" w:eastAsia="Times New Roman" w:hAnsi="Times New Roman"/>
          <w:sz w:val="16"/>
          <w:szCs w:val="16"/>
          <w:color w:val="auto"/>
        </w:rPr>
        <w:t>.</w:t>
      </w:r>
    </w:p>
    <w:p>
      <w:pPr>
        <w:spacing w:after="0" w:line="198" w:lineRule="exact"/>
        <w:rPr>
          <w:rFonts w:ascii="Times New Roman" w:cs="Times New Roman" w:eastAsia="Times New Roman" w:hAnsi="Times New Roman"/>
          <w:sz w:val="16"/>
          <w:szCs w:val="16"/>
          <w:color w:val="auto"/>
        </w:rPr>
      </w:pPr>
    </w:p>
    <w:p>
      <w:pPr>
        <w:jc w:val="both"/>
        <w:ind w:left="4" w:firstLine="765"/>
        <w:spacing w:after="0" w:line="25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All notices, requests, demands, claims, and other communications hereunder shall be in writing. Any notice, request, demand, claim, or other communication hereunder shall be deemed duly given (i) when delivered personally to the recipient; (ii) when sent by electronic mail, on the date of transmission to such recipient;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such notice, request, demand, claim or other communication is also sent to the recipient pursuant to clauses (i), (iii) or (iv) of this </w:t>
      </w:r>
      <w:r>
        <w:rPr>
          <w:rFonts w:ascii="Times New Roman" w:cs="Times New Roman" w:eastAsia="Times New Roman" w:hAnsi="Times New Roman"/>
          <w:sz w:val="16"/>
          <w:szCs w:val="16"/>
          <w:u w:val="single" w:color="auto"/>
          <w:color w:val="auto"/>
        </w:rPr>
        <w:t>Section 9(a)</w:t>
      </w:r>
      <w:r>
        <w:rPr>
          <w:rFonts w:ascii="Times New Roman" w:cs="Times New Roman" w:eastAsia="Times New Roman" w:hAnsi="Times New Roman"/>
          <w:sz w:val="16"/>
          <w:szCs w:val="16"/>
          <w:color w:val="auto"/>
        </w:rPr>
        <w:t xml:space="preserve">; (iii) one Business Day after being sent to the recipient by reputable overnight courier service (charges prepaid), or (iv) four (4) Business Days after being mailed to the recipient by certified or registered mail, return receipt requested and postage prepaid, and, in each case, addressed to the intended recipient at its address specified on the signature page hereof or to such electronic mail address or address as subsequently modified by written notice given in accordance with this </w:t>
      </w:r>
      <w:r>
        <w:rPr>
          <w:rFonts w:ascii="Times New Roman" w:cs="Times New Roman" w:eastAsia="Times New Roman" w:hAnsi="Times New Roman"/>
          <w:sz w:val="16"/>
          <w:szCs w:val="16"/>
          <w:u w:val="single" w:color="auto"/>
          <w:color w:val="auto"/>
        </w:rPr>
        <w:t>Section 9(a)</w:t>
      </w:r>
      <w:r>
        <w:rPr>
          <w:rFonts w:ascii="Times New Roman" w:cs="Times New Roman" w:eastAsia="Times New Roman" w:hAnsi="Times New Roman"/>
          <w:sz w:val="16"/>
          <w:szCs w:val="16"/>
          <w:color w:val="auto"/>
        </w:rPr>
        <w:t>.</w:t>
      </w:r>
    </w:p>
    <w:p>
      <w:pPr>
        <w:spacing w:after="0" w:line="35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172" w:name="page173"/>
    <w:bookmarkEnd w:id="172"/>
    <w:p>
      <w:pPr>
        <w:jc w:val="both"/>
        <w:ind w:right="20" w:firstLine="765"/>
        <w:spacing w:after="0" w:line="255" w:lineRule="auto"/>
        <w:rPr>
          <w:sz w:val="20"/>
          <w:szCs w:val="20"/>
          <w:color w:val="auto"/>
        </w:rPr>
      </w:pPr>
      <w:r>
        <w:rPr>
          <w:rFonts w:ascii="Times New Roman" w:cs="Times New Roman" w:eastAsia="Times New Roman" w:hAnsi="Times New Roman"/>
          <w:sz w:val="16"/>
          <w:szCs w:val="16"/>
          <w:color w:val="auto"/>
        </w:rPr>
        <w:t>b. Subscriber acknowledges that the Company and others will rely on the acknowledgments, understandings, agreements, representations and warranties contained in this Subscription Agreement. Prior to the Closing, Subscriber agrees to promptly notify the Company if it becomes aware that any of the acknowledgments, understandings, agreements, representations and warranties of Subscriber set forth herein are no longer accurate in all material respects. The Company acknowledges that Subscriber and others will rely on the acknowledgments, understandings, agreements, representations and warranties contained in this Subscription Agreement. Prior to the Closing, the Company agrees to promptly notify Subscriber if it becomes aware that any of the acknowledgments, understandings, agreements, representations and warranties of the Company set forth herein are no longer accurate in all material respects.</w:t>
      </w:r>
    </w:p>
    <w:p>
      <w:pPr>
        <w:spacing w:after="0" w:line="165" w:lineRule="exact"/>
        <w:rPr>
          <w:sz w:val="20"/>
          <w:szCs w:val="20"/>
          <w:color w:val="auto"/>
        </w:rPr>
      </w:pPr>
    </w:p>
    <w:p>
      <w:pPr>
        <w:jc w:val="both"/>
        <w:ind w:right="20" w:firstLine="765"/>
        <w:spacing w:after="0" w:line="280" w:lineRule="auto"/>
        <w:rPr>
          <w:sz w:val="20"/>
          <w:szCs w:val="20"/>
          <w:color w:val="auto"/>
        </w:rPr>
      </w:pPr>
      <w:r>
        <w:rPr>
          <w:rFonts w:ascii="Times New Roman" w:cs="Times New Roman" w:eastAsia="Times New Roman" w:hAnsi="Times New Roman"/>
          <w:sz w:val="16"/>
          <w:szCs w:val="16"/>
          <w:color w:val="auto"/>
        </w:rPr>
        <w:t>c. Each of the Company and Subscriber is irrevocably authorized to produce this Subscription Agreement or a copy hereof to any interested party in any administrative or legal proceeding or official inquiry with respect to the matters covered hereby.</w:t>
      </w:r>
    </w:p>
    <w:p>
      <w:pPr>
        <w:spacing w:after="0" w:line="14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d. Subscriber shall pay all of its own expenses in connection with this Subscription Agreement and the transactions contemplated herein.</w:t>
      </w:r>
    </w:p>
    <w:p>
      <w:pPr>
        <w:spacing w:after="0" w:line="198" w:lineRule="exact"/>
        <w:rPr>
          <w:sz w:val="20"/>
          <w:szCs w:val="20"/>
          <w:color w:val="auto"/>
        </w:rPr>
      </w:pPr>
    </w:p>
    <w:p>
      <w:pPr>
        <w:jc w:val="both"/>
        <w:ind w:firstLine="765"/>
        <w:spacing w:after="0" w:line="254" w:lineRule="auto"/>
        <w:rPr>
          <w:sz w:val="20"/>
          <w:szCs w:val="20"/>
          <w:color w:val="auto"/>
        </w:rPr>
      </w:pPr>
      <w:r>
        <w:rPr>
          <w:rFonts w:ascii="Times New Roman" w:cs="Times New Roman" w:eastAsia="Times New Roman" w:hAnsi="Times New Roman"/>
          <w:sz w:val="16"/>
          <w:szCs w:val="16"/>
          <w:color w:val="auto"/>
        </w:rPr>
        <w:t>e. Neither this Subscription Agreement nor any rights that may accrue to Subscriber hereunder (other than the Subscribed Shares acquired hereunder, if any) may be transferred or assigned. Neither this Subscription Agreement nor any rights that may accrue to the Company hereunder may be transferred or assigned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for the avoidance of doubt, the Company may transfer the Subscription Agreement and its rights hereunder solely in connection with the consummation of the Transaction and exclusively to another entity under the control of, or under common control with, the Company). Notwithstanding the foregoing, Subscriber may assign its rights and obligations under this Subscription Agreement to one or more of its affiliates (including other investment funds or accounts managed or advised by the investment manager who acts on behalf of Subscriber) or, with the Company’s prior written consent, to another person,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no such assignment shall relieve Subscriber of its obligations hereunder if any such assignee fails to perform such obligations, unless the Company has given its prior written consent to such relief.</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f. All the agreements, representations and warranties made by each party hereto in this Subscription Agreement shall survive the Closing.</w:t>
      </w:r>
    </w:p>
    <w:p>
      <w:pPr>
        <w:spacing w:after="0" w:line="198" w:lineRule="exact"/>
        <w:rPr>
          <w:sz w:val="20"/>
          <w:szCs w:val="20"/>
          <w:color w:val="auto"/>
        </w:rPr>
      </w:pPr>
    </w:p>
    <w:p>
      <w:pPr>
        <w:jc w:val="both"/>
        <w:ind w:right="20" w:firstLine="765"/>
        <w:spacing w:after="0" w:line="265" w:lineRule="auto"/>
        <w:rPr>
          <w:sz w:val="20"/>
          <w:szCs w:val="20"/>
          <w:color w:val="auto"/>
        </w:rPr>
      </w:pPr>
      <w:r>
        <w:rPr>
          <w:rFonts w:ascii="Times New Roman" w:cs="Times New Roman" w:eastAsia="Times New Roman" w:hAnsi="Times New Roman"/>
          <w:sz w:val="16"/>
          <w:szCs w:val="16"/>
          <w:color w:val="auto"/>
        </w:rPr>
        <w:t>g. The Company may request from Subscriber such additional information as the Company may deem necessary to evaluate the eligibility of Subscriber to acquire the Subscribed Shares, and Subscriber shall provide such information as may be reasonably requested, to the extent readily available and to the extent consistent with its internal policies and procedures.</w:t>
      </w:r>
    </w:p>
    <w:p>
      <w:pPr>
        <w:spacing w:after="0" w:line="155" w:lineRule="exact"/>
        <w:rPr>
          <w:sz w:val="20"/>
          <w:szCs w:val="20"/>
          <w:color w:val="auto"/>
        </w:rPr>
      </w:pPr>
    </w:p>
    <w:p>
      <w:pPr>
        <w:jc w:val="both"/>
        <w:ind w:firstLine="765"/>
        <w:spacing w:after="0" w:line="252" w:lineRule="auto"/>
        <w:rPr>
          <w:sz w:val="20"/>
          <w:szCs w:val="20"/>
          <w:color w:val="auto"/>
        </w:rPr>
      </w:pPr>
      <w:r>
        <w:rPr>
          <w:rFonts w:ascii="Times New Roman" w:cs="Times New Roman" w:eastAsia="Times New Roman" w:hAnsi="Times New Roman"/>
          <w:sz w:val="16"/>
          <w:szCs w:val="16"/>
          <w:color w:val="auto"/>
        </w:rPr>
        <w:t xml:space="preserve">h. This Subscription Agreement may not be amended, modified, waived or terminated except by an instrument in writing, signed by the party against whom enforcement of such modification, waiver, or termination is sought;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this Subscription Agreement may be amended, modified, waived or terminated with the written consent of the Company and Subscribers then holding a majority of the Aggregate Subscribed Securities then committed to be purchased at the Closing by (or, if after the Closing, then held by) all Subscribers (the “</w:t>
      </w:r>
      <w:r>
        <w:rPr>
          <w:rFonts w:ascii="Times New Roman" w:cs="Times New Roman" w:eastAsia="Times New Roman" w:hAnsi="Times New Roman"/>
          <w:sz w:val="16"/>
          <w:szCs w:val="16"/>
          <w:u w:val="single" w:color="auto"/>
          <w:color w:val="auto"/>
        </w:rPr>
        <w:t>Required Subscribers</w:t>
      </w:r>
      <w:r>
        <w:rPr>
          <w:rFonts w:ascii="Times New Roman" w:cs="Times New Roman" w:eastAsia="Times New Roman" w:hAnsi="Times New Roman"/>
          <w:sz w:val="16"/>
          <w:szCs w:val="16"/>
          <w:color w:val="auto"/>
        </w:rPr>
        <w:t xml:space="preserve">”). Upon the effectuation of such waiver, modification, amendment or termination with the consent of the Required Subscribers in conformance with this </w:t>
      </w:r>
      <w:r>
        <w:rPr>
          <w:rFonts w:ascii="Times New Roman" w:cs="Times New Roman" w:eastAsia="Times New Roman" w:hAnsi="Times New Roman"/>
          <w:sz w:val="16"/>
          <w:szCs w:val="16"/>
          <w:u w:val="single" w:color="auto"/>
          <w:color w:val="auto"/>
        </w:rPr>
        <w:t>Section 9(h)</w:t>
      </w:r>
      <w:r>
        <w:rPr>
          <w:rFonts w:ascii="Times New Roman" w:cs="Times New Roman" w:eastAsia="Times New Roman" w:hAnsi="Times New Roman"/>
          <w:sz w:val="16"/>
          <w:szCs w:val="16"/>
          <w:color w:val="auto"/>
        </w:rPr>
        <w:t xml:space="preserve">, such amendment, modification, waiver or termination shall be binding on all Subscribers and effective as to all of the Subscription Agreements. The Company shall promptly give written notice thereof to Subscriber if Subscriber has not previously consented to such amendment, modification, waiver or termination in writing;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failure to give such notice shall not affect the validity of such amendment, modification, waiver or termination. Notwithstanding anything to the contrary herein, (i) no amendment, modification or waiver shall be effective against any Subscriber unless such amendment, modification or waiver applies to all Subscribers equally; (ii) any amendment, modification or waiver that has a disproportionate effect on a Subscriber (considered apart from any disproportionate effect owing to the number of Subscribed Shares held by such Subscriber), shall require the consent of such Subscriber; (iii) any amendment to </w:t>
      </w:r>
      <w:r>
        <w:rPr>
          <w:rFonts w:ascii="Times New Roman" w:cs="Times New Roman" w:eastAsia="Times New Roman" w:hAnsi="Times New Roman"/>
          <w:sz w:val="16"/>
          <w:szCs w:val="16"/>
          <w:u w:val="single" w:color="auto"/>
          <w:color w:val="auto"/>
        </w:rPr>
        <w:t>Section 3(j)</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6</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7</w:t>
      </w:r>
      <w:r>
        <w:rPr>
          <w:rFonts w:ascii="Times New Roman" w:cs="Times New Roman" w:eastAsia="Times New Roman" w:hAnsi="Times New Roman"/>
          <w:sz w:val="16"/>
          <w:szCs w:val="16"/>
          <w:color w:val="auto"/>
        </w:rPr>
        <w:t xml:space="preserve"> (to amend the definition of Termination Date) or this </w:t>
      </w:r>
      <w:r>
        <w:rPr>
          <w:rFonts w:ascii="Times New Roman" w:cs="Times New Roman" w:eastAsia="Times New Roman" w:hAnsi="Times New Roman"/>
          <w:sz w:val="16"/>
          <w:szCs w:val="16"/>
          <w:u w:val="single" w:color="auto"/>
          <w:color w:val="auto"/>
        </w:rPr>
        <w:t>Section 9(h)</w:t>
      </w:r>
      <w:r>
        <w:rPr>
          <w:rFonts w:ascii="Times New Roman" w:cs="Times New Roman" w:eastAsia="Times New Roman" w:hAnsi="Times New Roman"/>
          <w:sz w:val="16"/>
          <w:szCs w:val="16"/>
          <w:color w:val="auto"/>
        </w:rPr>
        <w:t xml:space="preserve"> of this Subscription Agreement; and (iv) any amendment, modification or other change that alters the Per Share Price, the Purchase Price, or the number of Subscribed Shares shall require the consent of the undersigned Subscriber.</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73" w:name="page174"/>
    <w:bookmarkEnd w:id="173"/>
    <w:p>
      <w:pPr>
        <w:jc w:val="both"/>
        <w:ind w:firstLine="765"/>
        <w:spacing w:after="0" w:line="280" w:lineRule="auto"/>
        <w:rPr>
          <w:sz w:val="20"/>
          <w:szCs w:val="20"/>
          <w:color w:val="auto"/>
        </w:rPr>
      </w:pPr>
      <w:r>
        <w:rPr>
          <w:rFonts w:ascii="Times New Roman" w:cs="Times New Roman" w:eastAsia="Times New Roman" w:hAnsi="Times New Roman"/>
          <w:sz w:val="16"/>
          <w:szCs w:val="16"/>
          <w:color w:val="auto"/>
        </w:rPr>
        <w:t>i. This Subscription Agreement constitutes the entire agreement, and supersedes all other prior agreements, understandings, representations and warranties, both written and oral, among the parties, with respect to the subject matter hereof.</w:t>
      </w:r>
    </w:p>
    <w:p>
      <w:pPr>
        <w:spacing w:after="0" w:line="144" w:lineRule="exact"/>
        <w:rPr>
          <w:sz w:val="20"/>
          <w:szCs w:val="20"/>
          <w:color w:val="auto"/>
        </w:rPr>
      </w:pPr>
    </w:p>
    <w:p>
      <w:pPr>
        <w:jc w:val="both"/>
        <w:ind w:right="20" w:firstLine="765"/>
        <w:spacing w:after="0" w:line="265" w:lineRule="auto"/>
        <w:rPr>
          <w:sz w:val="20"/>
          <w:szCs w:val="20"/>
          <w:color w:val="auto"/>
        </w:rPr>
      </w:pPr>
      <w:r>
        <w:rPr>
          <w:rFonts w:ascii="Times New Roman" w:cs="Times New Roman" w:eastAsia="Times New Roman" w:hAnsi="Times New Roman"/>
          <w:sz w:val="16"/>
          <w:szCs w:val="16"/>
          <w:color w:val="auto"/>
        </w:rPr>
        <w:t>j. Except as otherwise provided herein,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155" w:lineRule="exact"/>
        <w:rPr>
          <w:sz w:val="20"/>
          <w:szCs w:val="20"/>
          <w:color w:val="auto"/>
        </w:rPr>
      </w:pPr>
    </w:p>
    <w:p>
      <w:pPr>
        <w:jc w:val="both"/>
        <w:ind w:firstLine="765"/>
        <w:spacing w:after="0" w:line="280" w:lineRule="auto"/>
        <w:rPr>
          <w:sz w:val="20"/>
          <w:szCs w:val="20"/>
          <w:color w:val="auto"/>
        </w:rPr>
      </w:pPr>
      <w:r>
        <w:rPr>
          <w:rFonts w:ascii="Times New Roman" w:cs="Times New Roman" w:eastAsia="Times New Roman" w:hAnsi="Times New Roman"/>
          <w:sz w:val="16"/>
          <w:szCs w:val="16"/>
          <w:color w:val="auto"/>
        </w:rPr>
        <w:t>k. If any provision of this Subscription Agreement shall be invalid, illegal or unenforceable, the validity, legality or enforceability of the remaining provisions of this Subscription Agreement shall not in any way be affected or impaired thereby and shall continue in full force and effect.</w:t>
      </w:r>
    </w:p>
    <w:p>
      <w:pPr>
        <w:spacing w:after="0" w:line="144" w:lineRule="exact"/>
        <w:rPr>
          <w:sz w:val="20"/>
          <w:szCs w:val="20"/>
          <w:color w:val="auto"/>
        </w:rPr>
      </w:pPr>
    </w:p>
    <w:p>
      <w:pPr>
        <w:jc w:val="both"/>
        <w:ind w:firstLine="765"/>
        <w:spacing w:after="0" w:line="265" w:lineRule="auto"/>
        <w:rPr>
          <w:sz w:val="20"/>
          <w:szCs w:val="20"/>
          <w:color w:val="auto"/>
        </w:rPr>
      </w:pPr>
      <w:r>
        <w:rPr>
          <w:rFonts w:ascii="Times New Roman" w:cs="Times New Roman" w:eastAsia="Times New Roman" w:hAnsi="Times New Roman"/>
          <w:sz w:val="16"/>
          <w:szCs w:val="16"/>
          <w:color w:val="auto"/>
        </w:rPr>
        <w:t>l. This Subscription Agreement may be executed and delivered in one or more counterparts (including by facsimile or electronic mail or in .pdf) and by different parties in separate counterparts, with the same effect as if all parties hereto had signed the same document. All counterparts so executed and delivered shall be construed together and shall constitute one and the same agreement.</w:t>
      </w:r>
    </w:p>
    <w:p>
      <w:pPr>
        <w:spacing w:after="0" w:line="155" w:lineRule="exact"/>
        <w:rPr>
          <w:sz w:val="20"/>
          <w:szCs w:val="20"/>
          <w:color w:val="auto"/>
        </w:rPr>
      </w:pPr>
    </w:p>
    <w:p>
      <w:pPr>
        <w:jc w:val="both"/>
        <w:ind w:firstLine="765"/>
        <w:spacing w:after="0" w:line="280" w:lineRule="auto"/>
        <w:rPr>
          <w:sz w:val="20"/>
          <w:szCs w:val="20"/>
          <w:color w:val="auto"/>
        </w:rPr>
      </w:pPr>
      <w:r>
        <w:rPr>
          <w:rFonts w:ascii="Times New Roman" w:cs="Times New Roman" w:eastAsia="Times New Roman" w:hAnsi="Times New Roman"/>
          <w:sz w:val="16"/>
          <w:szCs w:val="16"/>
          <w:color w:val="auto"/>
        </w:rPr>
        <w:t>m. This Subscription Agreement is intended for the benefit of the parties hereto and their respective successors and permitted assigns and is not for the benefit of, nor may any provision hereof be enforced by, any other person.</w:t>
      </w:r>
    </w:p>
    <w:p>
      <w:pPr>
        <w:spacing w:after="0" w:line="144" w:lineRule="exact"/>
        <w:rPr>
          <w:sz w:val="20"/>
          <w:szCs w:val="20"/>
          <w:color w:val="auto"/>
        </w:rPr>
      </w:pPr>
    </w:p>
    <w:p>
      <w:pPr>
        <w:jc w:val="both"/>
        <w:ind w:right="20" w:firstLine="765"/>
        <w:spacing w:after="0" w:line="259" w:lineRule="auto"/>
        <w:rPr>
          <w:sz w:val="20"/>
          <w:szCs w:val="20"/>
          <w:color w:val="auto"/>
        </w:rPr>
      </w:pPr>
      <w:r>
        <w:rPr>
          <w:rFonts w:ascii="Times New Roman" w:cs="Times New Roman" w:eastAsia="Times New Roman" w:hAnsi="Times New Roman"/>
          <w:sz w:val="16"/>
          <w:szCs w:val="16"/>
          <w:color w:val="auto"/>
        </w:rPr>
        <w:t>n. The parties hereto agree that irreparable damage would occur in the event that any of the provisions of this Subscription Agreement were not performed in accordance with their specific terms or were otherwise breached. It is accordingly agreed that the parties shall be entitled to seek an injunction or injunctions to prevent breaches of this Subscription Agreement and to enforce specifically the terms and provisions of this Subscription Agreement, this being in addition to any other remedy to which such party is entitled at law, in equity, in contract, in tort or otherwise.</w:t>
      </w:r>
    </w:p>
    <w:p>
      <w:pPr>
        <w:spacing w:after="0" w:line="162" w:lineRule="exact"/>
        <w:rPr>
          <w:sz w:val="20"/>
          <w:szCs w:val="20"/>
          <w:color w:val="auto"/>
        </w:rPr>
      </w:pPr>
    </w:p>
    <w:p>
      <w:pPr>
        <w:jc w:val="both"/>
        <w:ind w:right="20" w:firstLine="765"/>
        <w:spacing w:after="0" w:line="280" w:lineRule="auto"/>
        <w:rPr>
          <w:sz w:val="20"/>
          <w:szCs w:val="20"/>
          <w:color w:val="auto"/>
        </w:rPr>
      </w:pPr>
      <w:r>
        <w:rPr>
          <w:rFonts w:ascii="Times New Roman" w:cs="Times New Roman" w:eastAsia="Times New Roman" w:hAnsi="Times New Roman"/>
          <w:sz w:val="16"/>
          <w:szCs w:val="16"/>
          <w:color w:val="auto"/>
        </w:rPr>
        <w:t>o. This Subscription Agreement shall be governed by, and construed in accordance with, the laws of the State of Delaware, without regard to the principles of conflicts of laws that would otherwise require the application of the law of any other state.</w:t>
      </w:r>
    </w:p>
    <w:p>
      <w:pPr>
        <w:spacing w:after="0" w:line="142" w:lineRule="exact"/>
        <w:rPr>
          <w:sz w:val="20"/>
          <w:szCs w:val="20"/>
          <w:color w:val="auto"/>
        </w:rPr>
      </w:pPr>
    </w:p>
    <w:p>
      <w:pPr>
        <w:jc w:val="both"/>
        <w:ind w:firstLine="765"/>
        <w:spacing w:after="0" w:line="253" w:lineRule="auto"/>
        <w:rPr>
          <w:sz w:val="20"/>
          <w:szCs w:val="20"/>
          <w:color w:val="auto"/>
        </w:rPr>
      </w:pPr>
      <w:r>
        <w:rPr>
          <w:rFonts w:ascii="Times New Roman" w:cs="Times New Roman" w:eastAsia="Times New Roman" w:hAnsi="Times New Roman"/>
          <w:sz w:val="16"/>
          <w:szCs w:val="16"/>
          <w:color w:val="auto"/>
        </w:rPr>
        <w:t xml:space="preserve">p. </w:t>
      </w:r>
      <w:r>
        <w:rPr>
          <w:rFonts w:ascii="Times New Roman" w:cs="Times New Roman" w:eastAsia="Times New Roman" w:hAnsi="Times New Roman"/>
          <w:sz w:val="16"/>
          <w:szCs w:val="16"/>
          <w:b w:val="1"/>
          <w:bCs w:val="1"/>
          <w:color w:val="auto"/>
        </w:rPr>
        <w:t>EACH PARTY HEREBY WAIVES ITS RESPECTIVE RIGHTS TO A TRIAL BY JURY OF ANY CLAIM OR CAUSE OF ACTION BASED UPON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OR ARISING OUT OR RELATED TO THIS SUBSCRIPTION AGREEMENT OR THE TRANSACTIONS CONTEMPLATED HEREBY IN ANY ACTION, PROCEEDING OR OTHER LITIGATION OF ANY TYPE BROUGHT BY ANY PARTY AGAINST ANY OTHER PARTY OR ANY AFFILIATE OF ANY OTHER SUCH PARTY, WHETHER WITH RESPECT TO CONTRACT CLAIMS, TORT CLAIMS OR OTHERWISE. THE PARTIES AGREE THAT ANY SUCH CLAIM OR CAUSE OF ACTION SHALL BE TRIED BY A COURT TRIAL WITHOUT A JURY. WITHOUT LIMITING THE FOREGOING, THE PARTIES FURTHER AGREE THAT THEIR RESPECTIVE RIGHT TO A TRIAL BY JURY IS WAIVED BY OPERATION OF THIS SECTION AS TO ANY ACTION, COUNTERCLAIM OR OTHER PROCEEDING WHICH SEEKS, IN WHOLE OR IN PART, TO CHALLENGE THE VALIDITY OR ENFORCEABILITY OF THIS SUBSCRIPTION AGREEMENT OR ANY PROVISION HEREOF. THIS WAIVER SHALL APPLY TO ANY SUBSEQUENT AMENDMENTS, RENEWALS, SUPPLEMENTS OR MODIFICATIONS TO THIS SUBSCRIPTION AGREEMENT.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198" w:right="319" w:bottom="1440" w:gutter="0" w:footer="0" w:header="0"/>
        </w:sectPr>
      </w:pPr>
    </w:p>
    <w:bookmarkStart w:id="174" w:name="page175"/>
    <w:bookmarkEnd w:id="174"/>
    <w:p>
      <w:pPr>
        <w:jc w:val="both"/>
        <w:ind w:firstLine="765"/>
        <w:spacing w:after="0" w:line="252" w:lineRule="auto"/>
        <w:rPr>
          <w:sz w:val="20"/>
          <w:szCs w:val="20"/>
          <w:color w:val="auto"/>
        </w:rPr>
      </w:pPr>
      <w:r>
        <w:rPr>
          <w:rFonts w:ascii="Times New Roman" w:cs="Times New Roman" w:eastAsia="Times New Roman" w:hAnsi="Times New Roman"/>
          <w:sz w:val="16"/>
          <w:szCs w:val="16"/>
          <w:color w:val="auto"/>
        </w:rPr>
        <w:t>q. The parties agree that all disputes, legal actions, suits and proceedings arising out of or relating to this Subscription Agreement must be brought exclusively in the Court of Chancery of the State of Delaware and any state appellate court therefrom within the State of Delaware (or, if the Court of Chancery of the State of Delaware declines to accept jurisdiction over a particular matter, any federal court within the State of Delaware or, in the event each federal court within the State of Delaware declines to accept jurisdiction over a particular matter, any state court within the State of Delaware) (collectively the “</w:t>
      </w:r>
      <w:r>
        <w:rPr>
          <w:rFonts w:ascii="Times New Roman" w:cs="Times New Roman" w:eastAsia="Times New Roman" w:hAnsi="Times New Roman"/>
          <w:sz w:val="16"/>
          <w:szCs w:val="16"/>
          <w:u w:val="single" w:color="auto"/>
          <w:color w:val="auto"/>
        </w:rPr>
        <w:t>Designated Courts</w:t>
      </w:r>
      <w:r>
        <w:rPr>
          <w:rFonts w:ascii="Times New Roman" w:cs="Times New Roman" w:eastAsia="Times New Roman" w:hAnsi="Times New Roman"/>
          <w:sz w:val="16"/>
          <w:szCs w:val="16"/>
          <w:color w:val="auto"/>
        </w:rPr>
        <w:t xml:space="preserve">”). Each party hereby consents and submits to the exclusive jurisdiction of the Designated Courts. No legal action, suit or proceeding with respect to this subscription agreement may be brought in any other forum. Each party hereby irrevocably waives all claims of immunity from jurisdiction and any objection which such party may now or hereafter have to the laying of venue of any suit, action or proceeding in any Designated Court, including any right to object on the basis that any dispute, action, suit or proceeding brought in the Designated Courts has been brought in an improper or inconvenient forum or venue. Each of the parties also agrees that delivery of any process, summons, notice or document to a party hereof in compliance with </w:t>
      </w:r>
      <w:r>
        <w:rPr>
          <w:rFonts w:ascii="Times New Roman" w:cs="Times New Roman" w:eastAsia="Times New Roman" w:hAnsi="Times New Roman"/>
          <w:sz w:val="16"/>
          <w:szCs w:val="16"/>
          <w:u w:val="single" w:color="auto"/>
          <w:color w:val="auto"/>
        </w:rPr>
        <w:t>Section 9(a)</w:t>
      </w:r>
      <w:r>
        <w:rPr>
          <w:rFonts w:ascii="Times New Roman" w:cs="Times New Roman" w:eastAsia="Times New Roman" w:hAnsi="Times New Roman"/>
          <w:sz w:val="16"/>
          <w:szCs w:val="16"/>
          <w:color w:val="auto"/>
        </w:rPr>
        <w:t xml:space="preserve"> of this Subscription Agreement shall be effective service of process for any action, suit or proceeding in a Designated Court with respect to any matters to which the parties have submitted to jurisdiction as set forth above.</w:t>
      </w:r>
    </w:p>
    <w:p>
      <w:pPr>
        <w:spacing w:after="0" w:line="171" w:lineRule="exact"/>
        <w:rPr>
          <w:sz w:val="20"/>
          <w:szCs w:val="20"/>
          <w:color w:val="auto"/>
        </w:rPr>
      </w:pPr>
    </w:p>
    <w:p>
      <w:pPr>
        <w:jc w:val="both"/>
        <w:ind w:right="20" w:firstLine="765"/>
        <w:spacing w:after="0" w:line="255" w:lineRule="auto"/>
        <w:rPr>
          <w:sz w:val="20"/>
          <w:szCs w:val="20"/>
          <w:color w:val="auto"/>
        </w:rPr>
      </w:pPr>
      <w:r>
        <w:rPr>
          <w:rFonts w:ascii="Times New Roman" w:cs="Times New Roman" w:eastAsia="Times New Roman" w:hAnsi="Times New Roman"/>
          <w:sz w:val="16"/>
          <w:szCs w:val="16"/>
          <w:color w:val="auto"/>
        </w:rPr>
        <w:t>r. This Subscription Agreement may only be enforced against, and any claim, action, suit or other legal proceeding based upon, arising out of, or related to this Subscription Agreement, or the negotiation, execution or performance of this Subscription Agreement, may only be brought against the entities that are expressly named as parties hereto and then only with respect to the specific obligations set forth herein with respect to such party. No past, present or future director, officer, employee, incorporator, manager, member, partner, stockholder, affiliate, agent, attorney or other representative of any party hereto or of any affiliate of any party hereto, or any of their successors or permitted assigns, shall have any liability for any obligations or liabilities of any party hereto under this Subscription Agreement or for any claim, action, suit or other legal proceeding based on, in respect of or by reason of the transactions contemplated hereby.</w:t>
      </w:r>
    </w:p>
    <w:p>
      <w:pPr>
        <w:spacing w:after="0" w:line="169" w:lineRule="exact"/>
        <w:rPr>
          <w:sz w:val="20"/>
          <w:szCs w:val="20"/>
          <w:color w:val="auto"/>
        </w:rPr>
      </w:pPr>
    </w:p>
    <w:p>
      <w:pPr>
        <w:jc w:val="both"/>
        <w:ind w:firstLine="765"/>
        <w:spacing w:after="0"/>
        <w:rPr>
          <w:sz w:val="20"/>
          <w:szCs w:val="20"/>
          <w:color w:val="auto"/>
        </w:rPr>
      </w:pPr>
      <w:r>
        <w:rPr>
          <w:rFonts w:ascii="Times New Roman" w:cs="Times New Roman" w:eastAsia="Times New Roman" w:hAnsi="Times New Roman"/>
          <w:sz w:val="16"/>
          <w:szCs w:val="16"/>
          <w:color w:val="auto"/>
        </w:rPr>
        <w:t>s. The Company shall, by 9:00 a.m., New York City time, on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6"/>
          <w:szCs w:val="16"/>
          <w:color w:val="auto"/>
        </w:rPr>
        <w:t>) business day immediately following the date of this Subscription Agreement, issue one or more press releases or file with the Commission a Current Report on Form 8-K (collectively, the “</w:t>
      </w:r>
      <w:r>
        <w:rPr>
          <w:rFonts w:ascii="Times New Roman" w:cs="Times New Roman" w:eastAsia="Times New Roman" w:hAnsi="Times New Roman"/>
          <w:sz w:val="16"/>
          <w:szCs w:val="16"/>
          <w:u w:val="single" w:color="auto"/>
          <w:color w:val="auto"/>
        </w:rPr>
        <w:t>Disclosure Document</w:t>
      </w:r>
      <w:r>
        <w:rPr>
          <w:rFonts w:ascii="Times New Roman" w:cs="Times New Roman" w:eastAsia="Times New Roman" w:hAnsi="Times New Roman"/>
          <w:sz w:val="16"/>
          <w:szCs w:val="16"/>
          <w:color w:val="auto"/>
        </w:rPr>
        <w:t>”) disclosing, to the extent not previously publicly disclosed, all material terms of the transactions contemplated hereby and any other material, nonpublic information that the Company has provided to Subscriber at any time prior to the filing of the Disclosure Document. From and after the issuance of the Disclosure Document, Subscriber shall not be in possession of any material, non-public information received from the Company or any of its officers, directors or employees. Notwithstanding the foregoing, the Company shall not publicly disclose the name of Subscriber or any affiliate or investment adviser of Subscriber, or include the name of Subscriber or any affiliate or investment adviser of Subscriber in any press release or in any filing with the Commission or any regulatory agency or trading market, without the prior written consent (including by e-mail) of Subscriber, except as required by the federal securities laws, rules or regulations and to the extent such disclosure is required by other laws, rules or regulations, at the request of the staff of the Commission or regulatory agency or under Nasdaq Stock Market regulations, in which case the Company shall provide Subscriber with prior written notice (including by e-mail) of such permitted disclosure, and shall reasonably consult with Subscriber regarding such disclosure.</w:t>
      </w:r>
    </w:p>
    <w:p>
      <w:pPr>
        <w:spacing w:after="0" w:line="180" w:lineRule="exact"/>
        <w:rPr>
          <w:sz w:val="20"/>
          <w:szCs w:val="20"/>
          <w:color w:val="auto"/>
        </w:rPr>
      </w:pPr>
    </w:p>
    <w:p>
      <w:pPr>
        <w:jc w:val="both"/>
        <w:ind w:firstLine="765"/>
        <w:spacing w:after="0" w:line="251" w:lineRule="auto"/>
        <w:rPr>
          <w:sz w:val="20"/>
          <w:szCs w:val="20"/>
          <w:color w:val="auto"/>
        </w:rPr>
      </w:pPr>
      <w:r>
        <w:rPr>
          <w:rFonts w:ascii="Times New Roman" w:cs="Times New Roman" w:eastAsia="Times New Roman" w:hAnsi="Times New Roman"/>
          <w:sz w:val="16"/>
          <w:szCs w:val="16"/>
          <w:color w:val="auto"/>
        </w:rPr>
        <w:t>t. The obligations of Subscriber under this Subscription Agreement are several and not joint with the obligations of any Other Subscriber or any other investor under the Other Subscription Agreements, and Subscriber shall not be responsible in any way for the performance of the obligations of any Other Subscriber under this Subscription Agreement or any other investor under the Other Subscription Agreements. The decision of Subscriber to purchase Subscribed Shares pursuant to this Subscription Agreement has been made by Subscriber independently of any Other Subscriber or any other investor and independently of any information, materials, statements or opinions as to the business, affairs, operations, assets, properties, liabilities, results of operations, condition (financial or otherwise) or prospects of the Company or any of its subsidiaries which may have been made or given by any Other Subscriber or investor or by any agent or employee of any Other Subscriber or investor, and neither Subscriber nor any of its agents or employees shall have any liability to any Other Subscriber or investor (or any other person) relating to or arising from any such information, materials, statements or opinions. Nothing contained herein or in any Other Subscription Agreement, and no action taken by Subscriber or investor pursuant hereto or thereto, shall be deemed to constitute Subscriber and other investors as a partnership, an association, a joint venture or any other kind of entity, or create a presumption that Subscriber and other investors are in any way acting in concert or as a group with respect to such obligations or the transactions contemplated by this Subscription Agreement and the Other Subscription Agreements. Subscriber acknowledges that no Other Subscriber has acted as agent for Subscriber in connection with making its investment hereunder and no Other Subscriber will be acting as agent of Subscriber in connection with monitoring its investment in the Subscribed Shares or enforcing its rights under this Subscription Agreement. Subscriber shall be entitled to independently protect and enforce its rights, including without limitation the rights arising out of this Subscription Agreement, and it shall not be necessary for any Other Subscriber or investor to be joined as an additional party in any proceeding for such purpose.</w:t>
      </w:r>
    </w:p>
    <w:p>
      <w:pPr>
        <w:spacing w:after="0" w:line="17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6"/>
          <w:szCs w:val="16"/>
          <w:color w:val="auto"/>
        </w:rPr>
        <w:t>u. Following the Closing Date, Company shall hold regular quarterly conference calls to discuss the company’s financial results during the previous quarter.</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pages follow.]</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75" w:name="page176"/>
    <w:bookmarkEnd w:id="175"/>
    <w:p>
      <w:pPr>
        <w:ind w:firstLine="382"/>
        <w:spacing w:after="0" w:line="283" w:lineRule="auto"/>
        <w:rPr>
          <w:sz w:val="20"/>
          <w:szCs w:val="20"/>
          <w:color w:val="auto"/>
        </w:rPr>
      </w:pPr>
      <w:r>
        <w:rPr>
          <w:rFonts w:ascii="Times New Roman" w:cs="Times New Roman" w:eastAsia="Times New Roman" w:hAnsi="Times New Roman"/>
          <w:sz w:val="16"/>
          <w:szCs w:val="16"/>
          <w:b w:val="1"/>
          <w:bCs w:val="1"/>
          <w:color w:val="auto"/>
        </w:rPr>
        <w:t>IN WITNESS WHEREOF</w:t>
      </w:r>
      <w:r>
        <w:rPr>
          <w:rFonts w:ascii="Times New Roman" w:cs="Times New Roman" w:eastAsia="Times New Roman" w:hAnsi="Times New Roman"/>
          <w:sz w:val="16"/>
          <w:szCs w:val="16"/>
          <w:color w:val="auto"/>
        </w:rPr>
        <w:t>, each of the Company and Subscriber has executed or caused this Subscription Agreement to be executed by its duly authorized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representative as of the date first set forth above.</w:t>
      </w:r>
    </w:p>
    <w:p>
      <w:pPr>
        <w:spacing w:after="0" w:line="14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VENTOUX CCM ACQUISITION CORP.</w:t>
      </w:r>
    </w:p>
    <w:p>
      <w:pPr>
        <w:spacing w:after="0" w:line="21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7620</wp:posOffset>
            </wp:positionV>
            <wp:extent cx="2572385" cy="152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4"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6"/>
          <w:szCs w:val="16"/>
          <w:color w:val="auto"/>
        </w:rPr>
        <w:t>Name: Edward Scheetz</w:t>
      </w:r>
    </w:p>
    <w:p>
      <w:pPr>
        <w:spacing w:after="0" w:line="1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6"/>
          <w:szCs w:val="16"/>
          <w:color w:val="auto"/>
        </w:rPr>
        <w:t>Title: Chairman and Chief Executive Officer</w:t>
      </w:r>
    </w:p>
    <w:p>
      <w:pPr>
        <w:spacing w:after="0" w:line="18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Address for Notices:</w:t>
      </w:r>
    </w:p>
    <w:p>
      <w:pPr>
        <w:spacing w:after="0" w:line="19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1 East Putnam Avenue, Floor 4</w:t>
      </w:r>
    </w:p>
    <w:p>
      <w:pPr>
        <w:spacing w:after="0" w:line="2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Greenwich, CT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Ventoux CCM Acquisition Corp Subscription Agreement]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176" w:name="page177"/>
    <w:bookmarkEnd w:id="176"/>
    <w:p>
      <w:pPr>
        <w:ind w:left="6760"/>
        <w:spacing w:after="0"/>
        <w:rPr>
          <w:sz w:val="20"/>
          <w:szCs w:val="20"/>
          <w:color w:val="auto"/>
        </w:rPr>
      </w:pPr>
      <w:r>
        <w:rPr>
          <w:rFonts w:ascii="Times New Roman" w:cs="Times New Roman" w:eastAsia="Times New Roman" w:hAnsi="Times New Roman"/>
          <w:sz w:val="16"/>
          <w:szCs w:val="16"/>
          <w:color w:val="auto"/>
        </w:rPr>
        <w:t>SUBSCRIBER:</w:t>
      </w:r>
    </w:p>
    <w:p>
      <w:pPr>
        <w:spacing w:after="0" w:line="19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Print</w:t>
      </w:r>
    </w:p>
    <w:p>
      <w:pPr>
        <w:spacing w:after="0" w:line="2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4648835</wp:posOffset>
            </wp:positionH>
            <wp:positionV relativeFrom="paragraph">
              <wp:posOffset>-2540</wp:posOffset>
            </wp:positionV>
            <wp:extent cx="2496820" cy="152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ind w:left="676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4648835</wp:posOffset>
            </wp:positionH>
            <wp:positionV relativeFrom="paragraph">
              <wp:posOffset>7620</wp:posOffset>
            </wp:positionV>
            <wp:extent cx="2496820" cy="152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Name:</w:t>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Title:</w:t>
      </w:r>
    </w:p>
    <w:p>
      <w:pPr>
        <w:spacing w:after="0" w:line="19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Address for Notices:</w:t>
      </w:r>
    </w:p>
    <w:p>
      <w:pPr>
        <w:spacing w:after="0" w:line="23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Name in which shares are to be registered: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Number of Subscribed Shares subscribed for:</w:t>
            </w:r>
          </w:p>
        </w:tc>
        <w:tc>
          <w:tcPr>
            <w:tcW w:w="33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64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Price Per Subscribed Share:</w:t>
            </w:r>
          </w:p>
        </w:tc>
        <w:tc>
          <w:tcPr>
            <w:tcW w:w="39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64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Aggregate Purchase Price of Subscribed Shares:</w:t>
            </w:r>
          </w:p>
        </w:tc>
        <w:tc>
          <w:tcPr>
            <w:tcW w:w="336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r>
      <w:tr>
        <w:trPr>
          <w:trHeight w:val="24"/>
        </w:trPr>
        <w:tc>
          <w:tcPr>
            <w:tcW w:w="6440" w:type="dxa"/>
            <w:vAlign w:val="bottom"/>
            <w:shd w:val="clear" w:color="auto" w:fill="CCEEFF"/>
          </w:tcPr>
          <w:p>
            <w:pPr>
              <w:spacing w:after="0"/>
              <w:rPr>
                <w:sz w:val="2"/>
                <w:szCs w:val="2"/>
                <w:color w:val="auto"/>
              </w:rPr>
            </w:pPr>
          </w:p>
        </w:tc>
        <w:tc>
          <w:tcPr>
            <w:tcW w:w="336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You must pay the Purchase Price by wire transfer of United States dollars in immediately available funds to the account of the Company specified by the Company in the Closing Notice.</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Ventoux CCM Acquisition Corp Subscription Agreement]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77" w:name="page178"/>
    <w:bookmarkEnd w:id="177"/>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ANNEX A</w:t>
      </w:r>
    </w:p>
    <w:p>
      <w:pPr>
        <w:spacing w:after="0" w:line="19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ELIGIBILITY REPRESENTATIONS OF SUBSCRIBER</w:t>
      </w:r>
    </w:p>
    <w:p>
      <w:pPr>
        <w:spacing w:after="0" w:line="20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This Annex A should be completed and signed by Subscriber</w:t>
      </w:r>
    </w:p>
    <w:p>
      <w:pPr>
        <w:spacing w:after="0" w:line="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and constitutes a part of the Subscription Agreement.</w:t>
      </w:r>
    </w:p>
    <w:p>
      <w:pPr>
        <w:spacing w:after="0" w:line="182" w:lineRule="exact"/>
        <w:rPr>
          <w:sz w:val="20"/>
          <w:szCs w:val="20"/>
          <w:color w:val="auto"/>
        </w:rPr>
      </w:pPr>
    </w:p>
    <w:p>
      <w:pPr>
        <w:ind w:left="564" w:hanging="564"/>
        <w:spacing w:after="0"/>
        <w:tabs>
          <w:tab w:leader="none" w:pos="564"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ACCREDITED INVESTOR STATUS (Please check the box)</w:t>
      </w:r>
    </w:p>
    <w:p>
      <w:pPr>
        <w:spacing w:after="0" w:line="198" w:lineRule="exact"/>
        <w:rPr>
          <w:rFonts w:ascii="Times New Roman" w:cs="Times New Roman" w:eastAsia="Times New Roman" w:hAnsi="Times New Roman"/>
          <w:sz w:val="16"/>
          <w:szCs w:val="16"/>
          <w:color w:val="auto"/>
        </w:rPr>
      </w:pPr>
    </w:p>
    <w:p>
      <w:pPr>
        <w:ind w:left="864" w:right="20" w:hanging="291"/>
        <w:spacing w:after="0" w:line="280" w:lineRule="auto"/>
        <w:tabs>
          <w:tab w:leader="none" w:pos="864" w:val="left"/>
        </w:tabs>
        <w:numPr>
          <w:ilvl w:val="1"/>
          <w:numId w:val="196"/>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Subscriber is an “accredited investor” (within the meaning of Rule 501(a) under the Securities Act) and has marked and initialed the appropriate box below indicating the provision under which it qualifies as an “accredited investor.”</w:t>
      </w:r>
    </w:p>
    <w:p>
      <w:pPr>
        <w:spacing w:after="0" w:line="144" w:lineRule="exact"/>
        <w:rPr>
          <w:rFonts w:ascii="MS PGothic" w:cs="MS PGothic" w:eastAsia="MS PGothic" w:hAnsi="MS PGothic"/>
          <w:sz w:val="16"/>
          <w:szCs w:val="16"/>
          <w:color w:val="auto"/>
        </w:rPr>
      </w:pPr>
    </w:p>
    <w:p>
      <w:pPr>
        <w:ind w:left="564" w:hanging="564"/>
        <w:spacing w:after="0"/>
        <w:tabs>
          <w:tab w:leader="none" w:pos="564"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AFFILIATE STATUS</w:t>
      </w:r>
    </w:p>
    <w:p>
      <w:pPr>
        <w:spacing w:after="0" w:line="23" w:lineRule="exact"/>
        <w:rPr>
          <w:rFonts w:ascii="Times New Roman" w:cs="Times New Roman" w:eastAsia="Times New Roman" w:hAnsi="Times New Roman"/>
          <w:sz w:val="16"/>
          <w:szCs w:val="16"/>
          <w:color w:val="auto"/>
        </w:rPr>
      </w:pPr>
    </w:p>
    <w:p>
      <w:pPr>
        <w:ind w:left="564"/>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(Please check the applicable box)</w:t>
      </w:r>
    </w:p>
    <w:p>
      <w:pPr>
        <w:spacing w:after="0" w:line="181" w:lineRule="exact"/>
        <w:rPr>
          <w:rFonts w:ascii="Times New Roman" w:cs="Times New Roman" w:eastAsia="Times New Roman" w:hAnsi="Times New Roman"/>
          <w:sz w:val="16"/>
          <w:szCs w:val="16"/>
          <w:color w:val="auto"/>
        </w:rPr>
      </w:pPr>
    </w:p>
    <w:p>
      <w:pPr>
        <w:ind w:left="564"/>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SUBSCRIBER:</w:t>
      </w:r>
    </w:p>
    <w:p>
      <w:pPr>
        <w:spacing w:after="0" w:line="198" w:lineRule="exact"/>
        <w:rPr>
          <w:rFonts w:ascii="Times New Roman" w:cs="Times New Roman" w:eastAsia="Times New Roman" w:hAnsi="Times New Roman"/>
          <w:sz w:val="16"/>
          <w:szCs w:val="16"/>
          <w:color w:val="auto"/>
        </w:rPr>
      </w:pPr>
    </w:p>
    <w:p>
      <w:pPr>
        <w:ind w:left="1144" w:hanging="571"/>
        <w:spacing w:after="0"/>
        <w:tabs>
          <w:tab w:leader="none" w:pos="1144" w:val="left"/>
        </w:tabs>
        <w:numPr>
          <w:ilvl w:val="1"/>
          <w:numId w:val="196"/>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is:</w:t>
      </w:r>
    </w:p>
    <w:p>
      <w:pPr>
        <w:spacing w:after="0" w:line="198" w:lineRule="exact"/>
        <w:rPr>
          <w:rFonts w:ascii="MS PGothic" w:cs="MS PGothic" w:eastAsia="MS PGothic" w:hAnsi="MS PGothic"/>
          <w:sz w:val="16"/>
          <w:szCs w:val="16"/>
          <w:color w:val="auto"/>
        </w:rPr>
      </w:pPr>
    </w:p>
    <w:p>
      <w:pPr>
        <w:ind w:left="1144" w:hanging="571"/>
        <w:spacing w:after="0"/>
        <w:tabs>
          <w:tab w:leader="none" w:pos="1144" w:val="left"/>
        </w:tabs>
        <w:numPr>
          <w:ilvl w:val="1"/>
          <w:numId w:val="196"/>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is not:</w:t>
      </w:r>
    </w:p>
    <w:p>
      <w:pPr>
        <w:spacing w:after="0" w:line="198"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an “affiliate” (as defined in Rule 144 under the Securities Act) of the Company or acting on behalf of an affiliate of the Company.</w:t>
      </w:r>
    </w:p>
    <w:p>
      <w:pPr>
        <w:spacing w:after="0" w:line="198" w:lineRule="exact"/>
        <w:rPr>
          <w:sz w:val="20"/>
          <w:szCs w:val="20"/>
          <w:color w:val="auto"/>
        </w:rPr>
      </w:pPr>
    </w:p>
    <w:p>
      <w:pPr>
        <w:jc w:val="both"/>
        <w:ind w:left="4" w:firstLine="574"/>
        <w:spacing w:after="0" w:line="265" w:lineRule="auto"/>
        <w:rPr>
          <w:sz w:val="20"/>
          <w:szCs w:val="20"/>
          <w:color w:val="auto"/>
        </w:rPr>
      </w:pPr>
      <w:r>
        <w:rPr>
          <w:rFonts w:ascii="Times New Roman" w:cs="Times New Roman" w:eastAsia="Times New Roman" w:hAnsi="Times New Roman"/>
          <w:sz w:val="16"/>
          <w:szCs w:val="16"/>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Subscriber has indicated, by marking and initialing the appropriate box below, the provision(s) below which apply to Subscriber and under which Subscriber accordingly qualifies as an “accredited investor.”</w:t>
      </w:r>
    </w:p>
    <w:p>
      <w:pPr>
        <w:spacing w:after="0" w:line="155" w:lineRule="exact"/>
        <w:rPr>
          <w:sz w:val="20"/>
          <w:szCs w:val="20"/>
          <w:color w:val="auto"/>
        </w:rPr>
      </w:pPr>
    </w:p>
    <w:p>
      <w:pPr>
        <w:ind w:left="1144" w:right="20" w:hanging="571"/>
        <w:spacing w:after="0" w:line="280" w:lineRule="auto"/>
        <w:tabs>
          <w:tab w:leader="none" w:pos="1144" w:val="left"/>
        </w:tabs>
        <w:numPr>
          <w:ilvl w:val="0"/>
          <w:numId w:val="197"/>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bank, registered broker or dealer, insurance company, registered investment company, business development company, or small business investment company;</w:t>
      </w:r>
    </w:p>
    <w:p>
      <w:pPr>
        <w:spacing w:after="0" w:line="144" w:lineRule="exact"/>
        <w:rPr>
          <w:rFonts w:ascii="MS PGothic" w:cs="MS PGothic" w:eastAsia="MS PGothic" w:hAnsi="MS PGothic"/>
          <w:sz w:val="16"/>
          <w:szCs w:val="16"/>
          <w:color w:val="auto"/>
        </w:rPr>
      </w:pPr>
    </w:p>
    <w:p>
      <w:pPr>
        <w:ind w:left="1144" w:right="20" w:hanging="571"/>
        <w:spacing w:after="0" w:line="280" w:lineRule="auto"/>
        <w:tabs>
          <w:tab w:leader="none" w:pos="1144" w:val="left"/>
        </w:tabs>
        <w:numPr>
          <w:ilvl w:val="0"/>
          <w:numId w:val="197"/>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144" w:lineRule="exact"/>
        <w:rPr>
          <w:rFonts w:ascii="MS PGothic" w:cs="MS PGothic" w:eastAsia="MS PGothic" w:hAnsi="MS PGothic"/>
          <w:sz w:val="16"/>
          <w:szCs w:val="16"/>
          <w:color w:val="auto"/>
        </w:rPr>
      </w:pPr>
    </w:p>
    <w:p>
      <w:pPr>
        <w:ind w:left="1144" w:right="20" w:hanging="571"/>
        <w:spacing w:after="0" w:line="280" w:lineRule="auto"/>
        <w:tabs>
          <w:tab w:leader="none" w:pos="1144" w:val="left"/>
        </w:tabs>
        <w:numPr>
          <w:ilvl w:val="0"/>
          <w:numId w:val="197"/>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employee benefit plan, within the meaning of the Employee Retirement Income Security Act of 1974, if a bank, insurance company, or registered investment adviser makes the investment decisions, or if the plan has total assets in excess of $5,000,000;</w:t>
      </w:r>
    </w:p>
    <w:p>
      <w:pPr>
        <w:spacing w:after="0" w:line="144" w:lineRule="exact"/>
        <w:rPr>
          <w:rFonts w:ascii="MS PGothic" w:cs="MS PGothic" w:eastAsia="MS PGothic" w:hAnsi="MS PGothic"/>
          <w:sz w:val="16"/>
          <w:szCs w:val="16"/>
          <w:color w:val="auto"/>
        </w:rPr>
      </w:pPr>
    </w:p>
    <w:p>
      <w:pPr>
        <w:ind w:left="1144" w:right="20" w:hanging="571"/>
        <w:spacing w:after="0" w:line="280" w:lineRule="auto"/>
        <w:tabs>
          <w:tab w:leader="none" w:pos="1144" w:val="left"/>
        </w:tabs>
        <w:numPr>
          <w:ilvl w:val="0"/>
          <w:numId w:val="197"/>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corporation, similar business trust, partnership or any organization described in Section 501(c)(3) of the Internal Revenue Code, not formed for the specific purpose of acquiring the securities offered, with total assets in excess of $5,000,000;</w:t>
      </w:r>
    </w:p>
    <w:p>
      <w:pPr>
        <w:spacing w:after="0" w:line="144" w:lineRule="exact"/>
        <w:rPr>
          <w:rFonts w:ascii="MS PGothic" w:cs="MS PGothic" w:eastAsia="MS PGothic" w:hAnsi="MS PGothic"/>
          <w:sz w:val="16"/>
          <w:szCs w:val="16"/>
          <w:color w:val="auto"/>
        </w:rPr>
      </w:pPr>
    </w:p>
    <w:p>
      <w:pPr>
        <w:ind w:left="1144" w:hanging="571"/>
        <w:spacing w:after="0"/>
        <w:tabs>
          <w:tab w:leader="none" w:pos="1144" w:val="left"/>
        </w:tabs>
        <w:numPr>
          <w:ilvl w:val="0"/>
          <w:numId w:val="197"/>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trust with assets in excess of $5,000,000, not formed to acquire the securities offered, whose purchase is directed by a sophisticated person;</w:t>
      </w:r>
    </w:p>
    <w:p>
      <w:pPr>
        <w:spacing w:after="0" w:line="198" w:lineRule="exact"/>
        <w:rPr>
          <w:rFonts w:ascii="MS PGothic" w:cs="MS PGothic" w:eastAsia="MS PGothic" w:hAnsi="MS PGothic"/>
          <w:sz w:val="16"/>
          <w:szCs w:val="16"/>
          <w:color w:val="auto"/>
        </w:rPr>
      </w:pPr>
    </w:p>
    <w:p>
      <w:pPr>
        <w:ind w:left="1144" w:hanging="571"/>
        <w:spacing w:after="0"/>
        <w:tabs>
          <w:tab w:leader="none" w:pos="1144" w:val="left"/>
        </w:tabs>
        <w:numPr>
          <w:ilvl w:val="0"/>
          <w:numId w:val="197"/>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entity in which all of the equity owners are accredited investors meeting one or more of the above tests or one of the following tests; or</w:t>
      </w:r>
    </w:p>
    <w:p>
      <w:pPr>
        <w:spacing w:after="0" w:line="198" w:lineRule="exact"/>
        <w:rPr>
          <w:rFonts w:ascii="MS PGothic" w:cs="MS PGothic" w:eastAsia="MS PGothic" w:hAnsi="MS PGothic"/>
          <w:sz w:val="16"/>
          <w:szCs w:val="16"/>
          <w:color w:val="auto"/>
        </w:rPr>
      </w:pPr>
    </w:p>
    <w:p>
      <w:pPr>
        <w:ind w:left="1144" w:right="20" w:hanging="571"/>
        <w:spacing w:after="0" w:line="498" w:lineRule="auto"/>
        <w:tabs>
          <w:tab w:leader="none" w:pos="1144" w:val="left"/>
        </w:tabs>
        <w:numPr>
          <w:ilvl w:val="0"/>
          <w:numId w:val="197"/>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entity of a type not listed above and not formed for the specific purpose of acquiring the securities offered that owns investments in excess of $5,000,000. [Specify which tests: ]</w:t>
      </w:r>
    </w:p>
    <w:p>
      <w:pPr>
        <w:spacing w:after="0" w:line="1" w:lineRule="exact"/>
        <w:rPr>
          <w:sz w:val="20"/>
          <w:szCs w:val="20"/>
          <w:color w:val="auto"/>
        </w:rPr>
      </w:pPr>
    </w:p>
    <w:p>
      <w:pPr>
        <w:ind w:left="6764"/>
        <w:spacing w:after="0"/>
        <w:rPr>
          <w:sz w:val="20"/>
          <w:szCs w:val="20"/>
          <w:color w:val="auto"/>
        </w:rPr>
      </w:pPr>
      <w:r>
        <w:rPr>
          <w:rFonts w:ascii="Times New Roman" w:cs="Times New Roman" w:eastAsia="Times New Roman" w:hAnsi="Times New Roman"/>
          <w:sz w:val="16"/>
          <w:szCs w:val="16"/>
          <w:color w:val="auto"/>
        </w:rPr>
        <w:t>SUBSCRIBER:</w:t>
      </w:r>
    </w:p>
    <w:p>
      <w:pPr>
        <w:spacing w:after="0" w:line="198" w:lineRule="exact"/>
        <w:rPr>
          <w:sz w:val="20"/>
          <w:szCs w:val="20"/>
          <w:color w:val="auto"/>
        </w:rPr>
      </w:pPr>
    </w:p>
    <w:p>
      <w:pPr>
        <w:ind w:left="6764"/>
        <w:spacing w:after="0"/>
        <w:rPr>
          <w:sz w:val="20"/>
          <w:szCs w:val="20"/>
          <w:color w:val="auto"/>
        </w:rPr>
      </w:pPr>
      <w:r>
        <w:rPr>
          <w:rFonts w:ascii="Times New Roman" w:cs="Times New Roman" w:eastAsia="Times New Roman" w:hAnsi="Times New Roman"/>
          <w:sz w:val="16"/>
          <w:szCs w:val="16"/>
          <w:color w:val="auto"/>
        </w:rPr>
        <w:t>Print Name:</w:t>
      </w:r>
    </w:p>
    <w:p>
      <w:pPr>
        <w:spacing w:after="0" w:line="210" w:lineRule="exact"/>
        <w:rPr>
          <w:sz w:val="20"/>
          <w:szCs w:val="20"/>
          <w:color w:val="auto"/>
        </w:rPr>
      </w:pPr>
    </w:p>
    <w:p>
      <w:pPr>
        <w:ind w:left="6764"/>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7620</wp:posOffset>
            </wp:positionV>
            <wp:extent cx="2572385" cy="152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4" w:lineRule="exact"/>
        <w:rPr>
          <w:sz w:val="20"/>
          <w:szCs w:val="20"/>
          <w:color w:val="auto"/>
        </w:rPr>
      </w:pPr>
    </w:p>
    <w:p>
      <w:pPr>
        <w:ind w:left="7204"/>
        <w:spacing w:after="0"/>
        <w:rPr>
          <w:sz w:val="20"/>
          <w:szCs w:val="20"/>
          <w:color w:val="auto"/>
        </w:rPr>
      </w:pPr>
      <w:r>
        <w:rPr>
          <w:rFonts w:ascii="Times New Roman" w:cs="Times New Roman" w:eastAsia="Times New Roman" w:hAnsi="Times New Roman"/>
          <w:sz w:val="16"/>
          <w:szCs w:val="16"/>
          <w:color w:val="auto"/>
        </w:rPr>
        <w:t>Name:</w:t>
      </w:r>
    </w:p>
    <w:p>
      <w:pPr>
        <w:spacing w:after="0" w:line="19" w:lineRule="exact"/>
        <w:rPr>
          <w:sz w:val="20"/>
          <w:szCs w:val="20"/>
          <w:color w:val="auto"/>
        </w:rPr>
      </w:pPr>
    </w:p>
    <w:p>
      <w:pPr>
        <w:ind w:left="7204"/>
        <w:spacing w:after="0"/>
        <w:rPr>
          <w:sz w:val="20"/>
          <w:szCs w:val="20"/>
          <w:color w:val="auto"/>
        </w:rPr>
      </w:pPr>
      <w:r>
        <w:rPr>
          <w:rFonts w:ascii="Times New Roman" w:cs="Times New Roman" w:eastAsia="Times New Roman" w:hAnsi="Times New Roman"/>
          <w:sz w:val="16"/>
          <w:szCs w:val="16"/>
          <w:color w:val="auto"/>
        </w:rPr>
        <w:t>Title:</w:t>
      </w:r>
    </w:p>
    <w:p>
      <w:pPr>
        <w:spacing w:after="0" w:line="37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4" w:right="31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16"/>
          <w:szCs w:val="16"/>
          <w:b w:val="1"/>
          <w:bCs w:val="1"/>
          <w:color w:val="auto"/>
        </w:rPr>
        <w:t>Exhibit 10.4</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OF AMENDED AND RESTATED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WARRANT AGREEMENT</w:t>
      </w:r>
    </w:p>
    <w:p>
      <w:pPr>
        <w:spacing w:after="0" w:line="180" w:lineRule="exact"/>
        <w:rPr>
          <w:sz w:val="20"/>
          <w:szCs w:val="20"/>
          <w:color w:val="auto"/>
        </w:rPr>
      </w:pPr>
    </w:p>
    <w:p>
      <w:pPr>
        <w:jc w:val="both"/>
        <w:ind w:right="20" w:firstLine="382"/>
        <w:spacing w:after="0" w:line="283" w:lineRule="auto"/>
        <w:rPr>
          <w:sz w:val="20"/>
          <w:szCs w:val="20"/>
          <w:color w:val="auto"/>
        </w:rPr>
      </w:pPr>
      <w:r>
        <w:rPr>
          <w:rFonts w:ascii="Times New Roman" w:cs="Times New Roman" w:eastAsia="Times New Roman" w:hAnsi="Times New Roman"/>
          <w:sz w:val="16"/>
          <w:szCs w:val="16"/>
          <w:color w:val="auto"/>
        </w:rPr>
        <w:t>This AMENDED AND RESTATED WARRANT AGREEMENT (“</w:t>
      </w:r>
      <w:r>
        <w:rPr>
          <w:rFonts w:ascii="Times New Roman" w:cs="Times New Roman" w:eastAsia="Times New Roman" w:hAnsi="Times New Roman"/>
          <w:sz w:val="16"/>
          <w:szCs w:val="16"/>
          <w:b w:val="1"/>
          <w:bCs w:val="1"/>
          <w:color w:val="auto"/>
        </w:rPr>
        <w:t>Warrant Agreement</w:t>
      </w:r>
      <w:r>
        <w:rPr>
          <w:rFonts w:ascii="Times New Roman" w:cs="Times New Roman" w:eastAsia="Times New Roman" w:hAnsi="Times New Roman"/>
          <w:sz w:val="16"/>
          <w:szCs w:val="16"/>
          <w:color w:val="auto"/>
        </w:rPr>
        <w:t>”) is made as of [●], 2022, by and between Ventoux CCM Acquisition Corp., a Delaware corporation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and Continental Stock Transfer &amp; Trust Company (the “</w:t>
      </w:r>
      <w:r>
        <w:rPr>
          <w:rFonts w:ascii="Times New Roman" w:cs="Times New Roman" w:eastAsia="Times New Roman" w:hAnsi="Times New Roman"/>
          <w:sz w:val="16"/>
          <w:szCs w:val="16"/>
          <w:b w:val="1"/>
          <w:bCs w:val="1"/>
          <w:color w:val="auto"/>
        </w:rPr>
        <w:t>Warrant Agent</w:t>
      </w:r>
      <w:r>
        <w:rPr>
          <w:rFonts w:ascii="Times New Roman" w:cs="Times New Roman" w:eastAsia="Times New Roman" w:hAnsi="Times New Roman"/>
          <w:sz w:val="16"/>
          <w:szCs w:val="16"/>
          <w:color w:val="auto"/>
        </w:rPr>
        <w:t>”).</w:t>
      </w:r>
    </w:p>
    <w:p>
      <w:pPr>
        <w:spacing w:after="0" w:line="140" w:lineRule="exact"/>
        <w:rPr>
          <w:sz w:val="20"/>
          <w:szCs w:val="20"/>
          <w:color w:val="auto"/>
        </w:rPr>
      </w:pPr>
    </w:p>
    <w:p>
      <w:pPr>
        <w:jc w:val="both"/>
        <w:ind w:firstLine="382"/>
        <w:spacing w:after="0" w:line="260" w:lineRule="auto"/>
        <w:rPr>
          <w:sz w:val="20"/>
          <w:szCs w:val="20"/>
          <w:color w:val="auto"/>
        </w:rPr>
      </w:pPr>
      <w:r>
        <w:rPr>
          <w:rFonts w:ascii="Times New Roman" w:cs="Times New Roman" w:eastAsia="Times New Roman" w:hAnsi="Times New Roman"/>
          <w:sz w:val="16"/>
          <w:szCs w:val="16"/>
          <w:color w:val="auto"/>
        </w:rPr>
        <w:t>WHEREAS, the Company completed an initial public offering (the “</w:t>
      </w:r>
      <w:r>
        <w:rPr>
          <w:rFonts w:ascii="Times New Roman" w:cs="Times New Roman" w:eastAsia="Times New Roman" w:hAnsi="Times New Roman"/>
          <w:sz w:val="16"/>
          <w:szCs w:val="16"/>
          <w:b w:val="1"/>
          <w:bCs w:val="1"/>
          <w:color w:val="auto"/>
        </w:rPr>
        <w:t>Public Offering</w:t>
      </w:r>
      <w:r>
        <w:rPr>
          <w:rFonts w:ascii="Times New Roman" w:cs="Times New Roman" w:eastAsia="Times New Roman" w:hAnsi="Times New Roman"/>
          <w:sz w:val="16"/>
          <w:szCs w:val="16"/>
          <w:color w:val="auto"/>
        </w:rPr>
        <w:t>”) of 17,250,000 units (the “</w:t>
      </w:r>
      <w:r>
        <w:rPr>
          <w:rFonts w:ascii="Times New Roman" w:cs="Times New Roman" w:eastAsia="Times New Roman" w:hAnsi="Times New Roman"/>
          <w:sz w:val="16"/>
          <w:szCs w:val="16"/>
          <w:b w:val="1"/>
          <w:bCs w:val="1"/>
          <w:color w:val="auto"/>
        </w:rPr>
        <w:t>Units</w:t>
      </w:r>
      <w:r>
        <w:rPr>
          <w:rFonts w:ascii="Times New Roman" w:cs="Times New Roman" w:eastAsia="Times New Roman" w:hAnsi="Times New Roman"/>
          <w:sz w:val="16"/>
          <w:szCs w:val="16"/>
          <w:color w:val="auto"/>
        </w:rPr>
        <w:t>”) of the Company, inclusive of the underwriters’ exercise of their over-allotment option in full, each Unit consisting of one share of common stock, par value $0.0001 per share (the “</w:t>
      </w:r>
      <w:r>
        <w:rPr>
          <w:rFonts w:ascii="Times New Roman" w:cs="Times New Roman" w:eastAsia="Times New Roman" w:hAnsi="Times New Roman"/>
          <w:sz w:val="16"/>
          <w:szCs w:val="16"/>
          <w:b w:val="1"/>
          <w:bCs w:val="1"/>
          <w:color w:val="auto"/>
        </w:rPr>
        <w:t>Common Stock</w:t>
      </w:r>
      <w:r>
        <w:rPr>
          <w:rFonts w:ascii="Times New Roman" w:cs="Times New Roman" w:eastAsia="Times New Roman" w:hAnsi="Times New Roman"/>
          <w:sz w:val="16"/>
          <w:szCs w:val="16"/>
          <w:color w:val="auto"/>
        </w:rPr>
        <w:t>”), one right to receive one-twentieth of one share of Common Stock, and one warrant (the “</w:t>
      </w:r>
      <w:r>
        <w:rPr>
          <w:rFonts w:ascii="Times New Roman" w:cs="Times New Roman" w:eastAsia="Times New Roman" w:hAnsi="Times New Roman"/>
          <w:sz w:val="16"/>
          <w:szCs w:val="16"/>
          <w:b w:val="1"/>
          <w:bCs w:val="1"/>
          <w:color w:val="auto"/>
        </w:rPr>
        <w:t>Public Warrant</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b w:val="1"/>
          <w:bCs w:val="1"/>
          <w:color w:val="auto"/>
        </w:rPr>
        <w:t>Public Warrants</w:t>
      </w:r>
      <w:r>
        <w:rPr>
          <w:rFonts w:ascii="Times New Roman" w:cs="Times New Roman" w:eastAsia="Times New Roman" w:hAnsi="Times New Roman"/>
          <w:sz w:val="16"/>
          <w:szCs w:val="16"/>
          <w:color w:val="auto"/>
        </w:rPr>
        <w:t>”), each whole Public Warrant entitling its holder to purchase one-half of one share of Common Stock (the “</w:t>
      </w:r>
      <w:r>
        <w:rPr>
          <w:rFonts w:ascii="Times New Roman" w:cs="Times New Roman" w:eastAsia="Times New Roman" w:hAnsi="Times New Roman"/>
          <w:sz w:val="16"/>
          <w:szCs w:val="16"/>
          <w:b w:val="1"/>
          <w:bCs w:val="1"/>
          <w:color w:val="auto"/>
        </w:rPr>
        <w:t>Public Warrant Shares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p>
      <w:pPr>
        <w:spacing w:after="0" w:line="159"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6"/>
          <w:szCs w:val="16"/>
          <w:color w:val="auto"/>
        </w:rPr>
        <w:t>WHEREAS, the Company entered into Subscription Agreements dated as of December 23, 2020 (collectively, the “</w:t>
      </w:r>
      <w:r>
        <w:rPr>
          <w:rFonts w:ascii="Times New Roman" w:cs="Times New Roman" w:eastAsia="Times New Roman" w:hAnsi="Times New Roman"/>
          <w:sz w:val="16"/>
          <w:szCs w:val="16"/>
          <w:b w:val="1"/>
          <w:bCs w:val="1"/>
          <w:color w:val="auto"/>
        </w:rPr>
        <w:t>Subscription Agreements</w:t>
      </w:r>
      <w:r>
        <w:rPr>
          <w:rFonts w:ascii="Times New Roman" w:cs="Times New Roman" w:eastAsia="Times New Roman" w:hAnsi="Times New Roman"/>
          <w:sz w:val="16"/>
          <w:szCs w:val="16"/>
          <w:color w:val="auto"/>
        </w:rPr>
        <w:t>”), with Ventoux Acquisition Holdings LLC (the “</w:t>
      </w:r>
      <w:r>
        <w:rPr>
          <w:rFonts w:ascii="Times New Roman" w:cs="Times New Roman" w:eastAsia="Times New Roman" w:hAnsi="Times New Roman"/>
          <w:sz w:val="16"/>
          <w:szCs w:val="16"/>
          <w:b w:val="1"/>
          <w:bCs w:val="1"/>
          <w:color w:val="auto"/>
        </w:rPr>
        <w:t>Co-Sponsor</w:t>
      </w:r>
      <w:r>
        <w:rPr>
          <w:rFonts w:ascii="Times New Roman" w:cs="Times New Roman" w:eastAsia="Times New Roman" w:hAnsi="Times New Roman"/>
          <w:sz w:val="16"/>
          <w:szCs w:val="16"/>
          <w:color w:val="auto"/>
        </w:rPr>
        <w:t>”) and Chardan International Investments, LLC (the “</w:t>
      </w:r>
      <w:r>
        <w:rPr>
          <w:rFonts w:ascii="Times New Roman" w:cs="Times New Roman" w:eastAsia="Times New Roman" w:hAnsi="Times New Roman"/>
          <w:sz w:val="16"/>
          <w:szCs w:val="16"/>
          <w:b w:val="1"/>
          <w:bCs w:val="1"/>
          <w:color w:val="auto"/>
        </w:rPr>
        <w:t>Co-Sponsor II</w:t>
      </w:r>
      <w:r>
        <w:rPr>
          <w:rFonts w:ascii="Times New Roman" w:cs="Times New Roman" w:eastAsia="Times New Roman" w:hAnsi="Times New Roman"/>
          <w:sz w:val="16"/>
          <w:szCs w:val="16"/>
          <w:color w:val="auto"/>
        </w:rPr>
        <w:t>”, and together with the Co-Sponsor, the “</w:t>
      </w:r>
      <w:r>
        <w:rPr>
          <w:rFonts w:ascii="Times New Roman" w:cs="Times New Roman" w:eastAsia="Times New Roman" w:hAnsi="Times New Roman"/>
          <w:sz w:val="16"/>
          <w:szCs w:val="16"/>
          <w:b w:val="1"/>
          <w:bCs w:val="1"/>
          <w:color w:val="auto"/>
        </w:rPr>
        <w:t>Sponsors</w:t>
      </w:r>
      <w:r>
        <w:rPr>
          <w:rFonts w:ascii="Times New Roman" w:cs="Times New Roman" w:eastAsia="Times New Roman" w:hAnsi="Times New Roman"/>
          <w:sz w:val="16"/>
          <w:szCs w:val="16"/>
          <w:color w:val="auto"/>
        </w:rPr>
        <w:t>”), pursuant to which the Co-Sponsor purchased 4,450,000 warrants and the Co-Sponsor II purchased 2,225,000 warrants, for an aggregate purchase of 6,675,000 warrants, each for a purchase price of $1.00 per warrant (the “</w:t>
      </w:r>
      <w:r>
        <w:rPr>
          <w:rFonts w:ascii="Times New Roman" w:cs="Times New Roman" w:eastAsia="Times New Roman" w:hAnsi="Times New Roman"/>
          <w:sz w:val="16"/>
          <w:szCs w:val="16"/>
          <w:b w:val="1"/>
          <w:bCs w:val="1"/>
          <w:color w:val="auto"/>
        </w:rPr>
        <w:t>Private Warrants</w:t>
      </w:r>
      <w:r>
        <w:rPr>
          <w:rFonts w:ascii="Times New Roman" w:cs="Times New Roman" w:eastAsia="Times New Roman" w:hAnsi="Times New Roman"/>
          <w:sz w:val="16"/>
          <w:szCs w:val="16"/>
          <w:color w:val="auto"/>
        </w:rPr>
        <w:t>”, together with the Public Warrants, the “</w:t>
      </w:r>
      <w:r>
        <w:rPr>
          <w:rFonts w:ascii="Times New Roman" w:cs="Times New Roman" w:eastAsia="Times New Roman" w:hAnsi="Times New Roman"/>
          <w:sz w:val="16"/>
          <w:szCs w:val="16"/>
          <w:b w:val="1"/>
          <w:bCs w:val="1"/>
          <w:color w:val="auto"/>
        </w:rPr>
        <w:t>Initial Warrants</w:t>
      </w:r>
      <w:r>
        <w:rPr>
          <w:rFonts w:ascii="Times New Roman" w:cs="Times New Roman" w:eastAsia="Times New Roman" w:hAnsi="Times New Roman"/>
          <w:sz w:val="16"/>
          <w:szCs w:val="16"/>
          <w:color w:val="auto"/>
        </w:rPr>
        <w:t>”), each whole Private Warrant entitling its holder to purchase one share of Common Stock (“</w:t>
      </w:r>
      <w:r>
        <w:rPr>
          <w:rFonts w:ascii="Times New Roman" w:cs="Times New Roman" w:eastAsia="Times New Roman" w:hAnsi="Times New Roman"/>
          <w:sz w:val="16"/>
          <w:szCs w:val="16"/>
          <w:b w:val="1"/>
          <w:bCs w:val="1"/>
          <w:color w:val="auto"/>
        </w:rPr>
        <w:t>Private Warrant Shares</w:t>
      </w:r>
      <w:r>
        <w:rPr>
          <w:rFonts w:ascii="Times New Roman" w:cs="Times New Roman" w:eastAsia="Times New Roman" w:hAnsi="Times New Roman"/>
          <w:sz w:val="16"/>
          <w:szCs w:val="16"/>
          <w:color w:val="auto"/>
        </w:rPr>
        <w:t>”, and together with the Public Warrant Shares, the “</w:t>
      </w:r>
      <w:r>
        <w:rPr>
          <w:rFonts w:ascii="Times New Roman" w:cs="Times New Roman" w:eastAsia="Times New Roman" w:hAnsi="Times New Roman"/>
          <w:sz w:val="16"/>
          <w:szCs w:val="16"/>
          <w:b w:val="1"/>
          <w:bCs w:val="1"/>
          <w:color w:val="auto"/>
        </w:rPr>
        <w:t>Initial Warrant Shares</w:t>
      </w:r>
      <w:r>
        <w:rPr>
          <w:rFonts w:ascii="Times New Roman" w:cs="Times New Roman" w:eastAsia="Times New Roman" w:hAnsi="Times New Roman"/>
          <w:sz w:val="16"/>
          <w:szCs w:val="16"/>
          <w:color w:val="auto"/>
        </w:rPr>
        <w:t>”);</w:t>
      </w:r>
    </w:p>
    <w:p>
      <w:pPr>
        <w:spacing w:after="0" w:line="1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WHEREAS, the Company, Co-Sponsor and Co-Sponsor II desire to cancel 900,000 of the Private Warrants on a pro-rata basis between Co-Sponsor and Co-Sponsor II;</w:t>
      </w:r>
    </w:p>
    <w:p>
      <w:pPr>
        <w:spacing w:after="0" w:line="196" w:lineRule="exact"/>
        <w:rPr>
          <w:sz w:val="20"/>
          <w:szCs w:val="20"/>
          <w:color w:val="auto"/>
        </w:rPr>
      </w:pPr>
    </w:p>
    <w:p>
      <w:pPr>
        <w:jc w:val="both"/>
        <w:ind w:right="20" w:firstLine="382"/>
        <w:spacing w:after="0" w:line="266" w:lineRule="auto"/>
        <w:rPr>
          <w:sz w:val="20"/>
          <w:szCs w:val="20"/>
          <w:color w:val="auto"/>
        </w:rPr>
      </w:pPr>
      <w:r>
        <w:rPr>
          <w:rFonts w:ascii="Times New Roman" w:cs="Times New Roman" w:eastAsia="Times New Roman" w:hAnsi="Times New Roman"/>
          <w:sz w:val="16"/>
          <w:szCs w:val="16"/>
          <w:color w:val="auto"/>
        </w:rPr>
        <w:t>WHEREAS, the Company and Warrant Agent entered into that certain Warrant Agreement, dated as of December 23, 2020 (the “</w:t>
      </w:r>
      <w:r>
        <w:rPr>
          <w:rFonts w:ascii="Times New Roman" w:cs="Times New Roman" w:eastAsia="Times New Roman" w:hAnsi="Times New Roman"/>
          <w:sz w:val="16"/>
          <w:szCs w:val="16"/>
          <w:b w:val="1"/>
          <w:bCs w:val="1"/>
          <w:color w:val="auto"/>
        </w:rPr>
        <w:t>Original Warrant Agreement</w:t>
      </w:r>
      <w:r>
        <w:rPr>
          <w:rFonts w:ascii="Times New Roman" w:cs="Times New Roman" w:eastAsia="Times New Roman" w:hAnsi="Times New Roman"/>
          <w:sz w:val="16"/>
          <w:szCs w:val="16"/>
          <w:color w:val="auto"/>
        </w:rPr>
        <w:t>”), which provides for the form and provisions of the Initial Warrants, the terms upon which they shall be issued and exercised, and the respective rights, limitations of rights, and immunities of the Company, the Warrant Agent and the holders of the Initial Warrants;</w:t>
      </w:r>
    </w:p>
    <w:p>
      <w:pPr>
        <w:spacing w:after="0" w:line="153" w:lineRule="exact"/>
        <w:rPr>
          <w:sz w:val="20"/>
          <w:szCs w:val="20"/>
          <w:color w:val="auto"/>
        </w:rPr>
      </w:pPr>
    </w:p>
    <w:p>
      <w:pPr>
        <w:jc w:val="both"/>
        <w:ind w:firstLine="382"/>
        <w:spacing w:after="0" w:line="266" w:lineRule="auto"/>
        <w:rPr>
          <w:sz w:val="20"/>
          <w:szCs w:val="20"/>
          <w:color w:val="auto"/>
        </w:rPr>
      </w:pPr>
      <w:r>
        <w:rPr>
          <w:rFonts w:ascii="Times New Roman" w:cs="Times New Roman" w:eastAsia="Times New Roman" w:hAnsi="Times New Roman"/>
          <w:sz w:val="16"/>
          <w:szCs w:val="16"/>
          <w:color w:val="auto"/>
        </w:rPr>
        <w:t>WHEREAS, the Company has filed with the Securities and Exchange Commission (the “</w:t>
      </w:r>
      <w:r>
        <w:rPr>
          <w:rFonts w:ascii="Times New Roman" w:cs="Times New Roman" w:eastAsia="Times New Roman" w:hAnsi="Times New Roman"/>
          <w:sz w:val="16"/>
          <w:szCs w:val="16"/>
          <w:b w:val="1"/>
          <w:bCs w:val="1"/>
          <w:color w:val="auto"/>
        </w:rPr>
        <w:t>SEC</w:t>
      </w:r>
      <w:r>
        <w:rPr>
          <w:rFonts w:ascii="Times New Roman" w:cs="Times New Roman" w:eastAsia="Times New Roman" w:hAnsi="Times New Roman"/>
          <w:sz w:val="16"/>
          <w:szCs w:val="16"/>
          <w:color w:val="auto"/>
        </w:rPr>
        <w:t>”), and the SEC has declared effective, a Registration Statement on Form S-1, No. 333-251048 (“</w:t>
      </w:r>
      <w:r>
        <w:rPr>
          <w:rFonts w:ascii="Times New Roman" w:cs="Times New Roman" w:eastAsia="Times New Roman" w:hAnsi="Times New Roman"/>
          <w:sz w:val="16"/>
          <w:szCs w:val="16"/>
          <w:b w:val="1"/>
          <w:bCs w:val="1"/>
          <w:color w:val="auto"/>
        </w:rPr>
        <w:t>Registration Statement</w:t>
      </w:r>
      <w:r>
        <w:rPr>
          <w:rFonts w:ascii="Times New Roman" w:cs="Times New Roman" w:eastAsia="Times New Roman" w:hAnsi="Times New Roman"/>
          <w:sz w:val="16"/>
          <w:szCs w:val="16"/>
          <w:color w:val="auto"/>
        </w:rPr>
        <w:t>”), for the registration, under the Securities Act of 1933, as amended (the “</w:t>
      </w:r>
      <w:r>
        <w:rPr>
          <w:rFonts w:ascii="Times New Roman" w:cs="Times New Roman" w:eastAsia="Times New Roman" w:hAnsi="Times New Roman"/>
          <w:sz w:val="16"/>
          <w:szCs w:val="16"/>
          <w:b w:val="1"/>
          <w:bCs w:val="1"/>
          <w:color w:val="auto"/>
        </w:rPr>
        <w:t>Act</w:t>
      </w:r>
      <w:r>
        <w:rPr>
          <w:rFonts w:ascii="Times New Roman" w:cs="Times New Roman" w:eastAsia="Times New Roman" w:hAnsi="Times New Roman"/>
          <w:sz w:val="16"/>
          <w:szCs w:val="16"/>
          <w:color w:val="auto"/>
        </w:rPr>
        <w:t>”) relating to the issuance of, among other securities, the Public Warrants;</w:t>
      </w:r>
    </w:p>
    <w:p>
      <w:pPr>
        <w:spacing w:after="0" w:line="153" w:lineRule="exact"/>
        <w:rPr>
          <w:sz w:val="20"/>
          <w:szCs w:val="20"/>
          <w:color w:val="auto"/>
        </w:rPr>
      </w:pPr>
    </w:p>
    <w:p>
      <w:pPr>
        <w:jc w:val="both"/>
        <w:ind w:right="20" w:firstLine="382"/>
        <w:spacing w:after="0" w:line="257" w:lineRule="auto"/>
        <w:rPr>
          <w:sz w:val="20"/>
          <w:szCs w:val="20"/>
          <w:color w:val="auto"/>
        </w:rPr>
      </w:pPr>
      <w:r>
        <w:rPr>
          <w:rFonts w:ascii="Times New Roman" w:cs="Times New Roman" w:eastAsia="Times New Roman" w:hAnsi="Times New Roman"/>
          <w:sz w:val="16"/>
          <w:szCs w:val="16"/>
          <w:color w:val="auto"/>
        </w:rPr>
        <w:t>WHEREAS, the Company, Ventoux Merger Sub I, Inc. (“</w:t>
      </w:r>
      <w:r>
        <w:rPr>
          <w:rFonts w:ascii="Times New Roman" w:cs="Times New Roman" w:eastAsia="Times New Roman" w:hAnsi="Times New Roman"/>
          <w:sz w:val="16"/>
          <w:szCs w:val="16"/>
          <w:b w:val="1"/>
          <w:bCs w:val="1"/>
          <w:color w:val="auto"/>
        </w:rPr>
        <w:t>First Merger Sub</w:t>
      </w:r>
      <w:r>
        <w:rPr>
          <w:rFonts w:ascii="Times New Roman" w:cs="Times New Roman" w:eastAsia="Times New Roman" w:hAnsi="Times New Roman"/>
          <w:sz w:val="16"/>
          <w:szCs w:val="16"/>
          <w:color w:val="auto"/>
        </w:rPr>
        <w:t>”), Ventoux Merger Sub II, LLC (“</w:t>
      </w:r>
      <w:r>
        <w:rPr>
          <w:rFonts w:ascii="Times New Roman" w:cs="Times New Roman" w:eastAsia="Times New Roman" w:hAnsi="Times New Roman"/>
          <w:sz w:val="16"/>
          <w:szCs w:val="16"/>
          <w:b w:val="1"/>
          <w:bCs w:val="1"/>
          <w:color w:val="auto"/>
        </w:rPr>
        <w:t>Second Merger Sub</w:t>
      </w:r>
      <w:r>
        <w:rPr>
          <w:rFonts w:ascii="Times New Roman" w:cs="Times New Roman" w:eastAsia="Times New Roman" w:hAnsi="Times New Roman"/>
          <w:sz w:val="16"/>
          <w:szCs w:val="16"/>
          <w:color w:val="auto"/>
        </w:rPr>
        <w:t>”) and E La Carte, Inc. (the “</w:t>
      </w:r>
      <w:r>
        <w:rPr>
          <w:rFonts w:ascii="Times New Roman" w:cs="Times New Roman" w:eastAsia="Times New Roman" w:hAnsi="Times New Roman"/>
          <w:sz w:val="16"/>
          <w:szCs w:val="16"/>
          <w:b w:val="1"/>
          <w:bCs w:val="1"/>
          <w:color w:val="auto"/>
        </w:rPr>
        <w:t>Target</w:t>
      </w:r>
      <w:r>
        <w:rPr>
          <w:rFonts w:ascii="Times New Roman" w:cs="Times New Roman" w:eastAsia="Times New Roman" w:hAnsi="Times New Roman"/>
          <w:sz w:val="16"/>
          <w:szCs w:val="16"/>
          <w:color w:val="auto"/>
        </w:rPr>
        <w:t>”) have entered into that certain Agreement and Plan of Merger, dated as of November 10, 2021 (as amended, the “</w:t>
      </w:r>
      <w:r>
        <w:rPr>
          <w:rFonts w:ascii="Times New Roman" w:cs="Times New Roman" w:eastAsia="Times New Roman" w:hAnsi="Times New Roman"/>
          <w:sz w:val="16"/>
          <w:szCs w:val="16"/>
          <w:b w:val="1"/>
          <w:bCs w:val="1"/>
          <w:color w:val="auto"/>
        </w:rPr>
        <w:t>Merger Agreement</w:t>
      </w:r>
      <w:r>
        <w:rPr>
          <w:rFonts w:ascii="Times New Roman" w:cs="Times New Roman" w:eastAsia="Times New Roman" w:hAnsi="Times New Roman"/>
          <w:sz w:val="16"/>
          <w:szCs w:val="16"/>
          <w:color w:val="auto"/>
        </w:rPr>
        <w:t>”), pursuant to which (and subject to the terms and conditions set forth therein) First Merger Sub will merge with and into the Target, with the Target surviving such merger as a wholly-owned subsidiary of the Company (the “</w:t>
      </w:r>
      <w:r>
        <w:rPr>
          <w:rFonts w:ascii="Times New Roman" w:cs="Times New Roman" w:eastAsia="Times New Roman" w:hAnsi="Times New Roman"/>
          <w:sz w:val="16"/>
          <w:szCs w:val="16"/>
          <w:b w:val="1"/>
          <w:bCs w:val="1"/>
          <w:color w:val="auto"/>
        </w:rPr>
        <w:t>First Merger</w:t>
      </w:r>
      <w:r>
        <w:rPr>
          <w:rFonts w:ascii="Times New Roman" w:cs="Times New Roman" w:eastAsia="Times New Roman" w:hAnsi="Times New Roman"/>
          <w:sz w:val="16"/>
          <w:szCs w:val="16"/>
          <w:color w:val="auto"/>
        </w:rPr>
        <w:t>”), and immediately following the First Merger, the surviving corporation will merge with and into Second Merger Sub, with Second Merger Sub continuing on as the surviving entity as a wholly-owned subsidiary of the Company (the merger transactions collectively referred to as the “</w:t>
      </w:r>
      <w:r>
        <w:rPr>
          <w:rFonts w:ascii="Times New Roman" w:cs="Times New Roman" w:eastAsia="Times New Roman" w:hAnsi="Times New Roman"/>
          <w:sz w:val="16"/>
          <w:szCs w:val="16"/>
          <w:b w:val="1"/>
          <w:bCs w:val="1"/>
          <w:color w:val="auto"/>
        </w:rPr>
        <w:t>Merger</w:t>
      </w:r>
      <w:r>
        <w:rPr>
          <w:rFonts w:ascii="Times New Roman" w:cs="Times New Roman" w:eastAsia="Times New Roman" w:hAnsi="Times New Roman"/>
          <w:sz w:val="16"/>
          <w:szCs w:val="16"/>
          <w:color w:val="auto"/>
        </w:rPr>
        <w:t>”);</w:t>
      </w:r>
    </w:p>
    <w:p>
      <w:pPr>
        <w:spacing w:after="0" w:line="164" w:lineRule="exact"/>
        <w:rPr>
          <w:sz w:val="20"/>
          <w:szCs w:val="20"/>
          <w:color w:val="auto"/>
        </w:rPr>
      </w:pPr>
    </w:p>
    <w:p>
      <w:pPr>
        <w:jc w:val="both"/>
        <w:ind w:firstLine="382"/>
        <w:spacing w:after="0" w:line="255" w:lineRule="auto"/>
        <w:rPr>
          <w:sz w:val="20"/>
          <w:szCs w:val="20"/>
          <w:color w:val="auto"/>
        </w:rPr>
      </w:pPr>
      <w:r>
        <w:rPr>
          <w:rFonts w:ascii="Times New Roman" w:cs="Times New Roman" w:eastAsia="Times New Roman" w:hAnsi="Times New Roman"/>
          <w:sz w:val="16"/>
          <w:szCs w:val="16"/>
          <w:color w:val="auto"/>
        </w:rPr>
        <w:t>WHEREAS, the Company has, concurrently with entering into the Merger Agreement, entered into a Subscription Agreement, dated as of November 10, 2021 (as amended, the “</w:t>
      </w:r>
      <w:r>
        <w:rPr>
          <w:rFonts w:ascii="Times New Roman" w:cs="Times New Roman" w:eastAsia="Times New Roman" w:hAnsi="Times New Roman"/>
          <w:sz w:val="16"/>
          <w:szCs w:val="16"/>
          <w:b w:val="1"/>
          <w:bCs w:val="1"/>
          <w:i w:val="1"/>
          <w:iCs w:val="1"/>
          <w:color w:val="auto"/>
        </w:rPr>
        <w:t>Subscription Agreement</w:t>
      </w:r>
      <w:r>
        <w:rPr>
          <w:rFonts w:ascii="Times New Roman" w:cs="Times New Roman" w:eastAsia="Times New Roman" w:hAnsi="Times New Roman"/>
          <w:sz w:val="16"/>
          <w:szCs w:val="16"/>
          <w:color w:val="auto"/>
        </w:rPr>
        <w:t>”) with a certain investor (the “</w:t>
      </w:r>
      <w:r>
        <w:rPr>
          <w:rFonts w:ascii="Times New Roman" w:cs="Times New Roman" w:eastAsia="Times New Roman" w:hAnsi="Times New Roman"/>
          <w:sz w:val="16"/>
          <w:szCs w:val="16"/>
          <w:b w:val="1"/>
          <w:bCs w:val="1"/>
          <w:i w:val="1"/>
          <w:iCs w:val="1"/>
          <w:color w:val="auto"/>
        </w:rPr>
        <w:t>Subscriber</w:t>
      </w:r>
      <w:r>
        <w:rPr>
          <w:rFonts w:ascii="Times New Roman" w:cs="Times New Roman" w:eastAsia="Times New Roman" w:hAnsi="Times New Roman"/>
          <w:sz w:val="16"/>
          <w:szCs w:val="16"/>
          <w:color w:val="auto"/>
        </w:rPr>
        <w:t>”), pursuant to which the Subscriber has agreed to subscribe for and purchase, and the Company has agreed to issue and sell to the Subscriber, effective as of immediately prior to the effective time of the Merger, (a) an aggregate principal amount of $25,000,000 of Company’s 15.0% Cash + 5.0% PIK notes due 2026 (the “</w:t>
      </w:r>
      <w:r>
        <w:rPr>
          <w:rFonts w:ascii="Times New Roman" w:cs="Times New Roman" w:eastAsia="Times New Roman" w:hAnsi="Times New Roman"/>
          <w:sz w:val="16"/>
          <w:szCs w:val="16"/>
          <w:b w:val="1"/>
          <w:bCs w:val="1"/>
          <w:color w:val="auto"/>
        </w:rPr>
        <w:t>Notes</w:t>
      </w:r>
      <w:r>
        <w:rPr>
          <w:rFonts w:ascii="Times New Roman" w:cs="Times New Roman" w:eastAsia="Times New Roman" w:hAnsi="Times New Roman"/>
          <w:sz w:val="16"/>
          <w:szCs w:val="16"/>
          <w:color w:val="auto"/>
        </w:rPr>
        <w:t>”), which are convertible into shares of Common Stock, and (b) warrants to purchase an aggregate of 1,500,000 shares of Common Stock (the “</w:t>
      </w:r>
      <w:r>
        <w:rPr>
          <w:rFonts w:ascii="Times New Roman" w:cs="Times New Roman" w:eastAsia="Times New Roman" w:hAnsi="Times New Roman"/>
          <w:sz w:val="16"/>
          <w:szCs w:val="16"/>
          <w:b w:val="1"/>
          <w:bCs w:val="1"/>
          <w:color w:val="auto"/>
        </w:rPr>
        <w:t>Notes Warrant Shares</w:t>
      </w:r>
      <w:r>
        <w:rPr>
          <w:rFonts w:ascii="Times New Roman" w:cs="Times New Roman" w:eastAsia="Times New Roman" w:hAnsi="Times New Roman"/>
          <w:sz w:val="16"/>
          <w:szCs w:val="16"/>
          <w:color w:val="auto"/>
        </w:rPr>
        <w:t>” and together with the Initial Warrant Shares, the “</w:t>
      </w:r>
      <w:r>
        <w:rPr>
          <w:rFonts w:ascii="Times New Roman" w:cs="Times New Roman" w:eastAsia="Times New Roman" w:hAnsi="Times New Roman"/>
          <w:sz w:val="16"/>
          <w:szCs w:val="16"/>
          <w:b w:val="1"/>
          <w:bCs w:val="1"/>
          <w:color w:val="auto"/>
        </w:rPr>
        <w:t>Warrant Shares</w:t>
      </w:r>
      <w:r>
        <w:rPr>
          <w:rFonts w:ascii="Times New Roman" w:cs="Times New Roman" w:eastAsia="Times New Roman" w:hAnsi="Times New Roman"/>
          <w:sz w:val="16"/>
          <w:szCs w:val="16"/>
          <w:color w:val="auto"/>
        </w:rPr>
        <w:t>”) for an initial exercise price of $11.50 per share of Common Stock (the “</w:t>
      </w:r>
      <w:r>
        <w:rPr>
          <w:rFonts w:ascii="Times New Roman" w:cs="Times New Roman" w:eastAsia="Times New Roman" w:hAnsi="Times New Roman"/>
          <w:sz w:val="16"/>
          <w:szCs w:val="16"/>
          <w:b w:val="1"/>
          <w:bCs w:val="1"/>
          <w:color w:val="auto"/>
        </w:rPr>
        <w:t>Note Financing Warrants</w:t>
      </w:r>
      <w:r>
        <w:rPr>
          <w:rFonts w:ascii="Times New Roman" w:cs="Times New Roman" w:eastAsia="Times New Roman" w:hAnsi="Times New Roman"/>
          <w:sz w:val="16"/>
          <w:szCs w:val="16"/>
          <w:color w:val="auto"/>
        </w:rPr>
        <w:t>” and, together with the Initial Warrants, the “</w:t>
      </w:r>
      <w:r>
        <w:rPr>
          <w:rFonts w:ascii="Times New Roman" w:cs="Times New Roman" w:eastAsia="Times New Roman" w:hAnsi="Times New Roman"/>
          <w:sz w:val="16"/>
          <w:szCs w:val="16"/>
          <w:b w:val="1"/>
          <w:bCs w:val="1"/>
          <w:color w:val="auto"/>
        </w:rPr>
        <w:t>Warrants</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373380</wp:posOffset>
            </wp:positionV>
            <wp:extent cx="7148195" cy="152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79" w:name="page180"/>
    <w:bookmarkEnd w:id="179"/>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WHEREAS, each Public Warrant entitles the holder thereof to purchase one-half of one share of Common Stock at a price of $8.21 per whole share; and each Private Warrant and Note Financing Warrant entitles the holder thereof to purchase one share of Common Stock for $11.50 per share, subject to adjustment as described herein;</w:t>
      </w:r>
    </w:p>
    <w:p>
      <w:pPr>
        <w:spacing w:after="0" w:line="144" w:lineRule="exact"/>
        <w:rPr>
          <w:sz w:val="20"/>
          <w:szCs w:val="20"/>
          <w:color w:val="auto"/>
        </w:rPr>
      </w:pPr>
    </w:p>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WHEREAS, the Company desires the Warrant Agent to act on behalf of the Company, and the Warrant Agent is willing to so act, in connection with the issuance, registration, transfer, exchange, redemption and exercise of the Warrants;</w:t>
      </w:r>
    </w:p>
    <w:p>
      <w:pPr>
        <w:spacing w:after="0" w:line="144" w:lineRule="exact"/>
        <w:rPr>
          <w:sz w:val="20"/>
          <w:szCs w:val="20"/>
          <w:color w:val="auto"/>
        </w:rPr>
      </w:pPr>
    </w:p>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WHEREAS, the Company desires to provide for the form, terms and provisions of the Warrants, including the terms upon which they shall be issued and exercised, and the respective rights, limitation of rights, and immunities of the Company, the Warrant Agent, and the holders of the Warrants;</w:t>
      </w:r>
    </w:p>
    <w:p>
      <w:pPr>
        <w:spacing w:after="0" w:line="144" w:lineRule="exact"/>
        <w:rPr>
          <w:sz w:val="20"/>
          <w:szCs w:val="20"/>
          <w:color w:val="auto"/>
        </w:rPr>
      </w:pPr>
    </w:p>
    <w:p>
      <w:pPr>
        <w:jc w:val="both"/>
        <w:ind w:firstLine="382"/>
        <w:spacing w:after="0" w:line="265" w:lineRule="auto"/>
        <w:rPr>
          <w:sz w:val="20"/>
          <w:szCs w:val="20"/>
          <w:color w:val="auto"/>
        </w:rPr>
      </w:pPr>
      <w:r>
        <w:rPr>
          <w:rFonts w:ascii="Times New Roman" w:cs="Times New Roman" w:eastAsia="Times New Roman" w:hAnsi="Times New Roman"/>
          <w:sz w:val="16"/>
          <w:szCs w:val="16"/>
          <w:color w:val="auto"/>
        </w:rPr>
        <w:t>WHEREAS, in connection with the foregoing, the Company and the Warrant Agent desire to amend and restate the Original Warrant Agreement in the form of this Agreement, in accordance with Section 9.8 of the Original Warrant Agreement, such that this Agreement will take effect and supersede the Original Warrant Agreement in its entirety as of immediately prior to the effective time of the Merger (concurrently with the issuance of the Note Financing Warrants); and</w:t>
      </w:r>
    </w:p>
    <w:p>
      <w:pPr>
        <w:spacing w:after="0" w:line="155" w:lineRule="exact"/>
        <w:rPr>
          <w:sz w:val="20"/>
          <w:szCs w:val="20"/>
          <w:color w:val="auto"/>
        </w:rPr>
      </w:pPr>
    </w:p>
    <w:p>
      <w:pPr>
        <w:jc w:val="both"/>
        <w:ind w:firstLine="382"/>
        <w:spacing w:after="0" w:line="265" w:lineRule="auto"/>
        <w:rPr>
          <w:sz w:val="20"/>
          <w:szCs w:val="20"/>
          <w:color w:val="auto"/>
        </w:rPr>
      </w:pPr>
      <w:r>
        <w:rPr>
          <w:rFonts w:ascii="Times New Roman" w:cs="Times New Roman" w:eastAsia="Times New Roman" w:hAnsi="Times New Roman"/>
          <w:sz w:val="16"/>
          <w:szCs w:val="16"/>
          <w:color w:val="auto"/>
        </w:rPr>
        <w:t>WHEREAS, all acts and things have been done and performed which are necessary to make the Warrants, when executed on behalf of the Company and countersigned by or on behalf of the Warrant Agent, as provided herein, the legally valid and binding obligations of the Company, and to authorize the execution and delivery of this Warrant Agreement.</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NOW, THEREFORE, in consideration of the mutual agreements herein contained, the parties hereto agree as follows:</w:t>
      </w:r>
    </w:p>
    <w:p>
      <w:pPr>
        <w:spacing w:after="0" w:line="198" w:lineRule="exact"/>
        <w:rPr>
          <w:sz w:val="20"/>
          <w:szCs w:val="20"/>
          <w:color w:val="auto"/>
        </w:rPr>
      </w:pPr>
    </w:p>
    <w:p>
      <w:pPr>
        <w:ind w:right="20" w:firstLine="378"/>
        <w:spacing w:after="0" w:line="280" w:lineRule="auto"/>
        <w:tabs>
          <w:tab w:leader="none" w:pos="554" w:val="left"/>
        </w:tabs>
        <w:numPr>
          <w:ilvl w:val="0"/>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Appointment of Warrant Agent</w:t>
      </w:r>
      <w:r>
        <w:rPr>
          <w:rFonts w:ascii="Times New Roman" w:cs="Times New Roman" w:eastAsia="Times New Roman" w:hAnsi="Times New Roman"/>
          <w:sz w:val="16"/>
          <w:szCs w:val="16"/>
          <w:color w:val="auto"/>
        </w:rPr>
        <w:t>. The Company hereby appoints the Warrant Agent to act as agent for the Company for the Warrants, and the Warrant Agent hereby accepts such appointment and agrees to perform the same in accordance with the terms and conditions set forth in this Warrant Agreement.</w:t>
      </w:r>
    </w:p>
    <w:p>
      <w:pPr>
        <w:spacing w:after="0" w:line="144" w:lineRule="exact"/>
        <w:rPr>
          <w:rFonts w:ascii="Times New Roman" w:cs="Times New Roman" w:eastAsia="Times New Roman" w:hAnsi="Times New Roman"/>
          <w:sz w:val="16"/>
          <w:szCs w:val="16"/>
          <w:color w:val="auto"/>
        </w:rPr>
      </w:pPr>
    </w:p>
    <w:p>
      <w:pPr>
        <w:ind w:left="540" w:hanging="162"/>
        <w:spacing w:after="0"/>
        <w:tabs>
          <w:tab w:leader="none" w:pos="540" w:val="left"/>
        </w:tabs>
        <w:numPr>
          <w:ilvl w:val="0"/>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Warrants</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jc w:val="both"/>
        <w:ind w:right="20" w:firstLine="382"/>
        <w:spacing w:after="0" w:line="257" w:lineRule="auto"/>
        <w:rPr>
          <w:sz w:val="20"/>
          <w:szCs w:val="20"/>
          <w:color w:val="auto"/>
        </w:rPr>
      </w:pPr>
      <w:r>
        <w:rPr>
          <w:rFonts w:ascii="Times New Roman" w:cs="Times New Roman" w:eastAsia="Times New Roman" w:hAnsi="Times New Roman"/>
          <w:sz w:val="16"/>
          <w:szCs w:val="16"/>
          <w:color w:val="auto"/>
        </w:rPr>
        <w:t xml:space="preserve">2.1 </w:t>
      </w:r>
      <w:r>
        <w:rPr>
          <w:rFonts w:ascii="Times New Roman" w:cs="Times New Roman" w:eastAsia="Times New Roman" w:hAnsi="Times New Roman"/>
          <w:sz w:val="16"/>
          <w:szCs w:val="16"/>
          <w:u w:val="single" w:color="auto"/>
          <w:color w:val="auto"/>
        </w:rPr>
        <w:t>Form of Warrant</w:t>
      </w:r>
      <w:r>
        <w:rPr>
          <w:rFonts w:ascii="Times New Roman" w:cs="Times New Roman" w:eastAsia="Times New Roman" w:hAnsi="Times New Roman"/>
          <w:sz w:val="16"/>
          <w:szCs w:val="16"/>
          <w:color w:val="auto"/>
        </w:rPr>
        <w:t xml:space="preserve">. Each Warrant other than a Private Warrant shall be: (a) issued in registered form only, (b) in substantially the form of </w:t>
      </w:r>
      <w:r>
        <w:rPr>
          <w:rFonts w:ascii="Times New Roman" w:cs="Times New Roman" w:eastAsia="Times New Roman" w:hAnsi="Times New Roman"/>
          <w:sz w:val="16"/>
          <w:szCs w:val="16"/>
          <w:b w:val="1"/>
          <w:bCs w:val="1"/>
          <w:color w:val="auto"/>
        </w:rPr>
        <w:t>Exhibit A</w:t>
      </w:r>
      <w:r>
        <w:rPr>
          <w:rFonts w:ascii="Times New Roman" w:cs="Times New Roman" w:eastAsia="Times New Roman" w:hAnsi="Times New Roman"/>
          <w:sz w:val="16"/>
          <w:szCs w:val="16"/>
          <w:color w:val="auto"/>
        </w:rPr>
        <w:t xml:space="preserve"> hereto, the provisions of which are incorporated herein and (c) signed by, or bear the facsimile signature of, the Chairman of the Board, the Chief Executive Officer or the Chief Financial Officer of the Company. The Note Financing Warrants shall be identical to the Public Warrants, except that the Note Financing Warrants shall be exercisable for one share of Common Stock. In the event the person whose facsimile signature has been placed upon any Warrant shall have ceased to serve in the capacity in which such person signed the Warrant before such Warrant is issued, it may be issued with the same effect as if he or she had not ceased to be such at the date of issuance.</w:t>
      </w:r>
    </w:p>
    <w:p>
      <w:pPr>
        <w:spacing w:after="0" w:line="164" w:lineRule="exact"/>
        <w:rPr>
          <w:sz w:val="20"/>
          <w:szCs w:val="20"/>
          <w:color w:val="auto"/>
        </w:rPr>
      </w:pPr>
    </w:p>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 xml:space="preserve">2.2 </w:t>
      </w:r>
      <w:r>
        <w:rPr>
          <w:rFonts w:ascii="Times New Roman" w:cs="Times New Roman" w:eastAsia="Times New Roman" w:hAnsi="Times New Roman"/>
          <w:sz w:val="16"/>
          <w:szCs w:val="16"/>
          <w:u w:val="single" w:color="auto"/>
          <w:color w:val="auto"/>
        </w:rPr>
        <w:t>Effect of Countersignature</w:t>
      </w:r>
      <w:r>
        <w:rPr>
          <w:rFonts w:ascii="Times New Roman" w:cs="Times New Roman" w:eastAsia="Times New Roman" w:hAnsi="Times New Roman"/>
          <w:sz w:val="16"/>
          <w:szCs w:val="16"/>
          <w:color w:val="auto"/>
        </w:rPr>
        <w:t>. Unless and until countersigned by the Warrant Agent pursuant to this Warrant Agreement, a Warrant shall be invalid and of no effect and may not be exercised by the holder thereof.</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2.3 </w:t>
      </w:r>
      <w:r>
        <w:rPr>
          <w:rFonts w:ascii="Times New Roman" w:cs="Times New Roman" w:eastAsia="Times New Roman" w:hAnsi="Times New Roman"/>
          <w:sz w:val="16"/>
          <w:szCs w:val="16"/>
          <w:u w:val="single" w:color="auto"/>
          <w:color w:val="auto"/>
        </w:rPr>
        <w:t>Registration</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jc w:val="both"/>
        <w:ind w:right="20" w:firstLine="382"/>
        <w:spacing w:after="0" w:line="266" w:lineRule="auto"/>
        <w:rPr>
          <w:sz w:val="20"/>
          <w:szCs w:val="20"/>
          <w:color w:val="auto"/>
        </w:rPr>
      </w:pPr>
      <w:r>
        <w:rPr>
          <w:rFonts w:ascii="Times New Roman" w:cs="Times New Roman" w:eastAsia="Times New Roman" w:hAnsi="Times New Roman"/>
          <w:sz w:val="16"/>
          <w:szCs w:val="16"/>
          <w:color w:val="auto"/>
        </w:rPr>
        <w:t xml:space="preserve">2.3.1 </w:t>
      </w:r>
      <w:r>
        <w:rPr>
          <w:rFonts w:ascii="Times New Roman" w:cs="Times New Roman" w:eastAsia="Times New Roman" w:hAnsi="Times New Roman"/>
          <w:sz w:val="16"/>
          <w:szCs w:val="16"/>
          <w:u w:val="single" w:color="auto"/>
          <w:color w:val="auto"/>
        </w:rPr>
        <w:t>Warrant Register</w:t>
      </w:r>
      <w:r>
        <w:rPr>
          <w:rFonts w:ascii="Times New Roman" w:cs="Times New Roman" w:eastAsia="Times New Roman" w:hAnsi="Times New Roman"/>
          <w:sz w:val="16"/>
          <w:szCs w:val="16"/>
          <w:color w:val="auto"/>
        </w:rPr>
        <w:t>. The Warrant Agent shall maintain books (the “</w:t>
      </w:r>
      <w:r>
        <w:rPr>
          <w:rFonts w:ascii="Times New Roman" w:cs="Times New Roman" w:eastAsia="Times New Roman" w:hAnsi="Times New Roman"/>
          <w:sz w:val="16"/>
          <w:szCs w:val="16"/>
          <w:b w:val="1"/>
          <w:bCs w:val="1"/>
          <w:color w:val="auto"/>
        </w:rPr>
        <w:t>Warrant Register</w:t>
      </w:r>
      <w:r>
        <w:rPr>
          <w:rFonts w:ascii="Times New Roman" w:cs="Times New Roman" w:eastAsia="Times New Roman" w:hAnsi="Times New Roman"/>
          <w:sz w:val="16"/>
          <w:szCs w:val="16"/>
          <w:color w:val="auto"/>
        </w:rPr>
        <w:t>”), for the registration of the original issuance and transfers of the Warrants. Upon the initial issuance of the Warrants, the Warrant Agent shall issue and register the Warrants in the names of the respective holders thereof in such denominations and otherwise in accordance with instructions delivered to the Warrant Agent by the Company.</w:t>
      </w:r>
    </w:p>
    <w:p>
      <w:pPr>
        <w:spacing w:after="0" w:line="155"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6"/>
          <w:szCs w:val="16"/>
          <w:color w:val="auto"/>
        </w:rPr>
        <w:t xml:space="preserve">2.3.2 </w:t>
      </w:r>
      <w:r>
        <w:rPr>
          <w:rFonts w:ascii="Times New Roman" w:cs="Times New Roman" w:eastAsia="Times New Roman" w:hAnsi="Times New Roman"/>
          <w:sz w:val="16"/>
          <w:szCs w:val="16"/>
          <w:u w:val="single" w:color="auto"/>
          <w:color w:val="auto"/>
        </w:rPr>
        <w:t>Registered Holder</w:t>
      </w:r>
      <w:r>
        <w:rPr>
          <w:rFonts w:ascii="Times New Roman" w:cs="Times New Roman" w:eastAsia="Times New Roman" w:hAnsi="Times New Roman"/>
          <w:sz w:val="16"/>
          <w:szCs w:val="16"/>
          <w:color w:val="auto"/>
        </w:rPr>
        <w:t>. Prior to due presentment for registration of transfer of any Warrant, the Company and the Warrant Agent may deem and treat the person in whose name such Warrant shall be registered upon the Warrant Register (“</w:t>
      </w:r>
      <w:r>
        <w:rPr>
          <w:rFonts w:ascii="Times New Roman" w:cs="Times New Roman" w:eastAsia="Times New Roman" w:hAnsi="Times New Roman"/>
          <w:sz w:val="16"/>
          <w:szCs w:val="16"/>
          <w:b w:val="1"/>
          <w:bCs w:val="1"/>
          <w:color w:val="auto"/>
        </w:rPr>
        <w:t>Registered Holder</w:t>
      </w:r>
      <w:r>
        <w:rPr>
          <w:rFonts w:ascii="Times New Roman" w:cs="Times New Roman" w:eastAsia="Times New Roman" w:hAnsi="Times New Roman"/>
          <w:sz w:val="16"/>
          <w:szCs w:val="16"/>
          <w:color w:val="auto"/>
        </w:rPr>
        <w:t>”) as the absolute owner of such Warrant and of each Warrant represented thereby (notwithstanding any notation of ownership or other writing on the Warrant certificate made by anyone other than the Company or the Warrant Agent), for the purpose of any exercise thereof, and for all other purposes, and neither the Company nor the Warrant Agent shall be affected by any notice to the contrary.</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80" w:name="page181"/>
    <w:bookmarkEnd w:id="180"/>
    <w:p>
      <w:pPr>
        <w:ind w:left="384"/>
        <w:spacing w:after="0"/>
        <w:rPr>
          <w:sz w:val="20"/>
          <w:szCs w:val="20"/>
          <w:color w:val="auto"/>
        </w:rPr>
      </w:pPr>
      <w:r>
        <w:rPr>
          <w:rFonts w:ascii="Times New Roman" w:cs="Times New Roman" w:eastAsia="Times New Roman" w:hAnsi="Times New Roman"/>
          <w:sz w:val="16"/>
          <w:szCs w:val="16"/>
          <w:color w:val="auto"/>
        </w:rPr>
        <w:t xml:space="preserve">2.4 </w:t>
      </w:r>
      <w:r>
        <w:rPr>
          <w:rFonts w:ascii="Times New Roman" w:cs="Times New Roman" w:eastAsia="Times New Roman" w:hAnsi="Times New Roman"/>
          <w:sz w:val="16"/>
          <w:szCs w:val="16"/>
          <w:u w:val="single" w:color="auto"/>
          <w:color w:val="auto"/>
        </w:rPr>
        <w:t>Reserved.</w:t>
      </w:r>
    </w:p>
    <w:p>
      <w:pPr>
        <w:spacing w:after="0" w:line="198" w:lineRule="exact"/>
        <w:rPr>
          <w:sz w:val="20"/>
          <w:szCs w:val="20"/>
          <w:color w:val="auto"/>
        </w:rPr>
      </w:pPr>
    </w:p>
    <w:p>
      <w:pPr>
        <w:ind w:left="384"/>
        <w:spacing w:after="0"/>
        <w:rPr>
          <w:sz w:val="20"/>
          <w:szCs w:val="20"/>
          <w:color w:val="auto"/>
        </w:rPr>
      </w:pPr>
      <w:r>
        <w:rPr>
          <w:rFonts w:ascii="Times New Roman" w:cs="Times New Roman" w:eastAsia="Times New Roman" w:hAnsi="Times New Roman"/>
          <w:sz w:val="16"/>
          <w:szCs w:val="16"/>
          <w:color w:val="auto"/>
        </w:rPr>
        <w:t xml:space="preserve">2.5 </w:t>
      </w:r>
      <w:r>
        <w:rPr>
          <w:rFonts w:ascii="Times New Roman" w:cs="Times New Roman" w:eastAsia="Times New Roman" w:hAnsi="Times New Roman"/>
          <w:sz w:val="16"/>
          <w:szCs w:val="16"/>
          <w:u w:val="single" w:color="auto"/>
          <w:color w:val="auto"/>
        </w:rPr>
        <w:t>Private Warrants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4" w:right="20" w:firstLine="382"/>
        <w:spacing w:after="0" w:line="280" w:lineRule="auto"/>
        <w:rPr>
          <w:sz w:val="20"/>
          <w:szCs w:val="20"/>
          <w:color w:val="auto"/>
        </w:rPr>
      </w:pPr>
      <w:r>
        <w:rPr>
          <w:rFonts w:ascii="Times New Roman" w:cs="Times New Roman" w:eastAsia="Times New Roman" w:hAnsi="Times New Roman"/>
          <w:sz w:val="16"/>
          <w:szCs w:val="16"/>
          <w:color w:val="auto"/>
        </w:rPr>
        <w:t xml:space="preserve">2.5.1 </w:t>
      </w:r>
      <w:r>
        <w:rPr>
          <w:rFonts w:ascii="Times New Roman" w:cs="Times New Roman" w:eastAsia="Times New Roman" w:hAnsi="Times New Roman"/>
          <w:sz w:val="16"/>
          <w:szCs w:val="16"/>
          <w:u w:val="single" w:color="auto"/>
          <w:color w:val="auto"/>
        </w:rPr>
        <w:t>Cancellation of Certain Private Warrants.</w:t>
      </w:r>
      <w:r>
        <w:rPr>
          <w:rFonts w:ascii="Times New Roman" w:cs="Times New Roman" w:eastAsia="Times New Roman" w:hAnsi="Times New Roman"/>
          <w:sz w:val="16"/>
          <w:szCs w:val="16"/>
          <w:color w:val="auto"/>
        </w:rPr>
        <w:t xml:space="preserve"> Of the 6,675,000 Private Warrants outstanding immediately prior to the execution of this Warrant Agreement, 900,000 Private Warrants shall be cancelled, on a pro rata basis between Co-Sponsor and Co-Sponsor II, effective as of the date hereof.</w:t>
      </w:r>
    </w:p>
    <w:p>
      <w:pPr>
        <w:spacing w:after="0" w:line="144" w:lineRule="exact"/>
        <w:rPr>
          <w:sz w:val="20"/>
          <w:szCs w:val="20"/>
          <w:color w:val="auto"/>
        </w:rPr>
      </w:pPr>
    </w:p>
    <w:p>
      <w:pPr>
        <w:ind w:left="384"/>
        <w:spacing w:after="0"/>
        <w:rPr>
          <w:sz w:val="20"/>
          <w:szCs w:val="20"/>
          <w:color w:val="auto"/>
        </w:rPr>
      </w:pPr>
      <w:r>
        <w:rPr>
          <w:rFonts w:ascii="Times New Roman" w:cs="Times New Roman" w:eastAsia="Times New Roman" w:hAnsi="Times New Roman"/>
          <w:sz w:val="15"/>
          <w:szCs w:val="15"/>
          <w:color w:val="auto"/>
        </w:rPr>
        <w:t xml:space="preserve">2.5.2 </w:t>
      </w:r>
      <w:r>
        <w:rPr>
          <w:rFonts w:ascii="Times New Roman" w:cs="Times New Roman" w:eastAsia="Times New Roman" w:hAnsi="Times New Roman"/>
          <w:sz w:val="15"/>
          <w:szCs w:val="15"/>
          <w:u w:val="single" w:color="auto"/>
          <w:color w:val="auto"/>
        </w:rPr>
        <w:t>Exercise and Redemption</w:t>
      </w:r>
      <w:r>
        <w:rPr>
          <w:rFonts w:ascii="Times New Roman" w:cs="Times New Roman" w:eastAsia="Times New Roman" w:hAnsi="Times New Roman"/>
          <w:sz w:val="15"/>
          <w:szCs w:val="15"/>
          <w:color w:val="auto"/>
        </w:rPr>
        <w:t xml:space="preserve">. The Private Warrants (i) will be exercisable either for cash or on a cashless basis at the holder’s option pursuant to </w:t>
      </w:r>
      <w:r>
        <w:rPr>
          <w:rFonts w:ascii="Times New Roman" w:cs="Times New Roman" w:eastAsia="Times New Roman" w:hAnsi="Times New Roman"/>
          <w:sz w:val="15"/>
          <w:szCs w:val="15"/>
          <w:u w:val="single" w:color="auto"/>
          <w:color w:val="auto"/>
        </w:rPr>
        <w:t>Section 3.3</w:t>
      </w:r>
      <w:r>
        <w:rPr>
          <w:rFonts w:ascii="Times New Roman" w:cs="Times New Roman" w:eastAsia="Times New Roman" w:hAnsi="Times New Roman"/>
          <w:sz w:val="15"/>
          <w:szCs w:val="15"/>
          <w:color w:val="auto"/>
        </w:rPr>
        <w:t xml:space="preserve"> hereof and</w:t>
      </w:r>
    </w:p>
    <w:p>
      <w:pPr>
        <w:spacing w:after="0" w:line="35" w:lineRule="exact"/>
        <w:rPr>
          <w:sz w:val="20"/>
          <w:szCs w:val="20"/>
          <w:color w:val="auto"/>
        </w:rPr>
      </w:pPr>
    </w:p>
    <w:p>
      <w:pPr>
        <w:ind w:left="4" w:right="20" w:hanging="4"/>
        <w:spacing w:after="0" w:line="258" w:lineRule="auto"/>
        <w:tabs>
          <w:tab w:leader="none" w:pos="240" w:val="left"/>
        </w:tabs>
        <w:numPr>
          <w:ilvl w:val="0"/>
          <w:numId w:val="1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will not be redeemable by the Company, in either case as long as the Private Warrants are held by the initial purchasers or any of their permitted transferees (as prescribed in the Subscription Agreements).</w:t>
      </w:r>
    </w:p>
    <w:p>
      <w:pPr>
        <w:spacing w:after="0" w:line="161" w:lineRule="exact"/>
        <w:rPr>
          <w:sz w:val="20"/>
          <w:szCs w:val="20"/>
          <w:color w:val="auto"/>
        </w:rPr>
      </w:pPr>
    </w:p>
    <w:p>
      <w:pPr>
        <w:ind w:left="384"/>
        <w:spacing w:after="0"/>
        <w:rPr>
          <w:sz w:val="20"/>
          <w:szCs w:val="20"/>
          <w:color w:val="auto"/>
        </w:rPr>
      </w:pPr>
      <w:r>
        <w:rPr>
          <w:rFonts w:ascii="Times New Roman" w:cs="Times New Roman" w:eastAsia="Times New Roman" w:hAnsi="Times New Roman"/>
          <w:sz w:val="16"/>
          <w:szCs w:val="16"/>
          <w:color w:val="auto"/>
        </w:rPr>
        <w:t>3. Terms and Exercise of Warrants.</w:t>
      </w:r>
    </w:p>
    <w:p>
      <w:pPr>
        <w:spacing w:after="0" w:line="198" w:lineRule="exact"/>
        <w:rPr>
          <w:sz w:val="20"/>
          <w:szCs w:val="20"/>
          <w:color w:val="auto"/>
        </w:rPr>
      </w:pPr>
    </w:p>
    <w:p>
      <w:pPr>
        <w:jc w:val="both"/>
        <w:ind w:left="4" w:firstLine="382"/>
        <w:spacing w:after="0" w:line="257" w:lineRule="auto"/>
        <w:rPr>
          <w:sz w:val="20"/>
          <w:szCs w:val="20"/>
          <w:color w:val="auto"/>
        </w:rPr>
      </w:pPr>
      <w:r>
        <w:rPr>
          <w:rFonts w:ascii="Times New Roman" w:cs="Times New Roman" w:eastAsia="Times New Roman" w:hAnsi="Times New Roman"/>
          <w:sz w:val="16"/>
          <w:szCs w:val="16"/>
          <w:color w:val="auto"/>
        </w:rPr>
        <w:t xml:space="preserve">3.1 </w:t>
      </w:r>
      <w:r>
        <w:rPr>
          <w:rFonts w:ascii="Times New Roman" w:cs="Times New Roman" w:eastAsia="Times New Roman" w:hAnsi="Times New Roman"/>
          <w:sz w:val="16"/>
          <w:szCs w:val="16"/>
          <w:u w:val="single" w:color="auto"/>
          <w:color w:val="auto"/>
        </w:rPr>
        <w:t>Warrant Price</w:t>
      </w:r>
      <w:r>
        <w:rPr>
          <w:rFonts w:ascii="Times New Roman" w:cs="Times New Roman" w:eastAsia="Times New Roman" w:hAnsi="Times New Roman"/>
          <w:sz w:val="16"/>
          <w:szCs w:val="16"/>
          <w:color w:val="auto"/>
        </w:rPr>
        <w:t>. Each Warrant shall, when countersigned by the Warrant Agent, entitle the Registered Holder thereof, subject to the provisions of such Warrant and of this Warrant Agreement, to purchase from the Company the number of shares of Common Stock stated therein, at the exercise price of (i) $11.50 per whole share for the Note Financing Warrants and the Private Warrants and (ii) $8.21 per whole share for the Public Warrants, subject to the adjustments provided in Section 4 hereof. The term “</w:t>
      </w:r>
      <w:r>
        <w:rPr>
          <w:rFonts w:ascii="Times New Roman" w:cs="Times New Roman" w:eastAsia="Times New Roman" w:hAnsi="Times New Roman"/>
          <w:sz w:val="16"/>
          <w:szCs w:val="16"/>
          <w:b w:val="1"/>
          <w:bCs w:val="1"/>
          <w:color w:val="auto"/>
        </w:rPr>
        <w:t>Warrant Price</w:t>
      </w:r>
      <w:r>
        <w:rPr>
          <w:rFonts w:ascii="Times New Roman" w:cs="Times New Roman" w:eastAsia="Times New Roman" w:hAnsi="Times New Roman"/>
          <w:sz w:val="16"/>
          <w:szCs w:val="16"/>
          <w:color w:val="auto"/>
        </w:rPr>
        <w:t>” as used in this Warrant Agreement refers to the price per whole share at which shares of Common Stock may be purchased at the time such Warrant is exercised. The Public Warrants may only be exercised for a whole number of Warrant Shares by a Registered Holder.</w:t>
      </w:r>
    </w:p>
    <w:p>
      <w:pPr>
        <w:spacing w:after="0" w:line="160" w:lineRule="exact"/>
        <w:rPr>
          <w:sz w:val="20"/>
          <w:szCs w:val="20"/>
          <w:color w:val="auto"/>
        </w:rPr>
      </w:pPr>
    </w:p>
    <w:p>
      <w:pPr>
        <w:jc w:val="both"/>
        <w:ind w:left="4" w:firstLine="382"/>
        <w:spacing w:after="0" w:line="271" w:lineRule="auto"/>
        <w:rPr>
          <w:sz w:val="20"/>
          <w:szCs w:val="20"/>
          <w:color w:val="auto"/>
        </w:rPr>
      </w:pPr>
      <w:r>
        <w:rPr>
          <w:rFonts w:ascii="Times New Roman" w:cs="Times New Roman" w:eastAsia="Times New Roman" w:hAnsi="Times New Roman"/>
          <w:sz w:val="15"/>
          <w:szCs w:val="15"/>
          <w:color w:val="auto"/>
        </w:rPr>
        <w:t xml:space="preserve">3.2 </w:t>
      </w:r>
      <w:r>
        <w:rPr>
          <w:rFonts w:ascii="Times New Roman" w:cs="Times New Roman" w:eastAsia="Times New Roman" w:hAnsi="Times New Roman"/>
          <w:sz w:val="15"/>
          <w:szCs w:val="15"/>
          <w:u w:val="single" w:color="auto"/>
          <w:color w:val="auto"/>
        </w:rPr>
        <w:t>Duration of Warrants</w:t>
      </w:r>
      <w:r>
        <w:rPr>
          <w:rFonts w:ascii="Times New Roman" w:cs="Times New Roman" w:eastAsia="Times New Roman" w:hAnsi="Times New Roman"/>
          <w:sz w:val="15"/>
          <w:szCs w:val="15"/>
          <w:color w:val="auto"/>
        </w:rPr>
        <w:t>. A Warrant may be exercised only during the period (“</w:t>
      </w:r>
      <w:r>
        <w:rPr>
          <w:rFonts w:ascii="Times New Roman" w:cs="Times New Roman" w:eastAsia="Times New Roman" w:hAnsi="Times New Roman"/>
          <w:sz w:val="15"/>
          <w:szCs w:val="15"/>
          <w:b w:val="1"/>
          <w:bCs w:val="1"/>
          <w:color w:val="auto"/>
        </w:rPr>
        <w:t>Exercise Period</w:t>
      </w:r>
      <w:r>
        <w:rPr>
          <w:rFonts w:ascii="Times New Roman" w:cs="Times New Roman" w:eastAsia="Times New Roman" w:hAnsi="Times New Roman"/>
          <w:sz w:val="15"/>
          <w:szCs w:val="15"/>
          <w:color w:val="auto"/>
        </w:rPr>
        <w:t xml:space="preserve">”) commencing on the date of completion of the Company’s initial business combination, and terminating at 5:00 p.m., New York City time, on the earlier to occur of (i) (A) with respect to the Public Warrants, the Private Warrants (except as provided in the following clause (B)) and the Note Financing Warrants, five years following the completion of the Company’s initial business combination, and (B) only with respect to the Warrants purchased by Co-Sponsor II, five years from the effective date of the Registration Statement with respect to the Private Warrants,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once the Private Warrants are not beneficially owned by Co-Sponsor II or any of its related persons anymore, the Private Warrants may not be exercised five years following the completion of the Company’s initial business combination, and (ii) the date fixed for redemption of the Warrants as provided in Section 6 of this Warrant Agreement (except as provided in Section 2.5) (“</w:t>
      </w:r>
      <w:r>
        <w:rPr>
          <w:rFonts w:ascii="Times New Roman" w:cs="Times New Roman" w:eastAsia="Times New Roman" w:hAnsi="Times New Roman"/>
          <w:sz w:val="15"/>
          <w:szCs w:val="15"/>
          <w:b w:val="1"/>
          <w:bCs w:val="1"/>
          <w:color w:val="auto"/>
        </w:rPr>
        <w:t>Expiration Date</w:t>
      </w:r>
      <w:r>
        <w:rPr>
          <w:rFonts w:ascii="Times New Roman" w:cs="Times New Roman" w:eastAsia="Times New Roman" w:hAnsi="Times New Roman"/>
          <w:sz w:val="15"/>
          <w:szCs w:val="15"/>
          <w:color w:val="auto"/>
        </w:rPr>
        <w:t>”). Except with respect to the right to receive the Redemption Price (as set forth in Section 6 hereunder), each Warrant not exercised on or before the Expiration Date shall become void, and all rights thereunder and all rights in respect thereof under this Warrant Agreement shall cease at the close of business on the Expiration Date. The Company may extend the duration of the Warrants by delaying the Expiration Date; provided, however, that the Company will provide written notice of not less than 10 days to Registered Holders of such extension and that such extension shall be identical in duration among all of the then outstanding Warrants.</w:t>
      </w:r>
    </w:p>
    <w:p>
      <w:pPr>
        <w:spacing w:after="0" w:line="157" w:lineRule="exact"/>
        <w:rPr>
          <w:sz w:val="20"/>
          <w:szCs w:val="20"/>
          <w:color w:val="auto"/>
        </w:rPr>
      </w:pPr>
    </w:p>
    <w:p>
      <w:pPr>
        <w:ind w:left="384"/>
        <w:spacing w:after="0"/>
        <w:rPr>
          <w:sz w:val="20"/>
          <w:szCs w:val="20"/>
          <w:color w:val="auto"/>
        </w:rPr>
      </w:pPr>
      <w:r>
        <w:rPr>
          <w:rFonts w:ascii="Times New Roman" w:cs="Times New Roman" w:eastAsia="Times New Roman" w:hAnsi="Times New Roman"/>
          <w:sz w:val="16"/>
          <w:szCs w:val="16"/>
          <w:color w:val="auto"/>
        </w:rPr>
        <w:t xml:space="preserve">3.3 </w:t>
      </w:r>
      <w:r>
        <w:rPr>
          <w:rFonts w:ascii="Times New Roman" w:cs="Times New Roman" w:eastAsia="Times New Roman" w:hAnsi="Times New Roman"/>
          <w:sz w:val="16"/>
          <w:szCs w:val="16"/>
          <w:u w:val="single" w:color="auto"/>
          <w:color w:val="auto"/>
        </w:rPr>
        <w:t>Exercise of Warrants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384"/>
        <w:spacing w:after="0"/>
        <w:rPr>
          <w:sz w:val="20"/>
          <w:szCs w:val="20"/>
          <w:color w:val="auto"/>
        </w:rPr>
      </w:pPr>
      <w:r>
        <w:rPr>
          <w:rFonts w:ascii="Times New Roman" w:cs="Times New Roman" w:eastAsia="Times New Roman" w:hAnsi="Times New Roman"/>
          <w:sz w:val="16"/>
          <w:szCs w:val="16"/>
          <w:color w:val="auto"/>
        </w:rPr>
        <w:t xml:space="preserve">3.3.1 </w:t>
      </w:r>
      <w:r>
        <w:rPr>
          <w:rFonts w:ascii="Times New Roman" w:cs="Times New Roman" w:eastAsia="Times New Roman" w:hAnsi="Times New Roman"/>
          <w:sz w:val="16"/>
          <w:szCs w:val="16"/>
          <w:u w:val="single" w:color="auto"/>
          <w:color w:val="auto"/>
        </w:rPr>
        <w:t>Cash Exercise</w:t>
      </w:r>
      <w:r>
        <w:rPr>
          <w:rFonts w:ascii="Times New Roman" w:cs="Times New Roman" w:eastAsia="Times New Roman" w:hAnsi="Times New Roman"/>
          <w:sz w:val="16"/>
          <w:szCs w:val="16"/>
          <w:color w:val="auto"/>
        </w:rPr>
        <w:t>. Subject to the provisions of the Warrant and this Warrant Agreement, a Warrant, when countersigned by the Company, may be exercised by the</w:t>
      </w:r>
    </w:p>
    <w:p>
      <w:pPr>
        <w:spacing w:after="0" w:line="2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Registered Holder thereof by surrendering it at the office of the Warrant Agent, or at the office of its successor as Warrant Agent, currently being:</w:t>
      </w:r>
    </w:p>
    <w:p>
      <w:pPr>
        <w:spacing w:after="0" w:line="182" w:lineRule="exact"/>
        <w:rPr>
          <w:sz w:val="20"/>
          <w:szCs w:val="20"/>
          <w:color w:val="auto"/>
        </w:rPr>
      </w:pPr>
    </w:p>
    <w:p>
      <w:pPr>
        <w:ind w:left="1724"/>
        <w:spacing w:after="0"/>
        <w:rPr>
          <w:sz w:val="20"/>
          <w:szCs w:val="20"/>
          <w:color w:val="auto"/>
        </w:rPr>
      </w:pPr>
      <w:r>
        <w:rPr>
          <w:rFonts w:ascii="Times New Roman" w:cs="Times New Roman" w:eastAsia="Times New Roman" w:hAnsi="Times New Roman"/>
          <w:sz w:val="16"/>
          <w:szCs w:val="16"/>
          <w:color w:val="auto"/>
        </w:rPr>
        <w:t>Continental Stock Transfer &amp; Trust Company</w:t>
      </w:r>
    </w:p>
    <w:p>
      <w:pPr>
        <w:ind w:left="1724"/>
        <w:spacing w:after="0" w:line="202" w:lineRule="auto"/>
        <w:rPr>
          <w:sz w:val="20"/>
          <w:szCs w:val="20"/>
          <w:color w:val="auto"/>
        </w:rPr>
      </w:pPr>
      <w:r>
        <w:rPr>
          <w:rFonts w:ascii="Times New Roman" w:cs="Times New Roman" w:eastAsia="Times New Roman" w:hAnsi="Times New Roman"/>
          <w:sz w:val="16"/>
          <w:szCs w:val="16"/>
          <w:color w:val="auto"/>
        </w:rPr>
        <w:t>1 State Street,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Floor</w:t>
      </w:r>
    </w:p>
    <w:p>
      <w:pPr>
        <w:spacing w:after="0" w:line="1" w:lineRule="exact"/>
        <w:rPr>
          <w:sz w:val="20"/>
          <w:szCs w:val="20"/>
          <w:color w:val="auto"/>
        </w:rPr>
      </w:pPr>
    </w:p>
    <w:p>
      <w:pPr>
        <w:ind w:left="1724"/>
        <w:spacing w:after="0"/>
        <w:rPr>
          <w:sz w:val="20"/>
          <w:szCs w:val="20"/>
          <w:color w:val="auto"/>
        </w:rPr>
      </w:pPr>
      <w:r>
        <w:rPr>
          <w:rFonts w:ascii="Times New Roman" w:cs="Times New Roman" w:eastAsia="Times New Roman" w:hAnsi="Times New Roman"/>
          <w:sz w:val="16"/>
          <w:szCs w:val="16"/>
          <w:color w:val="auto"/>
        </w:rPr>
        <w:t>New York, New York 10004</w:t>
      </w:r>
    </w:p>
    <w:p>
      <w:pPr>
        <w:spacing w:after="0" w:line="6" w:lineRule="exact"/>
        <w:rPr>
          <w:sz w:val="20"/>
          <w:szCs w:val="20"/>
          <w:color w:val="auto"/>
        </w:rPr>
      </w:pPr>
    </w:p>
    <w:p>
      <w:pPr>
        <w:ind w:left="1724"/>
        <w:spacing w:after="0"/>
        <w:rPr>
          <w:sz w:val="20"/>
          <w:szCs w:val="20"/>
          <w:color w:val="auto"/>
        </w:rPr>
      </w:pPr>
      <w:r>
        <w:rPr>
          <w:rFonts w:ascii="Times New Roman" w:cs="Times New Roman" w:eastAsia="Times New Roman" w:hAnsi="Times New Roman"/>
          <w:sz w:val="16"/>
          <w:szCs w:val="16"/>
          <w:color w:val="auto"/>
        </w:rPr>
        <w:t>Attn: Compliance Department</w:t>
      </w:r>
    </w:p>
    <w:p>
      <w:pPr>
        <w:spacing w:after="0" w:line="182" w:lineRule="exact"/>
        <w:rPr>
          <w:sz w:val="20"/>
          <w:szCs w:val="20"/>
          <w:color w:val="auto"/>
        </w:rPr>
      </w:pPr>
    </w:p>
    <w:p>
      <w:pPr>
        <w:jc w:val="both"/>
        <w:ind w:left="4" w:right="20"/>
        <w:spacing w:after="0" w:line="257" w:lineRule="auto"/>
        <w:rPr>
          <w:sz w:val="20"/>
          <w:szCs w:val="20"/>
          <w:color w:val="auto"/>
        </w:rPr>
      </w:pPr>
      <w:r>
        <w:rPr>
          <w:rFonts w:ascii="Times New Roman" w:cs="Times New Roman" w:eastAsia="Times New Roman" w:hAnsi="Times New Roman"/>
          <w:sz w:val="16"/>
          <w:szCs w:val="16"/>
          <w:color w:val="auto"/>
        </w:rPr>
        <w:t>with the subscription form, as set forth in the Warrant, duly executed, and by paying in full, in lawful money of the United States, by certified or bank cashier’s check payable to the order of the Warrant Agent or by wire transfer to the Warrant Agent’s bank account, the Warrant Price for each whole Warrant Share as to which the Warrant is exercised and any and all applicable taxes due in connection with the exercise of the Warrant, the exchange of the Warrant for the Warrant Shares, and the issuance of the Warrant Shares (such exercise, a “</w:t>
      </w:r>
      <w:r>
        <w:rPr>
          <w:rFonts w:ascii="Times New Roman" w:cs="Times New Roman" w:eastAsia="Times New Roman" w:hAnsi="Times New Roman"/>
          <w:sz w:val="16"/>
          <w:szCs w:val="16"/>
          <w:b w:val="1"/>
          <w:bCs w:val="1"/>
          <w:color w:val="auto"/>
        </w:rPr>
        <w:t>Cash Exercise</w:t>
      </w:r>
      <w:r>
        <w:rPr>
          <w:rFonts w:ascii="Times New Roman" w:cs="Times New Roman" w:eastAsia="Times New Roman" w:hAnsi="Times New Roman"/>
          <w:sz w:val="16"/>
          <w:szCs w:val="16"/>
          <w:color w:val="auto"/>
        </w:rPr>
        <w:t>”). A Cash Exercise in accordance with this Section 3.3.1 is available to the Registered Holder only during such times that there is an effective registration statement registering the Warrant Shares, with the prospectus contained therein being available for the resale of the Warrant Shares.</w:t>
      </w:r>
    </w:p>
    <w:p>
      <w:pPr>
        <w:spacing w:after="0" w:line="35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181" w:name="page182"/>
    <w:bookmarkEnd w:id="181"/>
    <w:p>
      <w:pPr>
        <w:jc w:val="both"/>
        <w:ind w:firstLine="382"/>
        <w:spacing w:after="0" w:line="257" w:lineRule="auto"/>
        <w:rPr>
          <w:sz w:val="20"/>
          <w:szCs w:val="20"/>
          <w:color w:val="auto"/>
        </w:rPr>
      </w:pPr>
      <w:r>
        <w:rPr>
          <w:rFonts w:ascii="Times New Roman" w:cs="Times New Roman" w:eastAsia="Times New Roman" w:hAnsi="Times New Roman"/>
          <w:sz w:val="16"/>
          <w:szCs w:val="16"/>
          <w:color w:val="auto"/>
        </w:rPr>
        <w:t xml:space="preserve">3.3.2 </w:t>
      </w:r>
      <w:r>
        <w:rPr>
          <w:rFonts w:ascii="Times New Roman" w:cs="Times New Roman" w:eastAsia="Times New Roman" w:hAnsi="Times New Roman"/>
          <w:sz w:val="16"/>
          <w:szCs w:val="16"/>
          <w:u w:val="single" w:color="auto"/>
          <w:color w:val="auto"/>
        </w:rPr>
        <w:t>Cashless Exercise</w:t>
      </w:r>
      <w:r>
        <w:rPr>
          <w:rFonts w:ascii="Times New Roman" w:cs="Times New Roman" w:eastAsia="Times New Roman" w:hAnsi="Times New Roman"/>
          <w:sz w:val="16"/>
          <w:szCs w:val="16"/>
          <w:color w:val="auto"/>
        </w:rPr>
        <w:t>. Notwithstanding anything contained herein to the contrary, if there is no effective registration statement registering the Warrant Shares on any day the Registered Holder desires to exercise the Warrants and more than 120 days have passed since the Company completed its initial business combination, the Registered Holder may exercise the Warrants in whole or in part in lieu of making a cash payment for whole numbers of Warrant Shares, by providing notice to the Chief Financial Officer of the Company in a subscription form of its election to utilize cashless exercise, in which event the Company shall issue to the Holder the number of Warrant Shares determined as follows:</w:t>
      </w:r>
    </w:p>
    <w:p>
      <w:pPr>
        <w:spacing w:after="0" w:line="16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X = Y [(A-B)/A]</w:t>
      </w:r>
    </w:p>
    <w:p>
      <w:pPr>
        <w:spacing w:after="0" w:line="1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where:</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X = the number of Warrant Shares to be issued to the Holder.</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Y = the number of Warrant Shares with respect to which this Warrant is being exercised.</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A = the Fair Market Value of one share of Common Stock.</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B = the Warrant Price.</w:t>
      </w:r>
    </w:p>
    <w:p>
      <w:pPr>
        <w:spacing w:after="0" w:line="198" w:lineRule="exact"/>
        <w:rPr>
          <w:sz w:val="20"/>
          <w:szCs w:val="20"/>
          <w:color w:val="auto"/>
        </w:rPr>
      </w:pPr>
    </w:p>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 xml:space="preserve">The Registered Holder may not exercise any Warrants in the absence of a registration statement except pursuant to this </w:t>
      </w:r>
      <w:r>
        <w:rPr>
          <w:rFonts w:ascii="Times New Roman" w:cs="Times New Roman" w:eastAsia="Times New Roman" w:hAnsi="Times New Roman"/>
          <w:sz w:val="16"/>
          <w:szCs w:val="16"/>
          <w:u w:val="single" w:color="auto"/>
          <w:color w:val="auto"/>
        </w:rPr>
        <w:t>Section 3.3.2</w:t>
      </w:r>
      <w:r>
        <w:rPr>
          <w:rFonts w:ascii="Times New Roman" w:cs="Times New Roman" w:eastAsia="Times New Roman" w:hAnsi="Times New Roman"/>
          <w:sz w:val="16"/>
          <w:szCs w:val="16"/>
          <w:color w:val="auto"/>
        </w:rPr>
        <w:t xml:space="preserve">. For purposes of this </w:t>
      </w:r>
      <w:r>
        <w:rPr>
          <w:rFonts w:ascii="Times New Roman" w:cs="Times New Roman" w:eastAsia="Times New Roman" w:hAnsi="Times New Roman"/>
          <w:sz w:val="16"/>
          <w:szCs w:val="16"/>
          <w:u w:val="single" w:color="auto"/>
          <w:color w:val="auto"/>
        </w:rPr>
        <w:t>Section 3.3.2</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4.1</w:t>
      </w:r>
      <w:r>
        <w:rPr>
          <w:rFonts w:ascii="Times New Roman" w:cs="Times New Roman" w:eastAsia="Times New Roman" w:hAnsi="Times New Roman"/>
          <w:sz w:val="16"/>
          <w:szCs w:val="16"/>
          <w:color w:val="auto"/>
        </w:rPr>
        <w:t>, the “</w:t>
      </w:r>
      <w:r>
        <w:rPr>
          <w:rFonts w:ascii="Times New Roman" w:cs="Times New Roman" w:eastAsia="Times New Roman" w:hAnsi="Times New Roman"/>
          <w:sz w:val="16"/>
          <w:szCs w:val="16"/>
          <w:b w:val="1"/>
          <w:bCs w:val="1"/>
          <w:color w:val="auto"/>
        </w:rPr>
        <w:t>Fair Market Value</w:t>
      </w:r>
      <w:r>
        <w:rPr>
          <w:rFonts w:ascii="Times New Roman" w:cs="Times New Roman" w:eastAsia="Times New Roman" w:hAnsi="Times New Roman"/>
          <w:sz w:val="16"/>
          <w:szCs w:val="16"/>
          <w:color w:val="auto"/>
        </w:rPr>
        <w:t>” of one share of Common Stock is defined as follows:</w:t>
      </w:r>
    </w:p>
    <w:p>
      <w:pPr>
        <w:spacing w:after="0" w:line="144" w:lineRule="exact"/>
        <w:rPr>
          <w:sz w:val="20"/>
          <w:szCs w:val="20"/>
          <w:color w:val="auto"/>
        </w:rPr>
      </w:pPr>
    </w:p>
    <w:p>
      <w:pPr>
        <w:jc w:val="both"/>
        <w:ind w:left="760" w:hanging="382"/>
        <w:spacing w:after="0" w:line="259" w:lineRule="auto"/>
        <w:tabs>
          <w:tab w:leader="none" w:pos="760" w:val="left"/>
        </w:tabs>
        <w:numPr>
          <w:ilvl w:val="0"/>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Company’s shares of Common Stock are listed and traded on the New York Stock Exchange, the NYSE American, the NASDAQ Global Select Market, the NASDAQ Global Market or the NASDAQ Capital Market (each, a “</w:t>
      </w:r>
      <w:r>
        <w:rPr>
          <w:rFonts w:ascii="Times New Roman" w:cs="Times New Roman" w:eastAsia="Times New Roman" w:hAnsi="Times New Roman"/>
          <w:sz w:val="16"/>
          <w:szCs w:val="16"/>
          <w:b w:val="1"/>
          <w:bCs w:val="1"/>
          <w:color w:val="auto"/>
        </w:rPr>
        <w:t>Trading Market</w:t>
      </w:r>
      <w:r>
        <w:rPr>
          <w:rFonts w:ascii="Times New Roman" w:cs="Times New Roman" w:eastAsia="Times New Roman" w:hAnsi="Times New Roman"/>
          <w:sz w:val="16"/>
          <w:szCs w:val="16"/>
          <w:color w:val="auto"/>
        </w:rPr>
        <w:t>”), the fair market value shall be deemed the average of the closing price on such Trading Market for the 10 trading days ending on the third trading day immediately prior to the date the subscription form is submitted to the Company in connection with the exercise of the Warrant; or</w:t>
      </w:r>
    </w:p>
    <w:p>
      <w:pPr>
        <w:spacing w:after="0" w:line="161" w:lineRule="exact"/>
        <w:rPr>
          <w:rFonts w:ascii="Times New Roman" w:cs="Times New Roman" w:eastAsia="Times New Roman" w:hAnsi="Times New Roman"/>
          <w:sz w:val="16"/>
          <w:szCs w:val="16"/>
          <w:color w:val="auto"/>
        </w:rPr>
      </w:pPr>
    </w:p>
    <w:p>
      <w:pPr>
        <w:jc w:val="both"/>
        <w:ind w:left="760" w:right="20" w:hanging="382"/>
        <w:spacing w:after="0" w:line="265" w:lineRule="auto"/>
        <w:tabs>
          <w:tab w:leader="none" w:pos="760" w:val="left"/>
        </w:tabs>
        <w:numPr>
          <w:ilvl w:val="0"/>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Company’s shares of Common Stock are not listed on a Trading Market, but is traded in the over-the-counter market, the fair market value shall be deemed to be the average of the bid price on such Trading Market for the 10 trading days ending on the third trading day immediately prior to the date the subscription form is submitted in connection with the exercise of the Warrant; or</w:t>
      </w:r>
    </w:p>
    <w:p>
      <w:pPr>
        <w:spacing w:after="0" w:line="155" w:lineRule="exact"/>
        <w:rPr>
          <w:rFonts w:ascii="Times New Roman" w:cs="Times New Roman" w:eastAsia="Times New Roman" w:hAnsi="Times New Roman"/>
          <w:sz w:val="16"/>
          <w:szCs w:val="16"/>
          <w:color w:val="auto"/>
        </w:rPr>
      </w:pPr>
    </w:p>
    <w:p>
      <w:pPr>
        <w:ind w:left="760" w:hanging="382"/>
        <w:spacing w:after="0" w:line="280" w:lineRule="auto"/>
        <w:tabs>
          <w:tab w:leader="none" w:pos="760" w:val="left"/>
        </w:tabs>
        <w:numPr>
          <w:ilvl w:val="0"/>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there is no active public market for the Company’s shares of Common Stock, the fair market value of the shares of Common Stock shall be determined in good faith by the Company’s board of directors.</w:t>
      </w:r>
    </w:p>
    <w:p>
      <w:pPr>
        <w:spacing w:after="0" w:line="144" w:lineRule="exact"/>
        <w:rPr>
          <w:sz w:val="20"/>
          <w:szCs w:val="20"/>
          <w:color w:val="auto"/>
        </w:rPr>
      </w:pPr>
    </w:p>
    <w:p>
      <w:pPr>
        <w:jc w:val="both"/>
        <w:ind w:firstLine="382"/>
        <w:spacing w:after="0" w:line="255" w:lineRule="auto"/>
        <w:rPr>
          <w:sz w:val="20"/>
          <w:szCs w:val="20"/>
          <w:color w:val="auto"/>
        </w:rPr>
      </w:pPr>
      <w:r>
        <w:rPr>
          <w:rFonts w:ascii="Times New Roman" w:cs="Times New Roman" w:eastAsia="Times New Roman" w:hAnsi="Times New Roman"/>
          <w:sz w:val="16"/>
          <w:szCs w:val="16"/>
          <w:color w:val="auto"/>
        </w:rPr>
        <w:t xml:space="preserve">3.3.3 </w:t>
      </w:r>
      <w:r>
        <w:rPr>
          <w:rFonts w:ascii="Times New Roman" w:cs="Times New Roman" w:eastAsia="Times New Roman" w:hAnsi="Times New Roman"/>
          <w:sz w:val="16"/>
          <w:szCs w:val="16"/>
          <w:u w:val="single" w:color="auto"/>
          <w:color w:val="auto"/>
        </w:rPr>
        <w:t>Fractional Shares</w:t>
      </w:r>
      <w:r>
        <w:rPr>
          <w:rFonts w:ascii="Times New Roman" w:cs="Times New Roman" w:eastAsia="Times New Roman" w:hAnsi="Times New Roman"/>
          <w:sz w:val="16"/>
          <w:szCs w:val="16"/>
          <w:color w:val="auto"/>
        </w:rPr>
        <w:t>. Notwithstanding any provision to the contrary contained in this Warrant Agreement, the Company shall not be required to issue any fraction of a Warrant Share in connection with the exercise of Warrants, and in any case where the Registered Holder would be entitled under the terms of the Warrants to receive a fraction of a Warrant Share upon the exercise of such Registered Holder’s Warrants, issue or cause to be issued only the largest whole number of Warrant Shares issuable on such exercise (and such fraction of a Warrant Share will be disregarded); provided, that if more than one Warrant certificate is presented for exercise at the same time by the same Registered Holder, the number of whole Warrant Shares which shall be issuable upon the exercise thereof shall be computed on the basis of the aggregate number of Warrant Shares issuable on exercise of all such Warrants.</w:t>
      </w:r>
    </w:p>
    <w:p>
      <w:pPr>
        <w:spacing w:after="0" w:line="165"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5"/>
          <w:szCs w:val="15"/>
          <w:color w:val="auto"/>
        </w:rPr>
        <w:t xml:space="preserve">3.3.4 </w:t>
      </w:r>
      <w:r>
        <w:rPr>
          <w:rFonts w:ascii="Times New Roman" w:cs="Times New Roman" w:eastAsia="Times New Roman" w:hAnsi="Times New Roman"/>
          <w:sz w:val="15"/>
          <w:szCs w:val="15"/>
          <w:u w:val="single" w:color="auto"/>
          <w:color w:val="auto"/>
        </w:rPr>
        <w:t>Issuance of Common Stock Certificates</w:t>
      </w:r>
      <w:r>
        <w:rPr>
          <w:rFonts w:ascii="Times New Roman" w:cs="Times New Roman" w:eastAsia="Times New Roman" w:hAnsi="Times New Roman"/>
          <w:sz w:val="15"/>
          <w:szCs w:val="15"/>
          <w:color w:val="auto"/>
        </w:rPr>
        <w:t>. No later than three business days following the exercise of any Warrant and the clearance of the funds in payment of the Warrant Price pursuant to Section 3.3.1 or cashless exercise pursuant to Section 3.3.2, the Company shall issue, or cause to be issued, to the Registered Holder of such Warrant a certificate or certificates representing (or at the option of the Registered Holder, a book-entry position and deliver electronically through the facilities of the Depository Trust Corporation) the number of whole shares of Common Stock to which such Registered Holder is entitled, registered in such name or names as may be directed by such Registered Holder, and, if such Warrant shall not have been exercised or surrendered in full, a new book-entry position or countersigned Warrant, as applicable, for the number of shares of Common Stock as to which such Warrant shall not have been exercised or surrendered. Notwithstanding the foregoing, the Company shall not deliver, or cause to be delivered, any securities without applicable restrictive legend pursuant to the exercise of a Warrant unless (a) a registration statement under the Act with respect to the shares of Common Stock issuable upon exercise of such Warrants is effective and a current prospectus relating to the shares of Common Stock issuable upon exercise of the Warrants is available for delivery to the Registered Holder of the Warrant or (b) in the opinion of counsel to the Company, the exercise of the Warrants is exempt from the registration requirements of the Act and such securities are qualified for sale or exempt from qualification under applicable securities laws of the states or other jurisdictions in which the Registered Holder resides. Warrants may not be exercised by, or securities issued to, any Registered Holder in any state in which such exercise or issuance would be unlawful. In addition, in no event will the Company be obligated to pay such Registered Holder any cash consideration upon exercise or otherwise “net cash settle” the Warrant.</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82" w:name="page183"/>
    <w:bookmarkEnd w:id="182"/>
    <w:p>
      <w:pPr>
        <w:jc w:val="both"/>
        <w:ind w:firstLine="382"/>
        <w:spacing w:after="0" w:line="280" w:lineRule="auto"/>
        <w:rPr>
          <w:sz w:val="20"/>
          <w:szCs w:val="20"/>
          <w:color w:val="auto"/>
        </w:rPr>
      </w:pPr>
      <w:r>
        <w:rPr>
          <w:rFonts w:ascii="Times New Roman" w:cs="Times New Roman" w:eastAsia="Times New Roman" w:hAnsi="Times New Roman"/>
          <w:sz w:val="16"/>
          <w:szCs w:val="16"/>
          <w:color w:val="auto"/>
        </w:rPr>
        <w:t xml:space="preserve">3.3.5 </w:t>
      </w:r>
      <w:r>
        <w:rPr>
          <w:rFonts w:ascii="Times New Roman" w:cs="Times New Roman" w:eastAsia="Times New Roman" w:hAnsi="Times New Roman"/>
          <w:sz w:val="16"/>
          <w:szCs w:val="16"/>
          <w:u w:val="single" w:color="auto"/>
          <w:color w:val="auto"/>
        </w:rPr>
        <w:t>Valid Issuance</w:t>
      </w:r>
      <w:r>
        <w:rPr>
          <w:rFonts w:ascii="Times New Roman" w:cs="Times New Roman" w:eastAsia="Times New Roman" w:hAnsi="Times New Roman"/>
          <w:sz w:val="16"/>
          <w:szCs w:val="16"/>
          <w:color w:val="auto"/>
        </w:rPr>
        <w:t>. All shares of Common Stock issued upon the proper exercise or surrender of a Warrant in conformity with this Warrant Agreement shall be validly issued, fully paid and non-assessable.</w:t>
      </w:r>
    </w:p>
    <w:p>
      <w:pPr>
        <w:spacing w:after="0" w:line="144"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6"/>
          <w:szCs w:val="16"/>
          <w:color w:val="auto"/>
        </w:rPr>
        <w:t xml:space="preserve">3.3.6 </w:t>
      </w:r>
      <w:r>
        <w:rPr>
          <w:rFonts w:ascii="Times New Roman" w:cs="Times New Roman" w:eastAsia="Times New Roman" w:hAnsi="Times New Roman"/>
          <w:sz w:val="16"/>
          <w:szCs w:val="16"/>
          <w:u w:val="single" w:color="auto"/>
          <w:color w:val="auto"/>
        </w:rPr>
        <w:t>Date of Issuance</w:t>
      </w:r>
      <w:r>
        <w:rPr>
          <w:rFonts w:ascii="Times New Roman" w:cs="Times New Roman" w:eastAsia="Times New Roman" w:hAnsi="Times New Roman"/>
          <w:sz w:val="16"/>
          <w:szCs w:val="16"/>
          <w:color w:val="auto"/>
        </w:rPr>
        <w:t>. Each person or entity in whose name any book-entry position or certificate for shares of Common Stock is issued shall, for all purposes, be deemed to have become the holder of record of such shares of Common Stock on the date on which the Warrant (or book-entry position representing such Warrant) was surrendered and payment of the Warrant Price was made, irrespective of the date of delivery of such certificate, except that, if the date of such surrender and payment is a date when the stock transfer books of the Company or book-entry system of the Warrant Agent are closed, such person shall be deemed to have become the holder of such shares at the close of business on the next succeeding date on which the stock transfer books or book-entry system are open.</w:t>
      </w:r>
    </w:p>
    <w:p>
      <w:pPr>
        <w:spacing w:after="0" w:line="162" w:lineRule="exact"/>
        <w:rPr>
          <w:sz w:val="20"/>
          <w:szCs w:val="20"/>
          <w:color w:val="auto"/>
        </w:rPr>
      </w:pPr>
    </w:p>
    <w:p>
      <w:pPr>
        <w:jc w:val="both"/>
        <w:ind w:firstLine="382"/>
        <w:spacing w:after="0" w:line="252" w:lineRule="auto"/>
        <w:rPr>
          <w:sz w:val="20"/>
          <w:szCs w:val="20"/>
          <w:color w:val="auto"/>
        </w:rPr>
      </w:pPr>
      <w:r>
        <w:rPr>
          <w:rFonts w:ascii="Times New Roman" w:cs="Times New Roman" w:eastAsia="Times New Roman" w:hAnsi="Times New Roman"/>
          <w:sz w:val="16"/>
          <w:szCs w:val="16"/>
          <w:color w:val="auto"/>
        </w:rPr>
        <w:t xml:space="preserve">3.3.7 </w:t>
      </w:r>
      <w:r>
        <w:rPr>
          <w:rFonts w:ascii="Times New Roman" w:cs="Times New Roman" w:eastAsia="Times New Roman" w:hAnsi="Times New Roman"/>
          <w:sz w:val="16"/>
          <w:szCs w:val="16"/>
          <w:u w:val="single" w:color="auto"/>
          <w:color w:val="auto"/>
        </w:rPr>
        <w:t>Maximum Percentage</w:t>
      </w:r>
      <w:r>
        <w:rPr>
          <w:rFonts w:ascii="Times New Roman" w:cs="Times New Roman" w:eastAsia="Times New Roman" w:hAnsi="Times New Roman"/>
          <w:sz w:val="16"/>
          <w:szCs w:val="16"/>
          <w:color w:val="auto"/>
        </w:rPr>
        <w:t>. A holder of a Warrant may notify the Company in writing in the event it elects to be subject to the provisions contained in this subsection 3.3.7; however, no holder of a Warrant shall be subject to this subsection 3.3.7 unless he, she or it makes such election. If the election is made by a holder, the Warrant Agent shall not effect the exercise of the holder’s Warrant, and such holder shall not have the right to exercise such Warrant, to the extent that after giving effect to such exercise, such person (together with such person’s affiliates), to the Warrant Agent’s actual knowledge, would beneficially own in excess of 9.9% (the “</w:t>
      </w:r>
      <w:r>
        <w:rPr>
          <w:rFonts w:ascii="Times New Roman" w:cs="Times New Roman" w:eastAsia="Times New Roman" w:hAnsi="Times New Roman"/>
          <w:sz w:val="16"/>
          <w:szCs w:val="16"/>
          <w:b w:val="1"/>
          <w:bCs w:val="1"/>
          <w:color w:val="auto"/>
        </w:rPr>
        <w:t>Maximum Percentage</w:t>
      </w:r>
      <w:r>
        <w:rPr>
          <w:rFonts w:ascii="Times New Roman" w:cs="Times New Roman" w:eastAsia="Times New Roman" w:hAnsi="Times New Roman"/>
          <w:sz w:val="16"/>
          <w:szCs w:val="16"/>
          <w:color w:val="auto"/>
        </w:rPr>
        <w:t>”) of the shares of Common Stock outstanding immediately after giving effect to such exercise. For purposes of the foregoing sentence, the aggregate number of shares of Common Stock beneficially owned by such person and its affiliates shall include the number of shares of Common Stock issuable upon exercise of the Warrant with respect to which the determination of such sentence is being made, but shall exclude the shares of Common Stock that would be issuable upon (x) exercise of the remaining, unexercised portion of the Warrant beneficially owned by such person and its affiliates and (y) exercise or conversion of the unexercised or unconverted portion of any other securities of the Company beneficially owned by such person and its affiliates (including, without limitation, any convertible notes or convertible preferred shares or warrants) subject to a limitation on conversion or exercise analogous to the limitation contained herein. Except as set forth in the preceding sentence, for purposes of this paragraph, beneficial ownership shall be calculated in accordance with Section 13(d) of the Securities Exchange Act of 1934, as amended (the “</w:t>
      </w:r>
      <w:r>
        <w:rPr>
          <w:rFonts w:ascii="Times New Roman" w:cs="Times New Roman" w:eastAsia="Times New Roman" w:hAnsi="Times New Roman"/>
          <w:sz w:val="16"/>
          <w:szCs w:val="16"/>
          <w:b w:val="1"/>
          <w:bCs w:val="1"/>
          <w:color w:val="auto"/>
        </w:rPr>
        <w:t>Exchange Act</w:t>
      </w:r>
      <w:r>
        <w:rPr>
          <w:rFonts w:ascii="Times New Roman" w:cs="Times New Roman" w:eastAsia="Times New Roman" w:hAnsi="Times New Roman"/>
          <w:sz w:val="16"/>
          <w:szCs w:val="16"/>
          <w:color w:val="auto"/>
        </w:rPr>
        <w:t>”). For purposes of the Warrant, in determining the number of outstanding shares of Common Stock, the holder may rely on the number of outstanding shares of Common Stock as reflected in (1) the Company’s most recent annual report on Form 10-K, quarterly report on Form 10-Q, current report on Form 8-K or other public filing with the SEC as the case may be, (2) a more recent public announcement by the Company, or (3) any other notice by the Company or the Warrant Agent setting forth the number of shares of Common Stock outstanding. For any reason at any time, upon the written request of the holder of the Warrant, the Company shall, within two business days, confirm orally and in writing to such holder the number of shares of Common Stock then outstanding. In any case, the number of outstanding shares of Common Stock shall be determined after giving effect to the conversion or exercise of equity securities of the Company by the holder and its affiliates since the date as of which such number of outstanding shares of Common Stock was reported. By written notice to the Company, the holder of a Warrant may from time to time increase or decrease the Maximum Percentage applicable to such holder to any other percentage specified in such notice; provided, however, that any such increase shall not be effective until the sixty-first (61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6"/>
          <w:szCs w:val="16"/>
          <w:color w:val="auto"/>
        </w:rPr>
        <w:t>) day after such notice is delivered to the Company.</w:t>
      </w:r>
    </w:p>
    <w:p>
      <w:pPr>
        <w:spacing w:after="0" w:line="69" w:lineRule="exact"/>
        <w:rPr>
          <w:sz w:val="20"/>
          <w:szCs w:val="20"/>
          <w:color w:val="auto"/>
        </w:rPr>
      </w:pPr>
    </w:p>
    <w:p>
      <w:pPr>
        <w:ind w:left="540" w:hanging="162"/>
        <w:spacing w:after="0"/>
        <w:tabs>
          <w:tab w:leader="none" w:pos="540" w:val="left"/>
        </w:tabs>
        <w:numPr>
          <w:ilvl w:val="0"/>
          <w:numId w:val="2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Adjustments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382"/>
        <w:spacing w:after="0" w:line="252" w:lineRule="auto"/>
        <w:rPr>
          <w:sz w:val="20"/>
          <w:szCs w:val="20"/>
          <w:color w:val="auto"/>
        </w:rPr>
      </w:pPr>
      <w:r>
        <w:rPr>
          <w:rFonts w:ascii="Times New Roman" w:cs="Times New Roman" w:eastAsia="Times New Roman" w:hAnsi="Times New Roman"/>
          <w:sz w:val="16"/>
          <w:szCs w:val="16"/>
          <w:color w:val="auto"/>
        </w:rPr>
        <w:t xml:space="preserve">4.1 </w:t>
      </w:r>
      <w:r>
        <w:rPr>
          <w:rFonts w:ascii="Times New Roman" w:cs="Times New Roman" w:eastAsia="Times New Roman" w:hAnsi="Times New Roman"/>
          <w:sz w:val="16"/>
          <w:szCs w:val="16"/>
          <w:u w:val="single" w:color="auto"/>
          <w:color w:val="auto"/>
        </w:rPr>
        <w:t>Stock Dividends, Splits</w:t>
      </w:r>
      <w:r>
        <w:rPr>
          <w:rFonts w:ascii="Times New Roman" w:cs="Times New Roman" w:eastAsia="Times New Roman" w:hAnsi="Times New Roman"/>
          <w:sz w:val="16"/>
          <w:szCs w:val="16"/>
          <w:color w:val="auto"/>
        </w:rPr>
        <w:t>. If, after the date hereof, and subject to the provisions of Section 4.5 below, the number of outstanding shares of Common Stock is increased or decreased by a stock dividend payable in shares of Common Stock, or by a forward or reverse split of shares of Common Stock, or other similar event, then, on the effective date of such stock dividend, split or similar event, the number of shares of Common Stock issuable on exercise of each Warrant shall be increased or decreased in proportion to such increase or decrease in outstanding shares of Common Stock. A rights offering to all holders of the shares of Common Stock entitling holders to purchase shares of Common Stock at a price less than the Fair Market Value shall be deemed a stock dividend of a number of shares of Common Stock equal to the product of (i) the number of shares of Common Stock actually sold in such rights offering (or issuable under any other equity securities sold in such rights offering that are convertible into or exercisable for the shares of Common Stock) multiplied by (ii) one minus the quotient of (x) the price per share of Common Stock paid in such rights offering divided by (y) the Fair Market Value. For purposes of this subsection 4.1, if the rights offering is for securities convertible into or exercisable for shares of Common Stock, in determining the price payable for the shares of Common Stock, there shall be taken into account any consideration received for such rights, as well as any additional amount payable upon exercise or conversion.</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83" w:name="page184"/>
    <w:bookmarkEnd w:id="183"/>
    <w:p>
      <w:pPr>
        <w:jc w:val="both"/>
        <w:ind w:firstLine="382"/>
        <w:spacing w:after="0" w:line="259" w:lineRule="auto"/>
        <w:rPr>
          <w:sz w:val="20"/>
          <w:szCs w:val="20"/>
          <w:color w:val="auto"/>
        </w:rPr>
      </w:pPr>
      <w:r>
        <w:rPr>
          <w:rFonts w:ascii="Times New Roman" w:cs="Times New Roman" w:eastAsia="Times New Roman" w:hAnsi="Times New Roman"/>
          <w:sz w:val="16"/>
          <w:szCs w:val="16"/>
          <w:color w:val="auto"/>
        </w:rPr>
        <w:t xml:space="preserve">4.2 </w:t>
      </w:r>
      <w:r>
        <w:rPr>
          <w:rFonts w:ascii="Times New Roman" w:cs="Times New Roman" w:eastAsia="Times New Roman" w:hAnsi="Times New Roman"/>
          <w:sz w:val="16"/>
          <w:szCs w:val="16"/>
          <w:u w:val="single" w:color="auto"/>
          <w:color w:val="auto"/>
        </w:rPr>
        <w:t>Aggregation of Shares</w:t>
      </w:r>
      <w:r>
        <w:rPr>
          <w:rFonts w:ascii="Times New Roman" w:cs="Times New Roman" w:eastAsia="Times New Roman" w:hAnsi="Times New Roman"/>
          <w:sz w:val="16"/>
          <w:szCs w:val="16"/>
          <w:color w:val="auto"/>
        </w:rPr>
        <w:t>. If, after the date hereof, and subject to the provisions of Section 4.6, the number of outstanding shares of Common Stock is decreased by a consolidation, combination or reclassification of shares of Common Stock or other similar event, then, on the effective date of such consolidation, combination, reclassification or similar event, the number of shares of Common Stock issuable on exercise of each Warrant shall be decreased in proportion to such decrease in outstanding shares of Common Stock.</w:t>
      </w:r>
    </w:p>
    <w:p>
      <w:pPr>
        <w:spacing w:after="0" w:line="162" w:lineRule="exact"/>
        <w:rPr>
          <w:sz w:val="20"/>
          <w:szCs w:val="20"/>
          <w:color w:val="auto"/>
        </w:rPr>
      </w:pPr>
    </w:p>
    <w:p>
      <w:pPr>
        <w:jc w:val="both"/>
        <w:ind w:firstLine="382"/>
        <w:spacing w:after="0" w:line="251" w:lineRule="auto"/>
        <w:rPr>
          <w:sz w:val="20"/>
          <w:szCs w:val="20"/>
          <w:color w:val="auto"/>
        </w:rPr>
      </w:pPr>
      <w:r>
        <w:rPr>
          <w:rFonts w:ascii="Times New Roman" w:cs="Times New Roman" w:eastAsia="Times New Roman" w:hAnsi="Times New Roman"/>
          <w:sz w:val="16"/>
          <w:szCs w:val="16"/>
          <w:color w:val="auto"/>
        </w:rPr>
        <w:t xml:space="preserve">4.3 </w:t>
      </w:r>
      <w:r>
        <w:rPr>
          <w:rFonts w:ascii="Times New Roman" w:cs="Times New Roman" w:eastAsia="Times New Roman" w:hAnsi="Times New Roman"/>
          <w:sz w:val="16"/>
          <w:szCs w:val="16"/>
          <w:u w:val="single" w:color="auto"/>
          <w:color w:val="auto"/>
        </w:rPr>
        <w:t>Extraordinary Dividends</w:t>
      </w:r>
      <w:r>
        <w:rPr>
          <w:rFonts w:ascii="Times New Roman" w:cs="Times New Roman" w:eastAsia="Times New Roman" w:hAnsi="Times New Roman"/>
          <w:sz w:val="16"/>
          <w:szCs w:val="16"/>
          <w:color w:val="auto"/>
        </w:rPr>
        <w:t>. If the Company, at any time while the Warrants (or rights to purchase the Warrants) are outstanding and unexpired, shall pay a dividend or make a distribution in cash, securities or other assets to the holders of the shares of Common Stock on account of such shares of Common Stock (or other shares of the Company’s capital stock into which the Warrants are convertible), other than (a) as described in subsection 4.1 above, (b) Ordinary Cash Dividends (as defined below), (c) to satisfy the conversion rights of the holders of the shares of Common Stock in connection with a proposed initial business combination or vote to extend the time period to complete an initial business combination, (d) as a result of the repurchase of shares of Common Stock by the Company in connection with an initial business combination or as otherwise permitted by the Investment Management Trust Agreement between the Company and the Warrant Agent dated of even date herewith or (e) in connection with the Company’s liquidation and the distribution of its assets upon its failure to consummate a business combination (any such non-excluded event being referred to herein as an “</w:t>
      </w:r>
      <w:r>
        <w:rPr>
          <w:rFonts w:ascii="Times New Roman" w:cs="Times New Roman" w:eastAsia="Times New Roman" w:hAnsi="Times New Roman"/>
          <w:sz w:val="16"/>
          <w:szCs w:val="16"/>
          <w:b w:val="1"/>
          <w:bCs w:val="1"/>
          <w:color w:val="auto"/>
        </w:rPr>
        <w:t>Extraordinary Dividend</w:t>
      </w:r>
      <w:r>
        <w:rPr>
          <w:rFonts w:ascii="Times New Roman" w:cs="Times New Roman" w:eastAsia="Times New Roman" w:hAnsi="Times New Roman"/>
          <w:sz w:val="16"/>
          <w:szCs w:val="16"/>
          <w:color w:val="auto"/>
        </w:rPr>
        <w:t>”), then the Warrant Price shall be decreased, effective immediately after the effective date of such Extraordinary Dividend, by the amount of cash and the fair market value (as determined by the Company’s board of directors, in good faith) of any securities or other assets paid on each share of Common Stock in respect of such Extraordinary Dividend. For purposes of this subsection 4.3, “</w:t>
      </w:r>
      <w:r>
        <w:rPr>
          <w:rFonts w:ascii="Times New Roman" w:cs="Times New Roman" w:eastAsia="Times New Roman" w:hAnsi="Times New Roman"/>
          <w:sz w:val="16"/>
          <w:szCs w:val="16"/>
          <w:b w:val="1"/>
          <w:bCs w:val="1"/>
          <w:color w:val="auto"/>
        </w:rPr>
        <w:t>Ordinary Cash Dividends</w:t>
      </w:r>
      <w:r>
        <w:rPr>
          <w:rFonts w:ascii="Times New Roman" w:cs="Times New Roman" w:eastAsia="Times New Roman" w:hAnsi="Times New Roman"/>
          <w:sz w:val="16"/>
          <w:szCs w:val="16"/>
          <w:color w:val="auto"/>
        </w:rPr>
        <w:t>” means any cash dividend or cash distribution which, when combined on a per share basis with the per share amounts of all other cash dividends and cash distributions paid on the shares of Common Stock during the 365-day period ending on the date of declaration of such dividend or distribution (as adjusted to appropriately reflect any of the events referred to in other subsections of this Section 4 and excluding cash dividends or cash distributions that resulted in an adjustment to the Warrant Price or to the number of shares of Common Stock issuable on exercise of each Warrant) does not exceed $0.50 (being 5% of the offering price of the Units in the Offering). The foregoing adjustment shall not apply to the Private Warrants or the Note Financing Warrants.</w:t>
      </w:r>
    </w:p>
    <w:p>
      <w:pPr>
        <w:spacing w:after="0" w:line="174"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6"/>
          <w:szCs w:val="16"/>
          <w:color w:val="auto"/>
        </w:rPr>
        <w:t xml:space="preserve">4.4 </w:t>
      </w:r>
      <w:r>
        <w:rPr>
          <w:rFonts w:ascii="Times New Roman" w:cs="Times New Roman" w:eastAsia="Times New Roman" w:hAnsi="Times New Roman"/>
          <w:sz w:val="16"/>
          <w:szCs w:val="16"/>
          <w:u w:val="single" w:color="auto"/>
          <w:color w:val="auto"/>
        </w:rPr>
        <w:t>Adjustments in Exercise Price</w:t>
      </w:r>
      <w:r>
        <w:rPr>
          <w:rFonts w:ascii="Times New Roman" w:cs="Times New Roman" w:eastAsia="Times New Roman" w:hAnsi="Times New Roman"/>
          <w:sz w:val="16"/>
          <w:szCs w:val="16"/>
          <w:color w:val="auto"/>
        </w:rPr>
        <w:t>. Whenever the number of shares of Common Stock purchasable upon the exercise of the Warrants is adjusted, as provided in Sections 4.1 and 4.2 above, the Warrant Price shall be adjusted (to the nearest cent) by multiplying such Warrant Price, immediately prior to such adjustment, by a fraction, (a) the numerator of which shall be the number of shares of Common Stock purchasable upon the exercise of the Warrants immediately prior to such adjustment, and (b) the denominator of which shall be the number of shares of Common Stock so purchasable immediately thereafter.</w:t>
      </w:r>
    </w:p>
    <w:p>
      <w:pPr>
        <w:spacing w:after="0" w:line="162" w:lineRule="exact"/>
        <w:rPr>
          <w:sz w:val="20"/>
          <w:szCs w:val="20"/>
          <w:color w:val="auto"/>
        </w:rPr>
      </w:pPr>
    </w:p>
    <w:p>
      <w:pPr>
        <w:jc w:val="both"/>
        <w:ind w:firstLine="382"/>
        <w:spacing w:after="0" w:line="252" w:lineRule="auto"/>
        <w:rPr>
          <w:sz w:val="20"/>
          <w:szCs w:val="20"/>
          <w:color w:val="auto"/>
        </w:rPr>
      </w:pPr>
      <w:r>
        <w:rPr>
          <w:rFonts w:ascii="Times New Roman" w:cs="Times New Roman" w:eastAsia="Times New Roman" w:hAnsi="Times New Roman"/>
          <w:sz w:val="16"/>
          <w:szCs w:val="16"/>
          <w:color w:val="auto"/>
        </w:rPr>
        <w:t xml:space="preserve">4.5 </w:t>
      </w:r>
      <w:r>
        <w:rPr>
          <w:rFonts w:ascii="Times New Roman" w:cs="Times New Roman" w:eastAsia="Times New Roman" w:hAnsi="Times New Roman"/>
          <w:sz w:val="16"/>
          <w:szCs w:val="16"/>
          <w:u w:val="single" w:color="auto"/>
          <w:color w:val="auto"/>
        </w:rPr>
        <w:t>Replacement of Securities upon Reorganization, etc.</w:t>
      </w:r>
      <w:r>
        <w:rPr>
          <w:rFonts w:ascii="Times New Roman" w:cs="Times New Roman" w:eastAsia="Times New Roman" w:hAnsi="Times New Roman"/>
          <w:sz w:val="16"/>
          <w:szCs w:val="16"/>
          <w:color w:val="auto"/>
        </w:rPr>
        <w:t xml:space="preserve"> In case of any reclassification or reorganization of the outstanding shares of Common Stock (other than a change covered by Sections 4.1, 4.2 or 4.3 hereof or one that solely affects the par value of such shares of Common Stock), or, in the case of any merger or consolidation of the Company with or into another entity (other than a consolidation or merger in which the Company is the continuing entity and that does not result in any reclassification or reorganization of the outstanding shares of Common Stock), or, in the case of any sale or conveyance to another corporation or entity of the assets or other property of the Company as an entirety or substantially as an entirety, in connection with which the Company is dissolved, the Registered Holders shall thereafter have the right to purchase and receive, upon the basis and upon the terms and conditions specified in the Warrants and in lieu of the shares of Common Stock of the Company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Registered Holder would have received if such Registered Holder had exercised his, her or its Warrant(s) immediately prior to such event; and if any reclassification also results in a change in shares of Common Stock covered by Sections 4.1, 4.2 or 4.3, then such adjustment shall be made pursuant to Sections 4.1, 4.2, 4.3 and this Section 4.5. The provisions of this Section 4.5 shall similarly apply to successive reclassifications, reorganizations, mergers or consolidations, sales or other transfers. In no event shall the Warrant Price be reduced to less than the par value per share of Common Stock issuable upon exercise of the Warrant.</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84" w:name="page185"/>
    <w:bookmarkEnd w:id="184"/>
    <w:p>
      <w:pPr>
        <w:jc w:val="both"/>
        <w:ind w:firstLine="382"/>
        <w:spacing w:after="0" w:line="255" w:lineRule="auto"/>
        <w:rPr>
          <w:sz w:val="20"/>
          <w:szCs w:val="20"/>
          <w:color w:val="auto"/>
        </w:rPr>
      </w:pPr>
      <w:r>
        <w:rPr>
          <w:rFonts w:ascii="Times New Roman" w:cs="Times New Roman" w:eastAsia="Times New Roman" w:hAnsi="Times New Roman"/>
          <w:sz w:val="16"/>
          <w:szCs w:val="16"/>
          <w:color w:val="auto"/>
        </w:rPr>
        <w:t xml:space="preserve">4.6 </w:t>
      </w:r>
      <w:r>
        <w:rPr>
          <w:rFonts w:ascii="Times New Roman" w:cs="Times New Roman" w:eastAsia="Times New Roman" w:hAnsi="Times New Roman"/>
          <w:sz w:val="16"/>
          <w:szCs w:val="16"/>
          <w:u w:val="single" w:color="auto"/>
          <w:color w:val="auto"/>
        </w:rPr>
        <w:t>Notices of Changes in Warrant</w:t>
      </w:r>
      <w:r>
        <w:rPr>
          <w:rFonts w:ascii="Times New Roman" w:cs="Times New Roman" w:eastAsia="Times New Roman" w:hAnsi="Times New Roman"/>
          <w:sz w:val="16"/>
          <w:szCs w:val="16"/>
          <w:color w:val="auto"/>
        </w:rPr>
        <w:t xml:space="preserve">. Upon every adjustment of the Warrant Price or the number of shares of Common Stock issuable upon exercise of a Warrant, the Company shall give written notice thereof to the Warrant Agent, which notice shall state the Warrant Price resulting from such adjustment and the increase or decrease, if any, in the number of shares of Common Stock purchasable at such price upon the exercise of a Warrant, setting forth in reasonable detail the method of calculation and the facts upon which such calculation is based. Upon the occurrence of any event specified in </w:t>
      </w:r>
      <w:r>
        <w:rPr>
          <w:rFonts w:ascii="Times New Roman" w:cs="Times New Roman" w:eastAsia="Times New Roman" w:hAnsi="Times New Roman"/>
          <w:sz w:val="16"/>
          <w:szCs w:val="16"/>
          <w:u w:val="single" w:color="auto"/>
          <w:color w:val="auto"/>
        </w:rPr>
        <w:t>Sections 4.1 – 4.5</w:t>
      </w:r>
      <w:r>
        <w:rPr>
          <w:rFonts w:ascii="Times New Roman" w:cs="Times New Roman" w:eastAsia="Times New Roman" w:hAnsi="Times New Roman"/>
          <w:sz w:val="16"/>
          <w:szCs w:val="16"/>
          <w:color w:val="auto"/>
        </w:rPr>
        <w:t xml:space="preserve"> the Company shall give written notice to each Registered Holder, at the last address set forth for such Registered Holder in the Warrant Register, of the record date or the effective date of the event. Failure to give such notice, or any defect therein, shall not affect the legality or validity of such event.</w:t>
      </w:r>
    </w:p>
    <w:p>
      <w:pPr>
        <w:spacing w:after="0" w:line="165"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6"/>
          <w:szCs w:val="16"/>
          <w:color w:val="auto"/>
        </w:rPr>
        <w:t xml:space="preserve">4.7 </w:t>
      </w:r>
      <w:r>
        <w:rPr>
          <w:rFonts w:ascii="Times New Roman" w:cs="Times New Roman" w:eastAsia="Times New Roman" w:hAnsi="Times New Roman"/>
          <w:sz w:val="16"/>
          <w:szCs w:val="16"/>
          <w:u w:val="single" w:color="auto"/>
          <w:color w:val="auto"/>
        </w:rPr>
        <w:t>Form of Warrant</w:t>
      </w:r>
      <w:r>
        <w:rPr>
          <w:rFonts w:ascii="Times New Roman" w:cs="Times New Roman" w:eastAsia="Times New Roman" w:hAnsi="Times New Roman"/>
          <w:sz w:val="16"/>
          <w:szCs w:val="16"/>
          <w:color w:val="auto"/>
        </w:rPr>
        <w:t>. The form of Warrant need not be changed because of any adjustment pursuant to this Section 4, and Warrants issued after such adjustment may state the same Warrant Price and the same number of shares as is stated in the Warrants initially issued pursuant to this Warrant Agreement. However, the Company may, at any time, in its sole discretion, make any change in the form of Warrant that the Company may deem appropriate and that does not affect the substance thereof, and any Warrant thereafter issued or countersigned, whether in exchange or substitution for an outstanding Warrant or otherwise, may be in the form as so changed.</w:t>
      </w:r>
    </w:p>
    <w:p>
      <w:pPr>
        <w:spacing w:after="0" w:line="162" w:lineRule="exact"/>
        <w:rPr>
          <w:sz w:val="20"/>
          <w:szCs w:val="20"/>
          <w:color w:val="auto"/>
        </w:rPr>
      </w:pPr>
    </w:p>
    <w:p>
      <w:pPr>
        <w:jc w:val="both"/>
        <w:ind w:firstLine="382"/>
        <w:spacing w:after="0" w:line="253" w:lineRule="auto"/>
        <w:rPr>
          <w:sz w:val="20"/>
          <w:szCs w:val="20"/>
          <w:color w:val="auto"/>
        </w:rPr>
      </w:pPr>
      <w:r>
        <w:rPr>
          <w:rFonts w:ascii="Times New Roman" w:cs="Times New Roman" w:eastAsia="Times New Roman" w:hAnsi="Times New Roman"/>
          <w:sz w:val="16"/>
          <w:szCs w:val="16"/>
          <w:color w:val="auto"/>
        </w:rPr>
        <w:t xml:space="preserve">4.8 </w:t>
      </w:r>
      <w:r>
        <w:rPr>
          <w:rFonts w:ascii="Times New Roman" w:cs="Times New Roman" w:eastAsia="Times New Roman" w:hAnsi="Times New Roman"/>
          <w:sz w:val="16"/>
          <w:szCs w:val="16"/>
          <w:u w:val="single" w:color="auto"/>
          <w:color w:val="auto"/>
        </w:rPr>
        <w:t>Notice of Certain Transactions</w:t>
      </w:r>
      <w:r>
        <w:rPr>
          <w:rFonts w:ascii="Times New Roman" w:cs="Times New Roman" w:eastAsia="Times New Roman" w:hAnsi="Times New Roman"/>
          <w:sz w:val="16"/>
          <w:szCs w:val="16"/>
          <w:color w:val="auto"/>
        </w:rPr>
        <w:t>. In the event that the Company shall (a) offer to holders of all its shares of Common Stock rights to subscribe for or to purchase any securities convertible into shares of Common Stock or shares of stock of any class or any other securities, rights or options, (b) issue any rights, options or warrants entitling all the holders of shares of Common Stock to subscribe for shares of Common Stock, or (c) make a tender offer, redemption offer or exchange offer with respect to the shares of Common Stock, the Company shall send to the Registered Holders a notice of such action or offer. Such notice shall be mailed to the Registered Holders at their addresses as they appear in the Warrant Register, which shall specify the record date for the purposes of such dividend, distribution or rights, or the date such issuance or event is to take place and the date of participation therein by the holders of shares of Common Stock, if any such date is to be fixed, and shall briefly indicate the effect of such action on the shares of Common Stock and on the number and kind of any other shares of stock and on other property, if any, and the number of shares of Common Stock and other property, if any, issuable upon exercise of each Warrant and the Warrant Price after giving effect to any adjustment pursuant to this Section 4 which would be required as a result of such action. Such notice shall be given as promptly as practicable after the Company has taken any such action.</w:t>
      </w:r>
    </w:p>
    <w:p>
      <w:pPr>
        <w:spacing w:after="0" w:line="166" w:lineRule="exact"/>
        <w:rPr>
          <w:sz w:val="20"/>
          <w:szCs w:val="20"/>
          <w:color w:val="auto"/>
        </w:rPr>
      </w:pPr>
    </w:p>
    <w:p>
      <w:pPr>
        <w:jc w:val="both"/>
        <w:ind w:firstLine="382"/>
        <w:spacing w:after="0" w:line="255" w:lineRule="auto"/>
        <w:rPr>
          <w:sz w:val="20"/>
          <w:szCs w:val="20"/>
          <w:color w:val="auto"/>
        </w:rPr>
      </w:pPr>
      <w:r>
        <w:rPr>
          <w:rFonts w:ascii="Times New Roman" w:cs="Times New Roman" w:eastAsia="Times New Roman" w:hAnsi="Times New Roman"/>
          <w:sz w:val="16"/>
          <w:szCs w:val="16"/>
          <w:color w:val="auto"/>
        </w:rPr>
        <w:t xml:space="preserve">4.9 </w:t>
      </w:r>
      <w:r>
        <w:rPr>
          <w:rFonts w:ascii="Times New Roman" w:cs="Times New Roman" w:eastAsia="Times New Roman" w:hAnsi="Times New Roman"/>
          <w:sz w:val="16"/>
          <w:szCs w:val="16"/>
          <w:u w:val="single" w:color="auto"/>
          <w:color w:val="auto"/>
        </w:rPr>
        <w:t>Other Events</w:t>
      </w:r>
      <w:r>
        <w:rPr>
          <w:rFonts w:ascii="Times New Roman" w:cs="Times New Roman" w:eastAsia="Times New Roman" w:hAnsi="Times New Roman"/>
          <w:sz w:val="16"/>
          <w:szCs w:val="16"/>
          <w:color w:val="auto"/>
        </w:rPr>
        <w:t>. In case any event shall occur affecting the Company as to which none of the provisions of preceding subsections of this Section 4 are strictly applicable, but which would require an adjustment to the terms of the Warrants in order to (i) avoid an adverse impact on the Warrants and (ii) effectuate the intent and purpose of this Section 4, then, in each such case, the Company shall appoint a firm of independent public accountants, investment banking or other appraisal firm of recognized national standing, which shall give its opinion as to whether or not any adjustment to the rights represented by the Warrants is necessary to effectuate the intent and purpose of this Section 4 and, if they determine that an adjustment is necessary, the terms of such adjustment. The Company shall adjust the terms of the Warrants in a manner that is consistent with any adjustment recommended in such opinion.</w:t>
      </w:r>
    </w:p>
    <w:p>
      <w:pPr>
        <w:spacing w:after="0" w:line="165" w:lineRule="exact"/>
        <w:rPr>
          <w:sz w:val="20"/>
          <w:szCs w:val="20"/>
          <w:color w:val="auto"/>
        </w:rPr>
      </w:pPr>
    </w:p>
    <w:p>
      <w:pPr>
        <w:ind w:left="540" w:hanging="162"/>
        <w:spacing w:after="0"/>
        <w:tabs>
          <w:tab w:leader="none" w:pos="540" w:val="left"/>
        </w:tabs>
        <w:numPr>
          <w:ilvl w:val="0"/>
          <w:numId w:val="2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Transfer and Exchange of Warrants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right="20" w:firstLine="382"/>
        <w:spacing w:after="0" w:line="259" w:lineRule="auto"/>
        <w:rPr>
          <w:sz w:val="20"/>
          <w:szCs w:val="20"/>
          <w:color w:val="auto"/>
        </w:rPr>
      </w:pPr>
      <w:r>
        <w:rPr>
          <w:rFonts w:ascii="Times New Roman" w:cs="Times New Roman" w:eastAsia="Times New Roman" w:hAnsi="Times New Roman"/>
          <w:sz w:val="16"/>
          <w:szCs w:val="16"/>
          <w:color w:val="auto"/>
        </w:rPr>
        <w:t xml:space="preserve">5.1 </w:t>
      </w:r>
      <w:r>
        <w:rPr>
          <w:rFonts w:ascii="Times New Roman" w:cs="Times New Roman" w:eastAsia="Times New Roman" w:hAnsi="Times New Roman"/>
          <w:sz w:val="16"/>
          <w:szCs w:val="16"/>
          <w:u w:val="single" w:color="auto"/>
          <w:color w:val="auto"/>
        </w:rPr>
        <w:t>Registration of Transfer</w:t>
      </w:r>
      <w:r>
        <w:rPr>
          <w:rFonts w:ascii="Times New Roman" w:cs="Times New Roman" w:eastAsia="Times New Roman" w:hAnsi="Times New Roman"/>
          <w:sz w:val="16"/>
          <w:szCs w:val="16"/>
          <w:color w:val="auto"/>
        </w:rPr>
        <w:t>. The Warrant Agent shall register the transfer, from time to time, of any outstanding Warrant into the Warrant Register, upon surrender of such Warrant for transfer, properly endorsed with signatures properly guaranteed and accompanied by appropriate instructions for transfer. Upon any such transfer, a new Warrant representing an equal aggregate number of Warrants shall be issued and the old Warrant shall be cancelled by the Warrant Agent. The Warrants so cancelled shall be delivered by the Warrant Agent to the Company from time to time upon the Company’s request.</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85" w:name="page186"/>
    <w:bookmarkEnd w:id="185"/>
    <w:p>
      <w:pPr>
        <w:jc w:val="both"/>
        <w:ind w:firstLine="382"/>
        <w:spacing w:after="0" w:line="257" w:lineRule="auto"/>
        <w:rPr>
          <w:sz w:val="20"/>
          <w:szCs w:val="20"/>
          <w:color w:val="auto"/>
        </w:rPr>
      </w:pPr>
      <w:r>
        <w:rPr>
          <w:rFonts w:ascii="Times New Roman" w:cs="Times New Roman" w:eastAsia="Times New Roman" w:hAnsi="Times New Roman"/>
          <w:sz w:val="16"/>
          <w:szCs w:val="16"/>
          <w:color w:val="auto"/>
        </w:rPr>
        <w:t xml:space="preserve">5.2 </w:t>
      </w:r>
      <w:r>
        <w:rPr>
          <w:rFonts w:ascii="Times New Roman" w:cs="Times New Roman" w:eastAsia="Times New Roman" w:hAnsi="Times New Roman"/>
          <w:sz w:val="16"/>
          <w:szCs w:val="16"/>
          <w:u w:val="single" w:color="auto"/>
          <w:color w:val="auto"/>
        </w:rPr>
        <w:t>Procedure for Surrender of Warrants</w:t>
      </w:r>
      <w:r>
        <w:rPr>
          <w:rFonts w:ascii="Times New Roman" w:cs="Times New Roman" w:eastAsia="Times New Roman" w:hAnsi="Times New Roman"/>
          <w:sz w:val="16"/>
          <w:szCs w:val="16"/>
          <w:color w:val="auto"/>
        </w:rPr>
        <w:t>. Warrants may be surrendered to the Warrant Agent, together with a written request for exchange or transfer, and, thereupon, the Warrant Agent shall issue in exchange therefor one or more new Warrants as requested by the Registered Holder of the Warrants so surrendered, representing an equal aggregate number of Warrants; provided, however, that, in the event a Warrant surrendered for transfer bears a restrictive legend, the Warrant Agent shall not cancel such Warrant and shall issue new Warrants in exchange therefor until the Warrant Agent has received an opinion of counsel for the Company stating that such transfer may be made and indicating whether the new Warrants must also bear a restrictive legend.</w:t>
      </w:r>
    </w:p>
    <w:p>
      <w:pPr>
        <w:spacing w:after="0" w:line="162" w:lineRule="exact"/>
        <w:rPr>
          <w:sz w:val="20"/>
          <w:szCs w:val="20"/>
          <w:color w:val="auto"/>
        </w:rPr>
      </w:pPr>
    </w:p>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 xml:space="preserve">5.3 </w:t>
      </w:r>
      <w:r>
        <w:rPr>
          <w:rFonts w:ascii="Times New Roman" w:cs="Times New Roman" w:eastAsia="Times New Roman" w:hAnsi="Times New Roman"/>
          <w:sz w:val="16"/>
          <w:szCs w:val="16"/>
          <w:u w:val="single" w:color="auto"/>
          <w:color w:val="auto"/>
        </w:rPr>
        <w:t>Fractional Warrants</w:t>
      </w:r>
      <w:r>
        <w:rPr>
          <w:rFonts w:ascii="Times New Roman" w:cs="Times New Roman" w:eastAsia="Times New Roman" w:hAnsi="Times New Roman"/>
          <w:sz w:val="16"/>
          <w:szCs w:val="16"/>
          <w:color w:val="auto"/>
        </w:rPr>
        <w:t>. The Warrant Agent shall not be required to effect any registration of transfer or exchange which will result in the issuance of a warrant certificate or book-entry position for a fraction of a warrant.</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5.4 </w:t>
      </w:r>
      <w:r>
        <w:rPr>
          <w:rFonts w:ascii="Times New Roman" w:cs="Times New Roman" w:eastAsia="Times New Roman" w:hAnsi="Times New Roman"/>
          <w:sz w:val="16"/>
          <w:szCs w:val="16"/>
          <w:u w:val="single" w:color="auto"/>
          <w:color w:val="auto"/>
        </w:rPr>
        <w:t>Service Charges</w:t>
      </w:r>
      <w:r>
        <w:rPr>
          <w:rFonts w:ascii="Times New Roman" w:cs="Times New Roman" w:eastAsia="Times New Roman" w:hAnsi="Times New Roman"/>
          <w:sz w:val="16"/>
          <w:szCs w:val="16"/>
          <w:color w:val="auto"/>
        </w:rPr>
        <w:t>. No service charge shall be made for any exchange or registration of transfer of Warrants.</w:t>
      </w:r>
    </w:p>
    <w:p>
      <w:pPr>
        <w:spacing w:after="0" w:line="198" w:lineRule="exact"/>
        <w:rPr>
          <w:sz w:val="20"/>
          <w:szCs w:val="20"/>
          <w:color w:val="auto"/>
        </w:rPr>
      </w:pPr>
    </w:p>
    <w:p>
      <w:pPr>
        <w:jc w:val="both"/>
        <w:ind w:firstLine="382"/>
        <w:spacing w:after="0" w:line="265" w:lineRule="auto"/>
        <w:rPr>
          <w:sz w:val="20"/>
          <w:szCs w:val="20"/>
          <w:color w:val="auto"/>
        </w:rPr>
      </w:pPr>
      <w:r>
        <w:rPr>
          <w:rFonts w:ascii="Times New Roman" w:cs="Times New Roman" w:eastAsia="Times New Roman" w:hAnsi="Times New Roman"/>
          <w:sz w:val="16"/>
          <w:szCs w:val="16"/>
          <w:color w:val="auto"/>
        </w:rPr>
        <w:t xml:space="preserve">5.5 </w:t>
      </w:r>
      <w:r>
        <w:rPr>
          <w:rFonts w:ascii="Times New Roman" w:cs="Times New Roman" w:eastAsia="Times New Roman" w:hAnsi="Times New Roman"/>
          <w:sz w:val="16"/>
          <w:szCs w:val="16"/>
          <w:u w:val="single" w:color="auto"/>
          <w:color w:val="auto"/>
        </w:rPr>
        <w:t>Warrant Execution and Countersignature</w:t>
      </w:r>
      <w:r>
        <w:rPr>
          <w:rFonts w:ascii="Times New Roman" w:cs="Times New Roman" w:eastAsia="Times New Roman" w:hAnsi="Times New Roman"/>
          <w:sz w:val="16"/>
          <w:szCs w:val="16"/>
          <w:color w:val="auto"/>
        </w:rPr>
        <w:t>. The Warrant Agent is hereby authorized to countersign and to deliver, in accordance with the terms of this Warrant Agreement, the Warrants required to be issued pursuant to the provisions of this Section 5, and the Company, whenever required by the Warrant Agent, will supply the Warrant Agent with Warrants duly executed on behalf of the Company for such purpose.</w:t>
      </w:r>
    </w:p>
    <w:p>
      <w:pPr>
        <w:spacing w:after="0" w:line="155" w:lineRule="exact"/>
        <w:rPr>
          <w:sz w:val="20"/>
          <w:szCs w:val="20"/>
          <w:color w:val="auto"/>
        </w:rPr>
      </w:pPr>
    </w:p>
    <w:p>
      <w:pPr>
        <w:ind w:left="540" w:hanging="162"/>
        <w:spacing w:after="0"/>
        <w:tabs>
          <w:tab w:leader="none" w:pos="540" w:val="left"/>
        </w:tabs>
        <w:numPr>
          <w:ilvl w:val="0"/>
          <w:numId w:val="2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Redemption</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382"/>
        <w:spacing w:after="0" w:line="252" w:lineRule="auto"/>
        <w:rPr>
          <w:sz w:val="20"/>
          <w:szCs w:val="20"/>
          <w:color w:val="auto"/>
        </w:rPr>
      </w:pPr>
      <w:r>
        <w:rPr>
          <w:rFonts w:ascii="Times New Roman" w:cs="Times New Roman" w:eastAsia="Times New Roman" w:hAnsi="Times New Roman"/>
          <w:sz w:val="16"/>
          <w:szCs w:val="16"/>
          <w:color w:val="auto"/>
        </w:rPr>
        <w:t xml:space="preserve">6.1 </w:t>
      </w:r>
      <w:r>
        <w:rPr>
          <w:rFonts w:ascii="Times New Roman" w:cs="Times New Roman" w:eastAsia="Times New Roman" w:hAnsi="Times New Roman"/>
          <w:sz w:val="16"/>
          <w:szCs w:val="16"/>
          <w:u w:val="single" w:color="auto"/>
          <w:color w:val="auto"/>
        </w:rPr>
        <w:t>Redemption</w:t>
      </w:r>
      <w:r>
        <w:rPr>
          <w:rFonts w:ascii="Times New Roman" w:cs="Times New Roman" w:eastAsia="Times New Roman" w:hAnsi="Times New Roman"/>
          <w:sz w:val="16"/>
          <w:szCs w:val="16"/>
          <w:color w:val="auto"/>
        </w:rPr>
        <w:t>. Subject to the second sentence of this Section 6.1, all (and not less than all) of the outstanding Warrants may be redeemed, in whole and not in part, at the option of the Company, at any time from and after the Warrants become exercisable, and prior to their expiration, at the office of the Warrant Agent, upon the notice referred to in Section 6.2, at the price of $0.01 per Warrant (“</w:t>
      </w:r>
      <w:r>
        <w:rPr>
          <w:rFonts w:ascii="Times New Roman" w:cs="Times New Roman" w:eastAsia="Times New Roman" w:hAnsi="Times New Roman"/>
          <w:sz w:val="16"/>
          <w:szCs w:val="16"/>
          <w:b w:val="1"/>
          <w:bCs w:val="1"/>
          <w:color w:val="auto"/>
        </w:rPr>
        <w:t>Redemption Price</w:t>
      </w:r>
      <w:r>
        <w:rPr>
          <w:rFonts w:ascii="Times New Roman" w:cs="Times New Roman" w:eastAsia="Times New Roman" w:hAnsi="Times New Roman"/>
          <w:sz w:val="16"/>
          <w:szCs w:val="16"/>
          <w:color w:val="auto"/>
        </w:rPr>
        <w:t>”); provided that the last sales price of the shares of Common Stock has been equal to or greater than (i) $16.50 per share in the case of the Note Financing Warrants and the Private Warrants or (ii)165% of the volume weighted average trading price of the Common Stock during the 20 trading day period starting on the trading day prior to the day on which the Company consummated the Merger in the case of the Public Warrants (subject to adjustment for splits, dividends, recapitalizations and other similar events), for any twenty (20) trading days within a thirty (30) trading day period ending on the third business day prior to the date on which notice of redemption is given and provided further that there is a current registration statement in effect with respect to the shares of Common Stock underlying the Warrants and a current prospectus relating thereto, for each day in the aforementioned 30-day trading period and continuing each day thereafter until the Redemption Date (defined below). For avoidance of doubt, if and when the warrants become redeemable by the Company under this Section, the Company may exercise its redemption right, even if it is unable to register or qualify the Warrant Shares for sale under all applicable state securities laws.</w:t>
      </w:r>
    </w:p>
    <w:p>
      <w:pPr>
        <w:spacing w:after="0" w:line="171" w:lineRule="exact"/>
        <w:rPr>
          <w:sz w:val="20"/>
          <w:szCs w:val="20"/>
          <w:color w:val="auto"/>
        </w:rPr>
      </w:pPr>
    </w:p>
    <w:p>
      <w:pPr>
        <w:jc w:val="both"/>
        <w:ind w:right="20" w:firstLine="382"/>
        <w:spacing w:after="0" w:line="259" w:lineRule="auto"/>
        <w:rPr>
          <w:sz w:val="20"/>
          <w:szCs w:val="20"/>
          <w:color w:val="auto"/>
        </w:rPr>
      </w:pPr>
      <w:r>
        <w:rPr>
          <w:rFonts w:ascii="Times New Roman" w:cs="Times New Roman" w:eastAsia="Times New Roman" w:hAnsi="Times New Roman"/>
          <w:sz w:val="16"/>
          <w:szCs w:val="16"/>
          <w:color w:val="auto"/>
        </w:rPr>
        <w:t xml:space="preserve">6.2 </w:t>
      </w:r>
      <w:r>
        <w:rPr>
          <w:rFonts w:ascii="Times New Roman" w:cs="Times New Roman" w:eastAsia="Times New Roman" w:hAnsi="Times New Roman"/>
          <w:sz w:val="16"/>
          <w:szCs w:val="16"/>
          <w:u w:val="single" w:color="auto"/>
          <w:color w:val="auto"/>
        </w:rPr>
        <w:t>Date Fixed for, and Notice of, Redemption</w:t>
      </w:r>
      <w:r>
        <w:rPr>
          <w:rFonts w:ascii="Times New Roman" w:cs="Times New Roman" w:eastAsia="Times New Roman" w:hAnsi="Times New Roman"/>
          <w:sz w:val="16"/>
          <w:szCs w:val="16"/>
          <w:color w:val="auto"/>
        </w:rPr>
        <w:t>. In the event the Company shall elect to redeem all of the Warrants, the Company shall fix a date for the redemption (the “</w:t>
      </w:r>
      <w:r>
        <w:rPr>
          <w:rFonts w:ascii="Times New Roman" w:cs="Times New Roman" w:eastAsia="Times New Roman" w:hAnsi="Times New Roman"/>
          <w:sz w:val="16"/>
          <w:szCs w:val="16"/>
          <w:b w:val="1"/>
          <w:bCs w:val="1"/>
          <w:color w:val="auto"/>
        </w:rPr>
        <w:t>Redemption Date</w:t>
      </w:r>
      <w:r>
        <w:rPr>
          <w:rFonts w:ascii="Times New Roman" w:cs="Times New Roman" w:eastAsia="Times New Roman" w:hAnsi="Times New Roman"/>
          <w:sz w:val="16"/>
          <w:szCs w:val="16"/>
          <w:color w:val="auto"/>
        </w:rPr>
        <w:t>”). Notice of redemption shall be mailed by first class mail, postage prepaid, by the Company not less than 30 days prior to the date fixed for redemption to the Registered Holders of the Warrants to be redeemed at their last addresses as they shall appear on the Warrant Register. Any notice mailed in the manner herein provided shall be conclusively presumed to have been duly given, whether or not the Registered Holder received such notice.</w:t>
      </w:r>
    </w:p>
    <w:p>
      <w:pPr>
        <w:spacing w:after="0" w:line="162"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6"/>
          <w:szCs w:val="16"/>
          <w:color w:val="auto"/>
        </w:rPr>
        <w:t xml:space="preserve">6.3 </w:t>
      </w:r>
      <w:r>
        <w:rPr>
          <w:rFonts w:ascii="Times New Roman" w:cs="Times New Roman" w:eastAsia="Times New Roman" w:hAnsi="Times New Roman"/>
          <w:sz w:val="16"/>
          <w:szCs w:val="16"/>
          <w:u w:val="single" w:color="auto"/>
          <w:color w:val="auto"/>
        </w:rPr>
        <w:t>Exercise After Notice of Redemption</w:t>
      </w:r>
      <w:r>
        <w:rPr>
          <w:rFonts w:ascii="Times New Roman" w:cs="Times New Roman" w:eastAsia="Times New Roman" w:hAnsi="Times New Roman"/>
          <w:sz w:val="16"/>
          <w:szCs w:val="16"/>
          <w:color w:val="auto"/>
        </w:rPr>
        <w:t>. The Warrants may be exercised in accordance with Section 3 of this Warrant Agreement at any time after notice of redemption shall have been given by the Company pursuant to Section 6.2 hereof and prior to the Redemption Date; provided that the Company may require the Registered Holder who desires to exercise the Warrant to elect cashless exercise as set forth under Section 3.3.2, and such Registered Holder must exercise the Warrants on a cashless basis if the Company so requires. On and after the Redemption Date, the Registered Holder of the Warrants shall have no further rights except to receive, upon surrender of the Warrants, the Redemption Price.</w:t>
      </w:r>
    </w:p>
    <w:p>
      <w:pPr>
        <w:spacing w:after="0" w:line="162" w:lineRule="exact"/>
        <w:rPr>
          <w:sz w:val="20"/>
          <w:szCs w:val="20"/>
          <w:color w:val="auto"/>
        </w:rPr>
      </w:pPr>
    </w:p>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 xml:space="preserve">6.4 </w:t>
      </w:r>
      <w:r>
        <w:rPr>
          <w:rFonts w:ascii="Times New Roman" w:cs="Times New Roman" w:eastAsia="Times New Roman" w:hAnsi="Times New Roman"/>
          <w:sz w:val="16"/>
          <w:szCs w:val="16"/>
          <w:u w:val="single" w:color="auto"/>
          <w:color w:val="auto"/>
        </w:rPr>
        <w:t>No Other Rights to Cash Payment</w:t>
      </w:r>
      <w:r>
        <w:rPr>
          <w:rFonts w:ascii="Times New Roman" w:cs="Times New Roman" w:eastAsia="Times New Roman" w:hAnsi="Times New Roman"/>
          <w:sz w:val="16"/>
          <w:szCs w:val="16"/>
          <w:color w:val="auto"/>
        </w:rPr>
        <w:t>. Except for a redemption in accordance with this Section 6, no Registered Holder of any Warrant shall be entitled to any cash payment whatsoever from the Company in connection with the ownership, exercise or surrender of any Warrant under this Warrant Agreement.</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86" w:name="page187"/>
    <w:bookmarkEnd w:id="186"/>
    <w:p>
      <w:pPr>
        <w:ind w:left="540" w:hanging="162"/>
        <w:spacing w:after="0"/>
        <w:tabs>
          <w:tab w:leader="none" w:pos="540" w:val="left"/>
        </w:tabs>
        <w:numPr>
          <w:ilvl w:val="0"/>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Other Provisions Relating to Rights of Registered Holders of Warrants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right="20" w:firstLine="382"/>
        <w:spacing w:after="0" w:line="265" w:lineRule="auto"/>
        <w:rPr>
          <w:sz w:val="20"/>
          <w:szCs w:val="20"/>
          <w:color w:val="auto"/>
        </w:rPr>
      </w:pPr>
      <w:r>
        <w:rPr>
          <w:rFonts w:ascii="Times New Roman" w:cs="Times New Roman" w:eastAsia="Times New Roman" w:hAnsi="Times New Roman"/>
          <w:sz w:val="16"/>
          <w:szCs w:val="16"/>
          <w:color w:val="auto"/>
        </w:rPr>
        <w:t xml:space="preserve">7.1 </w:t>
      </w:r>
      <w:r>
        <w:rPr>
          <w:rFonts w:ascii="Times New Roman" w:cs="Times New Roman" w:eastAsia="Times New Roman" w:hAnsi="Times New Roman"/>
          <w:sz w:val="16"/>
          <w:szCs w:val="16"/>
          <w:u w:val="single" w:color="auto"/>
          <w:color w:val="auto"/>
        </w:rPr>
        <w:t>No Rights as Stockholder</w:t>
      </w:r>
      <w:r>
        <w:rPr>
          <w:rFonts w:ascii="Times New Roman" w:cs="Times New Roman" w:eastAsia="Times New Roman" w:hAnsi="Times New Roman"/>
          <w:sz w:val="16"/>
          <w:szCs w:val="16"/>
          <w:color w:val="auto"/>
        </w:rPr>
        <w:t>. A Warrant does not entitle the Registered Holder thereof to any of the rights of a stockholder of the Company, including, without limitation, the right to receive dividends, or other distributions, exercise any preemptive rights to vote or to consent or to receive notice as stockholders in respect of the meetings of stockholders or the election of directors of the Company or any other matter.</w:t>
      </w:r>
    </w:p>
    <w:p>
      <w:pPr>
        <w:spacing w:after="0" w:line="155" w:lineRule="exact"/>
        <w:rPr>
          <w:sz w:val="20"/>
          <w:szCs w:val="20"/>
          <w:color w:val="auto"/>
        </w:rPr>
      </w:pPr>
    </w:p>
    <w:p>
      <w:pPr>
        <w:jc w:val="both"/>
        <w:ind w:right="20" w:firstLine="382"/>
        <w:spacing w:after="0" w:line="259" w:lineRule="auto"/>
        <w:rPr>
          <w:sz w:val="20"/>
          <w:szCs w:val="20"/>
          <w:color w:val="auto"/>
        </w:rPr>
      </w:pPr>
      <w:r>
        <w:rPr>
          <w:rFonts w:ascii="Times New Roman" w:cs="Times New Roman" w:eastAsia="Times New Roman" w:hAnsi="Times New Roman"/>
          <w:sz w:val="16"/>
          <w:szCs w:val="16"/>
          <w:color w:val="auto"/>
        </w:rPr>
        <w:t xml:space="preserve">7.2 </w:t>
      </w:r>
      <w:r>
        <w:rPr>
          <w:rFonts w:ascii="Times New Roman" w:cs="Times New Roman" w:eastAsia="Times New Roman" w:hAnsi="Times New Roman"/>
          <w:sz w:val="16"/>
          <w:szCs w:val="16"/>
          <w:u w:val="single" w:color="auto"/>
          <w:color w:val="auto"/>
        </w:rPr>
        <w:t>Lost, Stolen Mutilated or Destroyed Warrants</w:t>
      </w:r>
      <w:r>
        <w:rPr>
          <w:rFonts w:ascii="Times New Roman" w:cs="Times New Roman" w:eastAsia="Times New Roman" w:hAnsi="Times New Roman"/>
          <w:sz w:val="16"/>
          <w:szCs w:val="16"/>
          <w:color w:val="auto"/>
        </w:rPr>
        <w:t>. If any Warrant is lost, stolen, mutilated or destroyed, the Company and the Warrant Agent may, on such terms as to indemnity or otherwise as they may in their discretion impose (which terms shall, in the case of a mutilated Warrant, include the surrender thereof), issue a new Warrant of like denomination, tenor and date as the Warrant so lost, stolen, mutilated or destroyed. Any such new Warrant shall constitute a substitute contractual obligation of the Company, whether or not the allegedly lost, stolen, mutilated or destroyed Warrant shall be at any time enforceable by anyone.</w:t>
      </w:r>
    </w:p>
    <w:p>
      <w:pPr>
        <w:spacing w:after="0" w:line="162" w:lineRule="exact"/>
        <w:rPr>
          <w:sz w:val="20"/>
          <w:szCs w:val="20"/>
          <w:color w:val="auto"/>
        </w:rPr>
      </w:pPr>
    </w:p>
    <w:p>
      <w:pPr>
        <w:jc w:val="both"/>
        <w:ind w:firstLine="382"/>
        <w:spacing w:after="0" w:line="280" w:lineRule="auto"/>
        <w:rPr>
          <w:sz w:val="20"/>
          <w:szCs w:val="20"/>
          <w:color w:val="auto"/>
        </w:rPr>
      </w:pPr>
      <w:r>
        <w:rPr>
          <w:rFonts w:ascii="Times New Roman" w:cs="Times New Roman" w:eastAsia="Times New Roman" w:hAnsi="Times New Roman"/>
          <w:sz w:val="16"/>
          <w:szCs w:val="16"/>
          <w:color w:val="auto"/>
        </w:rPr>
        <w:t xml:space="preserve">7.3 </w:t>
      </w:r>
      <w:r>
        <w:rPr>
          <w:rFonts w:ascii="Times New Roman" w:cs="Times New Roman" w:eastAsia="Times New Roman" w:hAnsi="Times New Roman"/>
          <w:sz w:val="16"/>
          <w:szCs w:val="16"/>
          <w:u w:val="single" w:color="auto"/>
          <w:color w:val="auto"/>
        </w:rPr>
        <w:t>Reservation of shares of Common Stock</w:t>
      </w:r>
      <w:r>
        <w:rPr>
          <w:rFonts w:ascii="Times New Roman" w:cs="Times New Roman" w:eastAsia="Times New Roman" w:hAnsi="Times New Roman"/>
          <w:sz w:val="16"/>
          <w:szCs w:val="16"/>
          <w:color w:val="auto"/>
        </w:rPr>
        <w:t>. The Company shall at all times reserve and keep available a number of its authorized but unissued shares of Common Stock that will be sufficient to permit the exercise in full of all outstanding Warrants issued pursuant to this Warrant Agreement.</w:t>
      </w:r>
    </w:p>
    <w:p>
      <w:pPr>
        <w:spacing w:after="0" w:line="144" w:lineRule="exact"/>
        <w:rPr>
          <w:sz w:val="20"/>
          <w:szCs w:val="20"/>
          <w:color w:val="auto"/>
        </w:rPr>
      </w:pPr>
    </w:p>
    <w:p>
      <w:pPr>
        <w:jc w:val="both"/>
        <w:ind w:right="20" w:firstLine="382"/>
        <w:spacing w:after="0" w:line="257" w:lineRule="auto"/>
        <w:rPr>
          <w:sz w:val="20"/>
          <w:szCs w:val="20"/>
          <w:color w:val="auto"/>
        </w:rPr>
      </w:pPr>
      <w:r>
        <w:rPr>
          <w:rFonts w:ascii="Times New Roman" w:cs="Times New Roman" w:eastAsia="Times New Roman" w:hAnsi="Times New Roman"/>
          <w:sz w:val="16"/>
          <w:szCs w:val="16"/>
          <w:color w:val="auto"/>
        </w:rPr>
        <w:t xml:space="preserve">7.4 </w:t>
      </w:r>
      <w:r>
        <w:rPr>
          <w:rFonts w:ascii="Times New Roman" w:cs="Times New Roman" w:eastAsia="Times New Roman" w:hAnsi="Times New Roman"/>
          <w:sz w:val="16"/>
          <w:szCs w:val="16"/>
          <w:u w:val="single" w:color="auto"/>
          <w:color w:val="auto"/>
        </w:rPr>
        <w:t>Registration of shares of Common Stock</w:t>
      </w:r>
      <w:r>
        <w:rPr>
          <w:rFonts w:ascii="Times New Roman" w:cs="Times New Roman" w:eastAsia="Times New Roman" w:hAnsi="Times New Roman"/>
          <w:sz w:val="16"/>
          <w:szCs w:val="16"/>
          <w:color w:val="auto"/>
        </w:rPr>
        <w:t>. The Company agrees that as soon as practicable, but in no event later than 30 business days after the closing of a business combination, it shall use its best efforts to file with the SEC a registration statement for the registration under the Act of the shares of Common Stock issuable upon exercise of the Warrants, and to cause the same to become effective and to maintain the effectiveness of such registration statement, and a current prospectus relating thereto, until the expiration of the Warrants in accordance with the provisions of this Warrant Agreement. In addition, the Company agrees to use its best efforts to register the shares of Common Stock issuable upon exercise of the Warrants under state blue sky laws, to the extent an exemption is not available.</w:t>
      </w:r>
    </w:p>
    <w:p>
      <w:pPr>
        <w:spacing w:after="0" w:line="162" w:lineRule="exact"/>
        <w:rPr>
          <w:sz w:val="20"/>
          <w:szCs w:val="20"/>
          <w:color w:val="auto"/>
        </w:rPr>
      </w:pPr>
    </w:p>
    <w:p>
      <w:pPr>
        <w:ind w:left="540" w:hanging="162"/>
        <w:spacing w:after="0"/>
        <w:tabs>
          <w:tab w:leader="none" w:pos="540" w:val="left"/>
        </w:tabs>
        <w:numPr>
          <w:ilvl w:val="0"/>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Concerning the Warrant Agent and Other Matters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right="20" w:firstLine="382"/>
        <w:spacing w:after="0" w:line="265" w:lineRule="auto"/>
        <w:rPr>
          <w:sz w:val="20"/>
          <w:szCs w:val="20"/>
          <w:color w:val="auto"/>
        </w:rPr>
      </w:pPr>
      <w:r>
        <w:rPr>
          <w:rFonts w:ascii="Times New Roman" w:cs="Times New Roman" w:eastAsia="Times New Roman" w:hAnsi="Times New Roman"/>
          <w:sz w:val="16"/>
          <w:szCs w:val="16"/>
          <w:color w:val="auto"/>
        </w:rPr>
        <w:t xml:space="preserve">8.1 </w:t>
      </w:r>
      <w:r>
        <w:rPr>
          <w:rFonts w:ascii="Times New Roman" w:cs="Times New Roman" w:eastAsia="Times New Roman" w:hAnsi="Times New Roman"/>
          <w:sz w:val="16"/>
          <w:szCs w:val="16"/>
          <w:u w:val="single" w:color="auto"/>
          <w:color w:val="auto"/>
        </w:rPr>
        <w:t>Payment of Taxes</w:t>
      </w:r>
      <w:r>
        <w:rPr>
          <w:rFonts w:ascii="Times New Roman" w:cs="Times New Roman" w:eastAsia="Times New Roman" w:hAnsi="Times New Roman"/>
          <w:sz w:val="16"/>
          <w:szCs w:val="16"/>
          <w:color w:val="auto"/>
        </w:rPr>
        <w:t>. The Company will, from time to time, promptly pay all taxes and charges that may be imposed upon the Company or the Warrant Agent in respect of the issuance or delivery of shares of Common Stock upon the exercise of Warrants, but the Company shall not be obligated to pay any transfer taxes in respect of the Warrants or such shares of Common Stock.</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8.2 </w:t>
      </w:r>
      <w:r>
        <w:rPr>
          <w:rFonts w:ascii="Times New Roman" w:cs="Times New Roman" w:eastAsia="Times New Roman" w:hAnsi="Times New Roman"/>
          <w:sz w:val="16"/>
          <w:szCs w:val="16"/>
          <w:u w:val="single" w:color="auto"/>
          <w:color w:val="auto"/>
        </w:rPr>
        <w:t>Resignation, Consolidation, or Merger of Warrant Agent</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382"/>
        <w:spacing w:after="0" w:line="252" w:lineRule="auto"/>
        <w:rPr>
          <w:sz w:val="20"/>
          <w:szCs w:val="20"/>
          <w:color w:val="auto"/>
        </w:rPr>
      </w:pPr>
      <w:r>
        <w:rPr>
          <w:rFonts w:ascii="Times New Roman" w:cs="Times New Roman" w:eastAsia="Times New Roman" w:hAnsi="Times New Roman"/>
          <w:sz w:val="16"/>
          <w:szCs w:val="16"/>
          <w:color w:val="auto"/>
        </w:rPr>
        <w:t xml:space="preserve">8.2.1 </w:t>
      </w:r>
      <w:r>
        <w:rPr>
          <w:rFonts w:ascii="Times New Roman" w:cs="Times New Roman" w:eastAsia="Times New Roman" w:hAnsi="Times New Roman"/>
          <w:sz w:val="16"/>
          <w:szCs w:val="16"/>
          <w:u w:val="single" w:color="auto"/>
          <w:color w:val="auto"/>
        </w:rPr>
        <w:t>Appointment of Successor Warrant Agent</w:t>
      </w:r>
      <w:r>
        <w:rPr>
          <w:rFonts w:ascii="Times New Roman" w:cs="Times New Roman" w:eastAsia="Times New Roman" w:hAnsi="Times New Roman"/>
          <w:sz w:val="16"/>
          <w:szCs w:val="16"/>
          <w:color w:val="auto"/>
        </w:rPr>
        <w:t>. The Warrant Agent, or any successor to it hereafter appointed, may resign its duties and be discharged from all further duties and liabilities hereunder after giving 60 days’ notice in writing to the Company. If the office of the Warrant Agent becomes vacant by resignation or incapacity to act or otherwise, the Company shall appoint, in writing, a successor Warrant Agent in place of the Warrant Agent. If the Company shall fail to make such appointment within a period of 30 days after it has been notified in writing of such resignation or incapacity by the Warrant Agent or by the Registered Holder of the Warrant (who shall, with such notice, submit his, her or its Warrant for inspection by the Company), then the Registered Holder of any Warrant may apply to the Supreme Court of the State of New York for the County of New York for the appointment of a successor Warrant Agent. Any successor Warrant Agent, whether appointed by the Company or by such court, shall be a corporation organized and existing under the laws of the State of New York, in good standing and having its principal office in the Borough of Manhattan, City and State of New York, and be authorized under such laws to exercise corporate trust powers and subject to supervision or examination by federal or state authorities. After appointment, any successor Warrant Agent shall be vested with all the authority, powers, rights, immunities, duties and obligations of its predecessor Warrant Agent with like effect as if originally named as Warrant Agent hereunder, without any further act or deed; but, if for any reason it becomes necessary or appropriate, the predecessor Warrant Agent shall execute and deliver, at the expense of the Company, an instrument transferring to such successor Warrant Agent all the authority, powers, and rights of such predecessor Warrant Agent hereunder; and, upon request of any successor Warrant Agent, the Company shall make, execute, acknowledge, and deliver any and all instruments in writing for more fully and effectually vesting in and confirming to such successor Warrant Agent all such authority, powers, rights, immunities, duties and obligations.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87" w:name="page188"/>
    <w:bookmarkEnd w:id="187"/>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 xml:space="preserve">8.2.2 </w:t>
      </w:r>
      <w:r>
        <w:rPr>
          <w:rFonts w:ascii="Times New Roman" w:cs="Times New Roman" w:eastAsia="Times New Roman" w:hAnsi="Times New Roman"/>
          <w:sz w:val="16"/>
          <w:szCs w:val="16"/>
          <w:u w:val="single" w:color="auto"/>
          <w:color w:val="auto"/>
        </w:rPr>
        <w:t>Notice of Successor Warrant Agent</w:t>
      </w:r>
      <w:r>
        <w:rPr>
          <w:rFonts w:ascii="Times New Roman" w:cs="Times New Roman" w:eastAsia="Times New Roman" w:hAnsi="Times New Roman"/>
          <w:sz w:val="16"/>
          <w:szCs w:val="16"/>
          <w:color w:val="auto"/>
        </w:rPr>
        <w:t>. In the event a successor Warrant Agent shall be appointed, the Company shall give notice thereof to the predecessor Warrant Agent and the transfer agent for the shares of Common Stock not later than the effective date of any such appointment.</w:t>
      </w:r>
    </w:p>
    <w:p>
      <w:pPr>
        <w:spacing w:after="0" w:line="144" w:lineRule="exact"/>
        <w:rPr>
          <w:sz w:val="20"/>
          <w:szCs w:val="20"/>
          <w:color w:val="auto"/>
        </w:rPr>
      </w:pPr>
    </w:p>
    <w:p>
      <w:pPr>
        <w:jc w:val="both"/>
        <w:ind w:firstLine="382"/>
        <w:spacing w:after="0" w:line="265" w:lineRule="auto"/>
        <w:rPr>
          <w:sz w:val="20"/>
          <w:szCs w:val="20"/>
          <w:color w:val="auto"/>
        </w:rPr>
      </w:pPr>
      <w:r>
        <w:rPr>
          <w:rFonts w:ascii="Times New Roman" w:cs="Times New Roman" w:eastAsia="Times New Roman" w:hAnsi="Times New Roman"/>
          <w:sz w:val="16"/>
          <w:szCs w:val="16"/>
          <w:color w:val="auto"/>
        </w:rPr>
        <w:t xml:space="preserve">8.2.3 </w:t>
      </w:r>
      <w:r>
        <w:rPr>
          <w:rFonts w:ascii="Times New Roman" w:cs="Times New Roman" w:eastAsia="Times New Roman" w:hAnsi="Times New Roman"/>
          <w:sz w:val="16"/>
          <w:szCs w:val="16"/>
          <w:u w:val="single" w:color="auto"/>
          <w:color w:val="auto"/>
        </w:rPr>
        <w:t>Merger or Consolidation of Warrant Agent</w:t>
      </w:r>
      <w:r>
        <w:rPr>
          <w:rFonts w:ascii="Times New Roman" w:cs="Times New Roman" w:eastAsia="Times New Roman" w:hAnsi="Times New Roman"/>
          <w:sz w:val="16"/>
          <w:szCs w:val="16"/>
          <w:color w:val="auto"/>
        </w:rPr>
        <w:t>. Any corporation into which the Warrant Agent may be merged or with which it may be consolidated or any corporation resulting from any merger or consolidation to which the Warrant Agent shall be a party shall be the successor Warrant Agent under this Warrant Agreement without any further act on the part of the Company or the Warrant Agent.</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8.3 </w:t>
      </w:r>
      <w:r>
        <w:rPr>
          <w:rFonts w:ascii="Times New Roman" w:cs="Times New Roman" w:eastAsia="Times New Roman" w:hAnsi="Times New Roman"/>
          <w:sz w:val="16"/>
          <w:szCs w:val="16"/>
          <w:u w:val="single" w:color="auto"/>
          <w:color w:val="auto"/>
        </w:rPr>
        <w:t>Fees and Expenses of Warrant Agent</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 xml:space="preserve">8.3.1 </w:t>
      </w:r>
      <w:r>
        <w:rPr>
          <w:rFonts w:ascii="Times New Roman" w:cs="Times New Roman" w:eastAsia="Times New Roman" w:hAnsi="Times New Roman"/>
          <w:sz w:val="16"/>
          <w:szCs w:val="16"/>
          <w:u w:val="single" w:color="auto"/>
          <w:color w:val="auto"/>
        </w:rPr>
        <w:t>Remuneration</w:t>
      </w:r>
      <w:r>
        <w:rPr>
          <w:rFonts w:ascii="Times New Roman" w:cs="Times New Roman" w:eastAsia="Times New Roman" w:hAnsi="Times New Roman"/>
          <w:sz w:val="16"/>
          <w:szCs w:val="16"/>
          <w:color w:val="auto"/>
        </w:rPr>
        <w:t>. The Company agrees to pay the Warrant Agent reasonable remuneration for its services as Warrant Agent hereunder and will reimburse the Warrant Agent upon demand for all expenditures that the Warrant Agent may reasonably incur in the execution of its duties hereunder.</w:t>
      </w:r>
    </w:p>
    <w:p>
      <w:pPr>
        <w:spacing w:after="0" w:line="144" w:lineRule="exact"/>
        <w:rPr>
          <w:sz w:val="20"/>
          <w:szCs w:val="20"/>
          <w:color w:val="auto"/>
        </w:rPr>
      </w:pPr>
    </w:p>
    <w:p>
      <w:pPr>
        <w:jc w:val="both"/>
        <w:ind w:firstLine="382"/>
        <w:spacing w:after="0" w:line="265" w:lineRule="auto"/>
        <w:rPr>
          <w:sz w:val="20"/>
          <w:szCs w:val="20"/>
          <w:color w:val="auto"/>
        </w:rPr>
      </w:pPr>
      <w:r>
        <w:rPr>
          <w:rFonts w:ascii="Times New Roman" w:cs="Times New Roman" w:eastAsia="Times New Roman" w:hAnsi="Times New Roman"/>
          <w:sz w:val="16"/>
          <w:szCs w:val="16"/>
          <w:color w:val="auto"/>
        </w:rPr>
        <w:t xml:space="preserve">8.3.2 </w:t>
      </w:r>
      <w:r>
        <w:rPr>
          <w:rFonts w:ascii="Times New Roman" w:cs="Times New Roman" w:eastAsia="Times New Roman" w:hAnsi="Times New Roman"/>
          <w:sz w:val="16"/>
          <w:szCs w:val="16"/>
          <w:u w:val="single" w:color="auto"/>
          <w:color w:val="auto"/>
        </w:rPr>
        <w:t>Further Assurances</w:t>
      </w:r>
      <w:r>
        <w:rPr>
          <w:rFonts w:ascii="Times New Roman" w:cs="Times New Roman" w:eastAsia="Times New Roman" w:hAnsi="Times New Roman"/>
          <w:sz w:val="16"/>
          <w:szCs w:val="16"/>
          <w:color w:val="auto"/>
        </w:rPr>
        <w:t>. The Company agrees to perform, execute, acknowledge and deliver, or cause to be performed, executed, acknowledged and delivered, all such further and other acts, instruments and assurances as may reasonably be required by the Warrant Agent for the carrying out or performing of the provisions of this Warrant Agreement.</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8.4 </w:t>
      </w:r>
      <w:r>
        <w:rPr>
          <w:rFonts w:ascii="Times New Roman" w:cs="Times New Roman" w:eastAsia="Times New Roman" w:hAnsi="Times New Roman"/>
          <w:sz w:val="16"/>
          <w:szCs w:val="16"/>
          <w:u w:val="single" w:color="auto"/>
          <w:color w:val="auto"/>
        </w:rPr>
        <w:t>Liability of Warrant Agent</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right="20" w:firstLine="382"/>
        <w:spacing w:after="0" w:line="257" w:lineRule="auto"/>
        <w:rPr>
          <w:sz w:val="20"/>
          <w:szCs w:val="20"/>
          <w:color w:val="auto"/>
        </w:rPr>
      </w:pPr>
      <w:r>
        <w:rPr>
          <w:rFonts w:ascii="Times New Roman" w:cs="Times New Roman" w:eastAsia="Times New Roman" w:hAnsi="Times New Roman"/>
          <w:sz w:val="16"/>
          <w:szCs w:val="16"/>
          <w:color w:val="auto"/>
        </w:rPr>
        <w:t xml:space="preserve">8.4.1 </w:t>
      </w:r>
      <w:r>
        <w:rPr>
          <w:rFonts w:ascii="Times New Roman" w:cs="Times New Roman" w:eastAsia="Times New Roman" w:hAnsi="Times New Roman"/>
          <w:sz w:val="16"/>
          <w:szCs w:val="16"/>
          <w:u w:val="single" w:color="auto"/>
          <w:color w:val="auto"/>
        </w:rPr>
        <w:t>Reliance on Company Statement</w:t>
      </w:r>
      <w:r>
        <w:rPr>
          <w:rFonts w:ascii="Times New Roman" w:cs="Times New Roman" w:eastAsia="Times New Roman" w:hAnsi="Times New Roman"/>
          <w:sz w:val="16"/>
          <w:szCs w:val="16"/>
          <w:color w:val="auto"/>
        </w:rPr>
        <w:t>. Whenever, in the performance of its duties under this Warrant Agreement, the Warrant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statement signed by the Chief Executive Officer, Chief Financial Officer or Chairman of the Board of the Company and delivered to the Warrant Agent. The Warrant Agent may rely upon such statement for any action taken or suffered in good faith by it pursuant to the provisions of this Warrant Agreement.</w:t>
      </w:r>
    </w:p>
    <w:p>
      <w:pPr>
        <w:spacing w:after="0" w:line="162" w:lineRule="exact"/>
        <w:rPr>
          <w:sz w:val="20"/>
          <w:szCs w:val="20"/>
          <w:color w:val="auto"/>
        </w:rPr>
      </w:pPr>
    </w:p>
    <w:p>
      <w:pPr>
        <w:jc w:val="both"/>
        <w:ind w:firstLine="382"/>
        <w:spacing w:after="0" w:line="265" w:lineRule="auto"/>
        <w:rPr>
          <w:sz w:val="20"/>
          <w:szCs w:val="20"/>
          <w:color w:val="auto"/>
        </w:rPr>
      </w:pPr>
      <w:r>
        <w:rPr>
          <w:rFonts w:ascii="Times New Roman" w:cs="Times New Roman" w:eastAsia="Times New Roman" w:hAnsi="Times New Roman"/>
          <w:sz w:val="16"/>
          <w:szCs w:val="16"/>
          <w:color w:val="auto"/>
        </w:rPr>
        <w:t xml:space="preserve">8.4.2 </w:t>
      </w:r>
      <w:r>
        <w:rPr>
          <w:rFonts w:ascii="Times New Roman" w:cs="Times New Roman" w:eastAsia="Times New Roman" w:hAnsi="Times New Roman"/>
          <w:sz w:val="16"/>
          <w:szCs w:val="16"/>
          <w:u w:val="single" w:color="auto"/>
          <w:color w:val="auto"/>
        </w:rPr>
        <w:t>Indemnity</w:t>
      </w:r>
      <w:r>
        <w:rPr>
          <w:rFonts w:ascii="Times New Roman" w:cs="Times New Roman" w:eastAsia="Times New Roman" w:hAnsi="Times New Roman"/>
          <w:sz w:val="16"/>
          <w:szCs w:val="16"/>
          <w:color w:val="auto"/>
        </w:rPr>
        <w:t>. The Warrant Agent shall be liable hereunder only for its own gross negligence, willful misconduct or bad faith. The Company agrees to indemnify the Warrant Agent and hold it harmless against any and all liabilities, including judgments, costs and reasonable counsel fees, for anything done or omitted by the Warrant Agent in the execution of this Warrant Agreement, except as a result of the Warrant Agent’s gross negligence, willful misconduct or bad faith.</w:t>
      </w:r>
    </w:p>
    <w:p>
      <w:pPr>
        <w:spacing w:after="0" w:line="155" w:lineRule="exact"/>
        <w:rPr>
          <w:sz w:val="20"/>
          <w:szCs w:val="20"/>
          <w:color w:val="auto"/>
        </w:rPr>
      </w:pPr>
    </w:p>
    <w:p>
      <w:pPr>
        <w:jc w:val="both"/>
        <w:ind w:right="20" w:firstLine="382"/>
        <w:spacing w:after="0" w:line="255" w:lineRule="auto"/>
        <w:rPr>
          <w:sz w:val="20"/>
          <w:szCs w:val="20"/>
          <w:color w:val="auto"/>
        </w:rPr>
      </w:pPr>
      <w:r>
        <w:rPr>
          <w:rFonts w:ascii="Times New Roman" w:cs="Times New Roman" w:eastAsia="Times New Roman" w:hAnsi="Times New Roman"/>
          <w:sz w:val="16"/>
          <w:szCs w:val="16"/>
          <w:color w:val="auto"/>
        </w:rPr>
        <w:t xml:space="preserve">8.4.3 </w:t>
      </w:r>
      <w:r>
        <w:rPr>
          <w:rFonts w:ascii="Times New Roman" w:cs="Times New Roman" w:eastAsia="Times New Roman" w:hAnsi="Times New Roman"/>
          <w:sz w:val="16"/>
          <w:szCs w:val="16"/>
          <w:u w:val="single" w:color="auto"/>
          <w:color w:val="auto"/>
        </w:rPr>
        <w:t>Exclusions</w:t>
      </w:r>
      <w:r>
        <w:rPr>
          <w:rFonts w:ascii="Times New Roman" w:cs="Times New Roman" w:eastAsia="Times New Roman" w:hAnsi="Times New Roman"/>
          <w:sz w:val="16"/>
          <w:szCs w:val="16"/>
          <w:color w:val="auto"/>
        </w:rPr>
        <w:t>. The Warrant Agent shall have no responsibility with respect to the validity of this Warrant Agreement or with respect to the validity or execution of any Warrant (except its countersignature thereof); nor shall it be responsible for any breach by the Company of any covenant or condition contained in this Warrant Agreement or in any Warrant; nor shall it be responsible to make any adjustments required under the provisions of Section 4 hereof or responsible for the manner, method or amount of any such adjustment or the ascertaining of the existence of facts that would require any such adjustment; nor shall it, by any act hereunder, be deemed to make any representation or warranty as to the authorization or reservation of any shares of Common Stock to be issued pursuant to this Warrant Agreement or any Warrant or as to whether any shares of Common Stock will when issued be valid and fully paid and non-assessable.</w:t>
      </w:r>
    </w:p>
    <w:p>
      <w:pPr>
        <w:spacing w:after="0" w:line="165" w:lineRule="exact"/>
        <w:rPr>
          <w:sz w:val="20"/>
          <w:szCs w:val="20"/>
          <w:color w:val="auto"/>
        </w:rPr>
      </w:pPr>
    </w:p>
    <w:p>
      <w:pPr>
        <w:jc w:val="both"/>
        <w:ind w:firstLine="382"/>
        <w:spacing w:after="0" w:line="265" w:lineRule="auto"/>
        <w:rPr>
          <w:sz w:val="20"/>
          <w:szCs w:val="20"/>
          <w:color w:val="auto"/>
        </w:rPr>
      </w:pPr>
      <w:r>
        <w:rPr>
          <w:rFonts w:ascii="Times New Roman" w:cs="Times New Roman" w:eastAsia="Times New Roman" w:hAnsi="Times New Roman"/>
          <w:sz w:val="16"/>
          <w:szCs w:val="16"/>
          <w:color w:val="auto"/>
        </w:rPr>
        <w:t xml:space="preserve">8.5 </w:t>
      </w:r>
      <w:r>
        <w:rPr>
          <w:rFonts w:ascii="Times New Roman" w:cs="Times New Roman" w:eastAsia="Times New Roman" w:hAnsi="Times New Roman"/>
          <w:sz w:val="16"/>
          <w:szCs w:val="16"/>
          <w:u w:val="single" w:color="auto"/>
          <w:color w:val="auto"/>
        </w:rPr>
        <w:t>Acceptance of Agency</w:t>
      </w:r>
      <w:r>
        <w:rPr>
          <w:rFonts w:ascii="Times New Roman" w:cs="Times New Roman" w:eastAsia="Times New Roman" w:hAnsi="Times New Roman"/>
          <w:sz w:val="16"/>
          <w:szCs w:val="16"/>
          <w:color w:val="auto"/>
        </w:rPr>
        <w:t>. The Warrant Agent hereby accepts the agency established by this Warrant Agreement and agrees to perform the same upon the terms and conditions herein set forth and, among other things, shall account promptly to the Company with respect to Warrants exercised and concurrently account for, and pay to the Company, all moneys received by the Warrant Agent for the purchase of shares of the Company’s shares of Common Stock through the exercise of Warrants.</w:t>
      </w:r>
    </w:p>
    <w:p>
      <w:pPr>
        <w:spacing w:after="0" w:line="155" w:lineRule="exact"/>
        <w:rPr>
          <w:sz w:val="20"/>
          <w:szCs w:val="20"/>
          <w:color w:val="auto"/>
        </w:rPr>
      </w:pPr>
    </w:p>
    <w:p>
      <w:pPr>
        <w:ind w:left="540" w:hanging="162"/>
        <w:spacing w:after="0"/>
        <w:tabs>
          <w:tab w:leader="none" w:pos="540" w:val="left"/>
        </w:tabs>
        <w:numPr>
          <w:ilvl w:val="0"/>
          <w:numId w:val="2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Miscellaneous Provisions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firstLine="382"/>
        <w:spacing w:after="0" w:line="280" w:lineRule="auto"/>
        <w:rPr>
          <w:sz w:val="20"/>
          <w:szCs w:val="20"/>
          <w:color w:val="auto"/>
        </w:rPr>
      </w:pPr>
      <w:r>
        <w:rPr>
          <w:rFonts w:ascii="Times New Roman" w:cs="Times New Roman" w:eastAsia="Times New Roman" w:hAnsi="Times New Roman"/>
          <w:sz w:val="16"/>
          <w:szCs w:val="16"/>
          <w:color w:val="auto"/>
        </w:rPr>
        <w:t xml:space="preserve">9.1 </w:t>
      </w:r>
      <w:r>
        <w:rPr>
          <w:rFonts w:ascii="Times New Roman" w:cs="Times New Roman" w:eastAsia="Times New Roman" w:hAnsi="Times New Roman"/>
          <w:sz w:val="16"/>
          <w:szCs w:val="16"/>
          <w:u w:val="single" w:color="auto"/>
          <w:color w:val="auto"/>
        </w:rPr>
        <w:t>Successors</w:t>
      </w:r>
      <w:r>
        <w:rPr>
          <w:rFonts w:ascii="Times New Roman" w:cs="Times New Roman" w:eastAsia="Times New Roman" w:hAnsi="Times New Roman"/>
          <w:sz w:val="16"/>
          <w:szCs w:val="16"/>
          <w:color w:val="auto"/>
        </w:rPr>
        <w:t>. All the covenants and provisions of this Warrant Agreement by or for the benefit of the Company or the Warrant Agent shall bind and inure to the benefit of their respective successors and assigns.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88" w:name="page189"/>
    <w:bookmarkEnd w:id="188"/>
    <w:p>
      <w:pPr>
        <w:jc w:val="both"/>
        <w:ind w:firstLine="382"/>
        <w:spacing w:after="0" w:line="265" w:lineRule="auto"/>
        <w:rPr>
          <w:sz w:val="20"/>
          <w:szCs w:val="20"/>
          <w:color w:val="auto"/>
        </w:rPr>
      </w:pPr>
      <w:r>
        <w:rPr>
          <w:rFonts w:ascii="Times New Roman" w:cs="Times New Roman" w:eastAsia="Times New Roman" w:hAnsi="Times New Roman"/>
          <w:sz w:val="16"/>
          <w:szCs w:val="16"/>
          <w:color w:val="auto"/>
        </w:rPr>
        <w:t xml:space="preserve">9.2 </w:t>
      </w: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Any notice, statement or demand authorized by this Warrant Agreement to be given or made by the Warrant Agent or by the Registered Holder of any Warrant to or on the Company shall be delivered by hand or sent by registered or certified mail or overnight courier service, addressed (until another address is filed in writing by the Company with the Warrant Agent) as follows:</w:t>
      </w:r>
    </w:p>
    <w:p>
      <w:pPr>
        <w:spacing w:after="0" w:line="15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Ventoux CCM Acquisition Corp.</w:t>
      </w:r>
    </w:p>
    <w:p>
      <w:pPr>
        <w:spacing w:after="0" w:line="2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3000 El Camino Real 2 Palo Alto Square Suite 900</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Palo Alto, California 94306-2109</w:t>
      </w:r>
    </w:p>
    <w:p>
      <w:pPr>
        <w:spacing w:after="0" w:line="18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with a copy (which shall not constitute notice) to:</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White and Case LLP</w:t>
      </w:r>
    </w:p>
    <w:p>
      <w:pPr>
        <w:spacing w:after="0" w:line="2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1221 Avenue of the Americas</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New York, NY 10020-1095</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Attn: Colin Diamond</w:t>
      </w:r>
    </w:p>
    <w:p>
      <w:pPr>
        <w:spacing w:after="0" w:line="182"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Any notice, statement or demand authorized by this Warrant Agreement to be given or made by the Registered Holder of any Warrant or by the Company to or on the Warrant Agent shall be delivered by hand or sent by registered or certified mail or overnight courier service, addressed (until another address is filed in writing by the Warrant Agent with the Company), as follows:</w:t>
      </w:r>
    </w:p>
    <w:p>
      <w:pPr>
        <w:spacing w:after="0" w:line="15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Continental Stock Transfer &amp; Trust Company</w:t>
      </w:r>
    </w:p>
    <w:p>
      <w:pPr>
        <w:ind w:left="1140"/>
        <w:spacing w:after="0" w:line="202" w:lineRule="auto"/>
        <w:rPr>
          <w:sz w:val="20"/>
          <w:szCs w:val="20"/>
          <w:color w:val="auto"/>
        </w:rPr>
      </w:pPr>
      <w:r>
        <w:rPr>
          <w:rFonts w:ascii="Times New Roman" w:cs="Times New Roman" w:eastAsia="Times New Roman" w:hAnsi="Times New Roman"/>
          <w:sz w:val="16"/>
          <w:szCs w:val="16"/>
          <w:color w:val="auto"/>
        </w:rPr>
        <w:t>1 State Street,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Floor</w:t>
      </w:r>
    </w:p>
    <w:p>
      <w:pPr>
        <w:spacing w:after="0" w:line="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New York, New York 10004</w:t>
      </w:r>
    </w:p>
    <w:p>
      <w:pPr>
        <w:spacing w:after="0" w:line="180"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Any notice, sent pursuant to this Warrant Agreement shall be effective, if delivered by hand, upon receipt thereof by the party to whom it is addressed, if sent by overnight courier, on the next business day of the delivery to the courier, and if sent by registered or certified mail on the third day after registration or certification thereof.</w:t>
      </w:r>
    </w:p>
    <w:p>
      <w:pPr>
        <w:spacing w:after="0" w:line="144" w:lineRule="exact"/>
        <w:rPr>
          <w:sz w:val="20"/>
          <w:szCs w:val="20"/>
          <w:color w:val="auto"/>
        </w:rPr>
      </w:pPr>
    </w:p>
    <w:p>
      <w:pPr>
        <w:jc w:val="both"/>
        <w:ind w:firstLine="382"/>
        <w:spacing w:after="0" w:line="254" w:lineRule="auto"/>
        <w:rPr>
          <w:sz w:val="20"/>
          <w:szCs w:val="20"/>
          <w:color w:val="auto"/>
        </w:rPr>
      </w:pPr>
      <w:r>
        <w:rPr>
          <w:rFonts w:ascii="Times New Roman" w:cs="Times New Roman" w:eastAsia="Times New Roman" w:hAnsi="Times New Roman"/>
          <w:sz w:val="16"/>
          <w:szCs w:val="16"/>
          <w:color w:val="auto"/>
        </w:rPr>
        <w:t xml:space="preserve">9.3 </w:t>
      </w:r>
      <w:r>
        <w:rPr>
          <w:rFonts w:ascii="Times New Roman" w:cs="Times New Roman" w:eastAsia="Times New Roman" w:hAnsi="Times New Roman"/>
          <w:sz w:val="16"/>
          <w:szCs w:val="16"/>
          <w:u w:val="single" w:color="auto"/>
          <w:color w:val="auto"/>
        </w:rPr>
        <w:t>Applicable Law</w:t>
      </w:r>
      <w:r>
        <w:rPr>
          <w:rFonts w:ascii="Times New Roman" w:cs="Times New Roman" w:eastAsia="Times New Roman" w:hAnsi="Times New Roman"/>
          <w:sz w:val="16"/>
          <w:szCs w:val="16"/>
          <w:color w:val="auto"/>
        </w:rPr>
        <w:t>. The validity, interpretation, and performance of this Warrant Agreement and of the Warrants shall be governed in all respects by the laws of the State of New York, without giving effect to conflict of laws. Subject to applicable law, the Company and the Warrant Agent hereby agree that any action, proceeding or claim against either of them arising out of or relating in any way to this Warrant Agreement shall be brought and enforced in the courts of the State of New York or the United States District Court for the Southern District of New York, and irrevocably submits to such jurisdiction, which jurisdiction shall be exclusive forum for any such action, proceeding or claim. The Company and the Warrant Agent hereby waive any objection to such exclusive jurisdiction and that such courts represent an inconvenient forum. Notwithstanding the foregoing, the provisions of this paragraph will not apply to suits brought to enforce any liability or duty created by the Exchange Act or any other claim for which the federal district courts of the United States of America are the sole and exclusive forum.</w:t>
      </w:r>
    </w:p>
    <w:p>
      <w:pPr>
        <w:spacing w:after="0" w:line="167" w:lineRule="exact"/>
        <w:rPr>
          <w:sz w:val="20"/>
          <w:szCs w:val="20"/>
          <w:color w:val="auto"/>
        </w:rPr>
      </w:pPr>
    </w:p>
    <w:p>
      <w:pPr>
        <w:jc w:val="both"/>
        <w:ind w:firstLine="382"/>
        <w:spacing w:after="0" w:line="255" w:lineRule="auto"/>
        <w:rPr>
          <w:sz w:val="20"/>
          <w:szCs w:val="20"/>
          <w:color w:val="auto"/>
        </w:rPr>
      </w:pPr>
      <w:r>
        <w:rPr>
          <w:rFonts w:ascii="Times New Roman" w:cs="Times New Roman" w:eastAsia="Times New Roman" w:hAnsi="Times New Roman"/>
          <w:sz w:val="16"/>
          <w:szCs w:val="16"/>
          <w:color w:val="auto"/>
        </w:rPr>
        <w:t xml:space="preserve">Any person or entity purchasing or otherwise acquiring any interest in the Warrants shall be deemed to have notice of and to have consented to the forum provisions in this </w:t>
      </w:r>
      <w:r>
        <w:rPr>
          <w:rFonts w:ascii="Times New Roman" w:cs="Times New Roman" w:eastAsia="Times New Roman" w:hAnsi="Times New Roman"/>
          <w:sz w:val="16"/>
          <w:szCs w:val="16"/>
          <w:u w:val="single" w:color="auto"/>
          <w:color w:val="auto"/>
        </w:rPr>
        <w:t>Section 9.3</w:t>
      </w:r>
      <w:r>
        <w:rPr>
          <w:rFonts w:ascii="Times New Roman" w:cs="Times New Roman" w:eastAsia="Times New Roman" w:hAnsi="Times New Roman"/>
          <w:sz w:val="16"/>
          <w:szCs w:val="16"/>
          <w:color w:val="auto"/>
        </w:rPr>
        <w:t>. If any action, the subject matter of which is within the scope the forum provisions above, is filed in a court other than a court located within the State of New York or the United States District Court for the Southern District of New York (a “</w:t>
      </w:r>
      <w:r>
        <w:rPr>
          <w:rFonts w:ascii="Times New Roman" w:cs="Times New Roman" w:eastAsia="Times New Roman" w:hAnsi="Times New Roman"/>
          <w:sz w:val="16"/>
          <w:szCs w:val="16"/>
          <w:b w:val="1"/>
          <w:bCs w:val="1"/>
          <w:color w:val="auto"/>
        </w:rPr>
        <w:t>foreign action</w:t>
      </w:r>
      <w:r>
        <w:rPr>
          <w:rFonts w:ascii="Times New Roman" w:cs="Times New Roman" w:eastAsia="Times New Roman" w:hAnsi="Times New Roman"/>
          <w:sz w:val="16"/>
          <w:szCs w:val="16"/>
          <w:color w:val="auto"/>
        </w:rPr>
        <w:t>”) in the name of any Warrant holder, such Warrant holder shall be deemed to have consented to: (x) the personal jurisdiction of the state and federal courts located within the State of New York or the United States District Court for the Southern District of New York in connection with any action brought in any such court to enforce the forum provisions (an “</w:t>
      </w:r>
      <w:r>
        <w:rPr>
          <w:rFonts w:ascii="Times New Roman" w:cs="Times New Roman" w:eastAsia="Times New Roman" w:hAnsi="Times New Roman"/>
          <w:sz w:val="16"/>
          <w:szCs w:val="16"/>
          <w:b w:val="1"/>
          <w:bCs w:val="1"/>
          <w:color w:val="auto"/>
        </w:rPr>
        <w:t>enforcement action</w:t>
      </w:r>
      <w:r>
        <w:rPr>
          <w:rFonts w:ascii="Times New Roman" w:cs="Times New Roman" w:eastAsia="Times New Roman" w:hAnsi="Times New Roman"/>
          <w:sz w:val="16"/>
          <w:szCs w:val="16"/>
          <w:color w:val="auto"/>
        </w:rPr>
        <w:t>”), and (y) having service of process made upon such Warrant holder in any such enforcement action by service upon such Warrant holder’s counsel in the foreign action as agent for such Warrant holder.</w:t>
      </w:r>
    </w:p>
    <w:p>
      <w:pPr>
        <w:spacing w:after="0" w:line="165" w:lineRule="exact"/>
        <w:rPr>
          <w:sz w:val="20"/>
          <w:szCs w:val="20"/>
          <w:color w:val="auto"/>
        </w:rPr>
      </w:pPr>
    </w:p>
    <w:p>
      <w:pPr>
        <w:jc w:val="both"/>
        <w:ind w:right="20" w:firstLine="382"/>
        <w:spacing w:after="0" w:line="265" w:lineRule="auto"/>
        <w:rPr>
          <w:sz w:val="20"/>
          <w:szCs w:val="20"/>
          <w:color w:val="auto"/>
        </w:rPr>
      </w:pPr>
      <w:r>
        <w:rPr>
          <w:rFonts w:ascii="Times New Roman" w:cs="Times New Roman" w:eastAsia="Times New Roman" w:hAnsi="Times New Roman"/>
          <w:sz w:val="16"/>
          <w:szCs w:val="16"/>
          <w:color w:val="auto"/>
        </w:rPr>
        <w:t xml:space="preserve">Any such process or summons to be served upon the Company or the Warrant Agent may be served by transmitting a copy thereof by registered or certified mail, return receipt requested, postage prepaid, addressed to it at the address set forth in </w:t>
      </w:r>
      <w:r>
        <w:rPr>
          <w:rFonts w:ascii="Times New Roman" w:cs="Times New Roman" w:eastAsia="Times New Roman" w:hAnsi="Times New Roman"/>
          <w:sz w:val="16"/>
          <w:szCs w:val="16"/>
          <w:u w:val="single" w:color="auto"/>
          <w:color w:val="auto"/>
        </w:rPr>
        <w:t>Section 9.2</w:t>
      </w:r>
      <w:r>
        <w:rPr>
          <w:rFonts w:ascii="Times New Roman" w:cs="Times New Roman" w:eastAsia="Times New Roman" w:hAnsi="Times New Roman"/>
          <w:sz w:val="16"/>
          <w:szCs w:val="16"/>
          <w:color w:val="auto"/>
        </w:rPr>
        <w:t xml:space="preserve"> hereof. Such mailing shall be deemed personal service and shall be legal and binding upon the party receiving such service in any action, proceeding or claim.</w:t>
      </w:r>
    </w:p>
    <w:p>
      <w:pPr>
        <w:spacing w:after="0" w:line="155"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6"/>
          <w:szCs w:val="16"/>
          <w:color w:val="auto"/>
        </w:rPr>
        <w:t xml:space="preserve">9.4 </w:t>
      </w:r>
      <w:r>
        <w:rPr>
          <w:rFonts w:ascii="Times New Roman" w:cs="Times New Roman" w:eastAsia="Times New Roman" w:hAnsi="Times New Roman"/>
          <w:sz w:val="16"/>
          <w:szCs w:val="16"/>
          <w:u w:val="single" w:color="auto"/>
          <w:color w:val="auto"/>
        </w:rPr>
        <w:t>Persons Having Rights under this Warrant Agreement</w:t>
      </w:r>
      <w:r>
        <w:rPr>
          <w:rFonts w:ascii="Times New Roman" w:cs="Times New Roman" w:eastAsia="Times New Roman" w:hAnsi="Times New Roman"/>
          <w:sz w:val="16"/>
          <w:szCs w:val="16"/>
          <w:color w:val="auto"/>
        </w:rPr>
        <w:t xml:space="preserve">. Nothing in this Warrant Agreement expressed and nothing that may be implied from any of the provisions hereof is intended, or shall be construed, to confer upon, or give to, any person or corporation other than the parties hereto and the Registered Holders of the Warrants and, for the purposes of </w:t>
      </w:r>
      <w:r>
        <w:rPr>
          <w:rFonts w:ascii="Times New Roman" w:cs="Times New Roman" w:eastAsia="Times New Roman" w:hAnsi="Times New Roman"/>
          <w:sz w:val="16"/>
          <w:szCs w:val="16"/>
          <w:u w:val="single" w:color="auto"/>
          <w:color w:val="auto"/>
        </w:rPr>
        <w:t>Sections 2.5</w:t>
      </w:r>
      <w:r>
        <w:rPr>
          <w:rFonts w:ascii="Times New Roman" w:cs="Times New Roman" w:eastAsia="Times New Roman" w:hAnsi="Times New Roman"/>
          <w:sz w:val="16"/>
          <w:szCs w:val="16"/>
          <w:color w:val="auto"/>
        </w:rPr>
        <w:t xml:space="preserve"> hereof, the Representative and the underwriters, any right, remedy, or claim under or by reason of this Warrant Agreement or of any covenant, condition, stipulation, promise, or agreement hereof. All covenants, conditions, stipulations, promises, and agreements contained in this Warrant Agreement shall be for the sole and exclusive benefit of the parties hereto and their successors and assigns and of the Registered Holders of the Warrants.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89" w:name="page190"/>
    <w:bookmarkEnd w:id="189"/>
    <w:p>
      <w:pPr>
        <w:jc w:val="both"/>
        <w:ind w:right="20" w:firstLine="382"/>
        <w:spacing w:after="0" w:line="265" w:lineRule="auto"/>
        <w:rPr>
          <w:sz w:val="20"/>
          <w:szCs w:val="20"/>
          <w:color w:val="auto"/>
        </w:rPr>
      </w:pPr>
      <w:r>
        <w:rPr>
          <w:rFonts w:ascii="Times New Roman" w:cs="Times New Roman" w:eastAsia="Times New Roman" w:hAnsi="Times New Roman"/>
          <w:sz w:val="16"/>
          <w:szCs w:val="16"/>
          <w:color w:val="auto"/>
        </w:rPr>
        <w:t xml:space="preserve">9.5 </w:t>
      </w:r>
      <w:r>
        <w:rPr>
          <w:rFonts w:ascii="Times New Roman" w:cs="Times New Roman" w:eastAsia="Times New Roman" w:hAnsi="Times New Roman"/>
          <w:sz w:val="16"/>
          <w:szCs w:val="16"/>
          <w:u w:val="single" w:color="auto"/>
          <w:color w:val="auto"/>
        </w:rPr>
        <w:t>Examination of the Warrant Agreement</w:t>
      </w:r>
      <w:r>
        <w:rPr>
          <w:rFonts w:ascii="Times New Roman" w:cs="Times New Roman" w:eastAsia="Times New Roman" w:hAnsi="Times New Roman"/>
          <w:sz w:val="16"/>
          <w:szCs w:val="16"/>
          <w:color w:val="auto"/>
        </w:rPr>
        <w:t>. A copy of this Warrant Agreement shall be available at all reasonable times at the office of the Warrant Agent in the Borough of Manhattan, City and State of New York, for inspection by the Registered Holder of any Warrant. The Warrant Agent may require any such Registered Holder to submit his, her or its Warrant for inspection.</w:t>
      </w:r>
    </w:p>
    <w:p>
      <w:pPr>
        <w:spacing w:after="0" w:line="155" w:lineRule="exact"/>
        <w:rPr>
          <w:sz w:val="20"/>
          <w:szCs w:val="20"/>
          <w:color w:val="auto"/>
        </w:rPr>
      </w:pPr>
    </w:p>
    <w:p>
      <w:pPr>
        <w:jc w:val="both"/>
        <w:ind w:firstLine="382"/>
        <w:spacing w:after="0" w:line="265" w:lineRule="auto"/>
        <w:rPr>
          <w:sz w:val="20"/>
          <w:szCs w:val="20"/>
          <w:color w:val="auto"/>
        </w:rPr>
      </w:pPr>
      <w:r>
        <w:rPr>
          <w:rFonts w:ascii="Times New Roman" w:cs="Times New Roman" w:eastAsia="Times New Roman" w:hAnsi="Times New Roman"/>
          <w:sz w:val="16"/>
          <w:szCs w:val="16"/>
          <w:color w:val="auto"/>
        </w:rPr>
        <w:t xml:space="preserve">9.6 </w:t>
      </w:r>
      <w:r>
        <w:rPr>
          <w:rFonts w:ascii="Times New Roman" w:cs="Times New Roman" w:eastAsia="Times New Roman" w:hAnsi="Times New Roman"/>
          <w:sz w:val="16"/>
          <w:szCs w:val="16"/>
          <w:u w:val="single" w:color="auto"/>
          <w:color w:val="auto"/>
        </w:rPr>
        <w:t>Counterparts- Facsimile Signatures</w:t>
      </w:r>
      <w:r>
        <w:rPr>
          <w:rFonts w:ascii="Times New Roman" w:cs="Times New Roman" w:eastAsia="Times New Roman" w:hAnsi="Times New Roman"/>
          <w:sz w:val="16"/>
          <w:szCs w:val="16"/>
          <w:color w:val="auto"/>
        </w:rPr>
        <w:t>. This Warrant Agreement may be executed in any number of counterparts, and each of such counterparts shall, for all purposes, be deemed to be an original, and all such counterparts shall together constitute one and the same instrument. Facsimile signatures shall constitute original signatures for all purposes of this Warrant Agreement.</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9.7 </w:t>
      </w:r>
      <w:r>
        <w:rPr>
          <w:rFonts w:ascii="Times New Roman" w:cs="Times New Roman" w:eastAsia="Times New Roman" w:hAnsi="Times New Roman"/>
          <w:sz w:val="16"/>
          <w:szCs w:val="16"/>
          <w:u w:val="single" w:color="auto"/>
          <w:color w:val="auto"/>
        </w:rPr>
        <w:t>Effect of Headings</w:t>
      </w:r>
      <w:r>
        <w:rPr>
          <w:rFonts w:ascii="Times New Roman" w:cs="Times New Roman" w:eastAsia="Times New Roman" w:hAnsi="Times New Roman"/>
          <w:sz w:val="16"/>
          <w:szCs w:val="16"/>
          <w:color w:val="auto"/>
        </w:rPr>
        <w:t>. The section headings herein are for convenience only and are not part of this Warrant Agreement and shall not affect the interpretation there of</w:t>
      </w:r>
    </w:p>
    <w:p>
      <w:pPr>
        <w:spacing w:after="0" w:line="198" w:lineRule="exact"/>
        <w:rPr>
          <w:sz w:val="20"/>
          <w:szCs w:val="20"/>
          <w:color w:val="auto"/>
        </w:rPr>
      </w:pPr>
    </w:p>
    <w:p>
      <w:pPr>
        <w:jc w:val="both"/>
        <w:ind w:firstLine="382"/>
        <w:spacing w:after="0" w:line="252" w:lineRule="auto"/>
        <w:rPr>
          <w:sz w:val="20"/>
          <w:szCs w:val="20"/>
          <w:color w:val="auto"/>
        </w:rPr>
      </w:pPr>
      <w:r>
        <w:rPr>
          <w:rFonts w:ascii="Times New Roman" w:cs="Times New Roman" w:eastAsia="Times New Roman" w:hAnsi="Times New Roman"/>
          <w:sz w:val="16"/>
          <w:szCs w:val="16"/>
          <w:color w:val="auto"/>
        </w:rPr>
        <w:t xml:space="preserve">9.8 </w:t>
      </w:r>
      <w:r>
        <w:rPr>
          <w:rFonts w:ascii="Times New Roman" w:cs="Times New Roman" w:eastAsia="Times New Roman" w:hAnsi="Times New Roman"/>
          <w:sz w:val="16"/>
          <w:szCs w:val="16"/>
          <w:u w:val="single" w:color="auto"/>
          <w:color w:val="auto"/>
        </w:rPr>
        <w:t>Amendments</w:t>
      </w:r>
      <w:r>
        <w:rPr>
          <w:rFonts w:ascii="Times New Roman" w:cs="Times New Roman" w:eastAsia="Times New Roman" w:hAnsi="Times New Roman"/>
          <w:sz w:val="16"/>
          <w:szCs w:val="16"/>
          <w:color w:val="auto"/>
        </w:rPr>
        <w:t>. This Warrant Agreement and any Warrant certificate may be amended by the parties hereto by executing a supplemental warrant agreement (a “</w:t>
      </w:r>
      <w:r>
        <w:rPr>
          <w:rFonts w:ascii="Times New Roman" w:cs="Times New Roman" w:eastAsia="Times New Roman" w:hAnsi="Times New Roman"/>
          <w:sz w:val="16"/>
          <w:szCs w:val="16"/>
          <w:b w:val="1"/>
          <w:bCs w:val="1"/>
          <w:color w:val="auto"/>
        </w:rPr>
        <w:t>Supplemental Agreement</w:t>
      </w:r>
      <w:r>
        <w:rPr>
          <w:rFonts w:ascii="Times New Roman" w:cs="Times New Roman" w:eastAsia="Times New Roman" w:hAnsi="Times New Roman"/>
          <w:sz w:val="16"/>
          <w:szCs w:val="16"/>
          <w:color w:val="auto"/>
        </w:rPr>
        <w:t>”), without the consent of any of the Warrant holders, for the purpose of (i) curing any ambiguity, or curing, correcting or supplementing any defective provision contained herein, or making any other provisions with respect to matters or questions arising under this Warrant Agreement that is not inconsistent with the provisions of this Warrant Agreement or the Warrant certificates, (ii) evidencing the succession of another corporation to the Company and the assumption by any such successor of the covenants of the Company contained in this Warrant Agreement and the Warrants, (iii) evidencing and providing for the acceptance of appointment by a successor Warrant Agent with respect to the Warrants, (iv) adding to the covenants of the Company for the benefit of the Registered Holders or surrendering any right or power conferred upon the Company under this Warrant Agreement, or (viii) amending this Warrant Agreement and the Warrants in any manner that the Company may deem to be necessary or desirable and that will not adversely affect the interests of the Registered Holders in any material respect. All other modifications or amendments to this Warrant Agreement, including any amendment to increase the Warrant Price or shorten the Exercise Period and any amendment to the terms of only the Note Financing Warrants, shall require the written consent of the Registered Holders of a majority of the then outstanding Warrants. Notwithstanding the foregoing, the Company may extend the duration of the Exercise Period in accordance with Section 3.2 without such consent.</w:t>
      </w:r>
    </w:p>
    <w:p>
      <w:pPr>
        <w:spacing w:after="0" w:line="169" w:lineRule="exact"/>
        <w:rPr>
          <w:sz w:val="20"/>
          <w:szCs w:val="20"/>
          <w:color w:val="auto"/>
        </w:rPr>
      </w:pPr>
    </w:p>
    <w:p>
      <w:pPr>
        <w:jc w:val="both"/>
        <w:ind w:right="20" w:firstLine="382"/>
        <w:spacing w:after="0" w:line="259" w:lineRule="auto"/>
        <w:rPr>
          <w:sz w:val="20"/>
          <w:szCs w:val="20"/>
          <w:color w:val="auto"/>
        </w:rPr>
      </w:pPr>
      <w:r>
        <w:rPr>
          <w:rFonts w:ascii="Times New Roman" w:cs="Times New Roman" w:eastAsia="Times New Roman" w:hAnsi="Times New Roman"/>
          <w:sz w:val="16"/>
          <w:szCs w:val="16"/>
          <w:color w:val="auto"/>
        </w:rPr>
        <w:t xml:space="preserve">9.9 </w:t>
      </w: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This Warrant Agreement shall be deemed severable, and the invalidity or unenforceability of any term or provision hereof shall not affect the validity or enforceability of this Warrant Agreement or of any other term or provision hereof. Furthermore, in lieu of any such invalid or unenforceable term or provision, the parties hereto intend that there shall be added as a part of this Warrant Agreement a provision as similar in terms to such invalid or unenforceable provision as may be possible and be valid and enforceable.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FOLLOWS]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6"/>
          <w:szCs w:val="16"/>
          <w:color w:val="auto"/>
        </w:rPr>
        <w:t>IN WITNESS WHEREOF, this Warrant Agreement has been duly executed by the parties hereto as of the day and year first above written.</w:t>
      </w:r>
    </w:p>
    <w:p>
      <w:pPr>
        <w:spacing w:after="0" w:line="19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b w:val="1"/>
          <w:bCs w:val="1"/>
          <w:color w:val="auto"/>
        </w:rPr>
        <w:t>VENTOUX CCM ACQUISITION CORP.</w:t>
      </w:r>
    </w:p>
    <w:p>
      <w:pPr>
        <w:spacing w:after="0" w:line="272"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15240</wp:posOffset>
            </wp:positionV>
            <wp:extent cx="2572385" cy="152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6820"/>
        <w:spacing w:after="0"/>
        <w:tabs>
          <w:tab w:leader="none" w:pos="7360" w:val="left"/>
        </w:tabs>
        <w:rPr>
          <w:sz w:val="20"/>
          <w:szCs w:val="20"/>
          <w:color w:val="auto"/>
        </w:rPr>
      </w:pPr>
      <w:r>
        <w:rPr>
          <w:rFonts w:ascii="Times New Roman" w:cs="Times New Roman" w:eastAsia="Times New Roman" w:hAnsi="Times New Roman"/>
          <w:sz w:val="16"/>
          <w:szCs w:val="16"/>
          <w:color w:val="auto"/>
        </w:rPr>
        <w:t>Name:</w:t>
        <w:tab/>
        <w:t>Edward Scheetz</w:t>
      </w:r>
    </w:p>
    <w:p>
      <w:pPr>
        <w:spacing w:after="0" w:line="24" w:lineRule="exact"/>
        <w:rPr>
          <w:sz w:val="20"/>
          <w:szCs w:val="20"/>
          <w:color w:val="auto"/>
        </w:rPr>
      </w:pPr>
    </w:p>
    <w:p>
      <w:pPr>
        <w:ind w:left="6820"/>
        <w:spacing w:after="0"/>
        <w:tabs>
          <w:tab w:leader="none" w:pos="7360" w:val="left"/>
        </w:tabs>
        <w:rPr>
          <w:sz w:val="20"/>
          <w:szCs w:val="20"/>
          <w:color w:val="auto"/>
        </w:rPr>
      </w:pPr>
      <w:r>
        <w:rPr>
          <w:rFonts w:ascii="Times New Roman" w:cs="Times New Roman" w:eastAsia="Times New Roman" w:hAnsi="Times New Roman"/>
          <w:sz w:val="16"/>
          <w:szCs w:val="16"/>
          <w:color w:val="auto"/>
        </w:rPr>
        <w:t>Title:</w:t>
        <w:tab/>
        <w:t>Chief Executive Officer</w:t>
      </w:r>
    </w:p>
    <w:p>
      <w:pPr>
        <w:spacing w:after="0" w:line="180"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5"/>
          <w:szCs w:val="15"/>
          <w:b w:val="1"/>
          <w:bCs w:val="1"/>
          <w:color w:val="auto"/>
        </w:rPr>
        <w:t>CONTINENTAL STOCK TRANSFER &amp; TRUST COMPANY</w:t>
      </w:r>
    </w:p>
    <w:p>
      <w:pPr>
        <w:spacing w:after="0" w:line="212"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15240</wp:posOffset>
            </wp:positionV>
            <wp:extent cx="2572385" cy="152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6"/>
          <w:szCs w:val="16"/>
          <w:color w:val="auto"/>
        </w:rPr>
        <w:t>Name:</w:t>
      </w:r>
    </w:p>
    <w:p>
      <w:pPr>
        <w:spacing w:after="0" w:line="24"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6"/>
          <w:szCs w:val="16"/>
          <w:color w:val="auto"/>
        </w:rPr>
        <w:t>Title:</w:t>
      </w:r>
    </w:p>
    <w:p>
      <w:pPr>
        <w:spacing w:after="0" w:line="39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15240</wp:posOffset>
            </wp:positionV>
            <wp:extent cx="7148195" cy="152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640"/>
          </w:cols>
          <w:pgMar w:left="700" w:top="816" w:right="559" w:bottom="1440" w:gutter="0" w:footer="0" w:header="0"/>
        </w:sectPr>
      </w:pPr>
    </w:p>
    <w:bookmarkStart w:id="191" w:name="page192"/>
    <w:bookmarkEnd w:id="191"/>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Exhibit A</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Form of Warrant</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SPECIMEN WARRANT CERTIFICATE</w:t>
      </w:r>
    </w:p>
    <w:p>
      <w:pPr>
        <w:sectPr>
          <w:pgSz w:w="11900" w:h="16838" w:orient="portrait"/>
          <w:cols w:equalWidth="0" w:num="1">
            <w:col w:w="11260"/>
          </w:cols>
          <w:pgMar w:left="320" w:top="838" w:right="319" w:bottom="1440" w:gutter="0" w:footer="0" w:header="0"/>
        </w:sectPr>
      </w:pP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NUMBER</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WA-</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 WARRANTS</w:t>
      </w:r>
    </w:p>
    <w:p>
      <w:pPr>
        <w:spacing w:after="0" w:line="401" w:lineRule="exact"/>
        <w:rPr>
          <w:sz w:val="20"/>
          <w:szCs w:val="20"/>
          <w:color w:val="auto"/>
        </w:rPr>
      </w:pPr>
    </w:p>
    <w:p>
      <w:pPr>
        <w:sectPr>
          <w:pgSz w:w="11900" w:h="16838" w:orient="portrait"/>
          <w:cols w:equalWidth="0" w:num="2">
            <w:col w:w="9480" w:space="720"/>
            <w:col w:w="1060"/>
          </w:cols>
          <w:pgMar w:left="320" w:top="838" w:right="31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color w:val="auto"/>
        </w:rPr>
        <w:t>(THIS WARRANT WILL BE VOID IF NOT EXERCISED PRIOR TO 5:00 P.M.</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NEW YORK CITY TIME, FIVE YEARS FROM THE CLOSING DATE OF THE COMPANY’S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INITIAL BUSINESS COMBINATION)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VENTOUX CCM ACQUISITION CORP.</w:t>
      </w:r>
    </w:p>
    <w:p>
      <w:pPr>
        <w:spacing w:after="0" w:line="182" w:lineRule="exact"/>
        <w:rPr>
          <w:sz w:val="20"/>
          <w:szCs w:val="20"/>
          <w:color w:val="auto"/>
        </w:rPr>
      </w:pPr>
    </w:p>
    <w:p>
      <w:pPr>
        <w:ind w:left="10040"/>
        <w:spacing w:after="0"/>
        <w:rPr>
          <w:sz w:val="20"/>
          <w:szCs w:val="20"/>
          <w:color w:val="auto"/>
        </w:rPr>
      </w:pPr>
      <w:r>
        <w:rPr>
          <w:rFonts w:ascii="Times New Roman" w:cs="Times New Roman" w:eastAsia="Times New Roman" w:hAnsi="Times New Roman"/>
          <w:sz w:val="15"/>
          <w:szCs w:val="15"/>
          <w:color w:val="auto"/>
        </w:rPr>
        <w:t>CUSIP 92280L119</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WARRANT</w:t>
      </w:r>
    </w:p>
    <w:p>
      <w:pPr>
        <w:spacing w:after="0" w:line="198" w:lineRule="exact"/>
        <w:rPr>
          <w:sz w:val="20"/>
          <w:szCs w:val="20"/>
          <w:color w:val="auto"/>
        </w:rPr>
      </w:pPr>
    </w:p>
    <w:p>
      <w:pPr>
        <w:jc w:val="both"/>
        <w:ind w:right="20" w:firstLine="382"/>
        <w:spacing w:after="0" w:line="257" w:lineRule="auto"/>
        <w:rPr>
          <w:sz w:val="20"/>
          <w:szCs w:val="20"/>
          <w:color w:val="auto"/>
        </w:rPr>
      </w:pPr>
      <w:r>
        <w:rPr>
          <w:rFonts w:ascii="Times New Roman" w:cs="Times New Roman" w:eastAsia="Times New Roman" w:hAnsi="Times New Roman"/>
          <w:sz w:val="16"/>
          <w:szCs w:val="16"/>
          <w:color w:val="auto"/>
        </w:rPr>
        <w:t>THIS WARRANT CERTIFIES THAT, for value received, or registered assigns, is the registered holder of a Warrant or Warrants (the “Warrant”), expiring on a date which is five years from the completion of the Company’s initial business combination, to purchase one-half of one fully paid and non-assessable share (the “Warrant Shares”), of common stock, par value $0.0001 per share (the “Common Stock”), of Ventoux CCM Acquisition Corp., a Delaware corporation (the “Company”), for each Warrant evidenced by this Warrant Certificate. This Warrant Certificate is subject to and shall be interpreted under the terms and conditions of the Warrant Agreement (as defined below).</w:t>
      </w:r>
    </w:p>
    <w:p>
      <w:pPr>
        <w:spacing w:after="0" w:line="162" w:lineRule="exact"/>
        <w:rPr>
          <w:sz w:val="20"/>
          <w:szCs w:val="20"/>
          <w:color w:val="auto"/>
        </w:rPr>
      </w:pPr>
    </w:p>
    <w:p>
      <w:pPr>
        <w:jc w:val="both"/>
        <w:ind w:firstLine="382"/>
        <w:spacing w:after="0" w:line="253" w:lineRule="auto"/>
        <w:rPr>
          <w:sz w:val="20"/>
          <w:szCs w:val="20"/>
          <w:color w:val="auto"/>
        </w:rPr>
      </w:pPr>
      <w:r>
        <w:rPr>
          <w:rFonts w:ascii="Times New Roman" w:cs="Times New Roman" w:eastAsia="Times New Roman" w:hAnsi="Times New Roman"/>
          <w:sz w:val="16"/>
          <w:szCs w:val="16"/>
          <w:color w:val="auto"/>
        </w:rPr>
        <w:t>The Warrant entitles the holder thereof to purchase from the Company, from time to time, in whole or in part, commencing on the later to occur of (i) the completion of the Company’s initial business combination or (ii) twelve (12) months following the closing of the Company’s initial public offering, such number of Warrant Shares at the Warrant Price (as defined in the Warrant Agreement), upon surrender of this Warrant Certificate and payment of the Warrant Price at the office or agency of Continental Stock Transfer &amp; Trust Company (the “Warrant Agent”), such payment to be made subject to the conditions set forth herein and in the Warrant Agreement, dated [●], 2020, between the Company and the Warrant Agent (the “Warrant Agreement”). In no event shall the registered holder(s) of this Warrant be entitled to receive a net-cash settlement in lieu of physical settlement in Warrant Shares of the Company. The Warrant Agreement provides that, upon the occurrence of certain events, the Warrant Price and the number of Warrant Shares purchasable hereunder, set forth on the face hereof, may be adjusted, subject to certain conditions. The term Warrant Price as used in this Warrant Certificate refers to the price per full Warrant Share at which Warrant Shares may be purchased at the time the Warrant is exercised.</w:t>
      </w:r>
    </w:p>
    <w:p>
      <w:pPr>
        <w:spacing w:after="0" w:line="169" w:lineRule="exact"/>
        <w:rPr>
          <w:sz w:val="20"/>
          <w:szCs w:val="20"/>
          <w:color w:val="auto"/>
        </w:rPr>
      </w:pPr>
    </w:p>
    <w:p>
      <w:pPr>
        <w:jc w:val="both"/>
        <w:ind w:firstLine="382"/>
        <w:spacing w:after="0" w:line="280" w:lineRule="auto"/>
        <w:rPr>
          <w:sz w:val="20"/>
          <w:szCs w:val="20"/>
          <w:color w:val="auto"/>
        </w:rPr>
      </w:pPr>
      <w:r>
        <w:rPr>
          <w:rFonts w:ascii="Times New Roman" w:cs="Times New Roman" w:eastAsia="Times New Roman" w:hAnsi="Times New Roman"/>
          <w:sz w:val="16"/>
          <w:szCs w:val="16"/>
          <w:color w:val="auto"/>
        </w:rPr>
        <w:t>This Warrant will expire on the date first referenced above if it is not exercised prior to such date by the registered holder pursuant to the terms of the Warrant Agreement or if it is not redeemed by the Company prior to such date.</w:t>
      </w:r>
    </w:p>
    <w:p>
      <w:pPr>
        <w:spacing w:after="0" w:line="144" w:lineRule="exact"/>
        <w:rPr>
          <w:sz w:val="20"/>
          <w:szCs w:val="20"/>
          <w:color w:val="auto"/>
        </w:rPr>
      </w:pPr>
    </w:p>
    <w:p>
      <w:pPr>
        <w:jc w:val="both"/>
        <w:ind w:firstLine="382"/>
        <w:spacing w:after="0" w:line="265" w:lineRule="auto"/>
        <w:rPr>
          <w:sz w:val="20"/>
          <w:szCs w:val="20"/>
          <w:color w:val="auto"/>
        </w:rPr>
      </w:pPr>
      <w:r>
        <w:rPr>
          <w:rFonts w:ascii="Times New Roman" w:cs="Times New Roman" w:eastAsia="Times New Roman" w:hAnsi="Times New Roman"/>
          <w:sz w:val="16"/>
          <w:szCs w:val="16"/>
          <w:color w:val="auto"/>
        </w:rPr>
        <w:t>No fractional shares will be issued upon any exercise of a Warrant. If, upon exercise of a Warrant, a holder would be entitled to receive a fractional interest in a share, the Company will, upon exercise, issue or cause to be issued only the largest whole number of Warrant Shares issuable on such exercise (and such fraction of a share will be disregarded).</w:t>
      </w:r>
    </w:p>
    <w:p>
      <w:pPr>
        <w:spacing w:after="0" w:line="155" w:lineRule="exact"/>
        <w:rPr>
          <w:sz w:val="20"/>
          <w:szCs w:val="20"/>
          <w:color w:val="auto"/>
        </w:rPr>
      </w:pPr>
    </w:p>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Upon any exercise of the Warrant for less than the total number of full Warrant Shares provided for herein, there shall be issued to the registered holder(s) hereof or its assignee(s) a new Warrant Certificate covering the number of Warrant Shares for which the Warrant has not been exercised.</w:t>
      </w:r>
    </w:p>
    <w:p>
      <w:pPr>
        <w:spacing w:after="0" w:line="144" w:lineRule="exact"/>
        <w:rPr>
          <w:sz w:val="20"/>
          <w:szCs w:val="20"/>
          <w:color w:val="auto"/>
        </w:rPr>
      </w:pPr>
    </w:p>
    <w:p>
      <w:pPr>
        <w:jc w:val="both"/>
        <w:ind w:firstLine="382"/>
        <w:spacing w:after="0" w:line="265" w:lineRule="auto"/>
        <w:rPr>
          <w:sz w:val="20"/>
          <w:szCs w:val="20"/>
          <w:color w:val="auto"/>
        </w:rPr>
      </w:pPr>
      <w:r>
        <w:rPr>
          <w:rFonts w:ascii="Times New Roman" w:cs="Times New Roman" w:eastAsia="Times New Roman" w:hAnsi="Times New Roman"/>
          <w:sz w:val="16"/>
          <w:szCs w:val="16"/>
          <w:color w:val="auto"/>
        </w:rPr>
        <w:t>Warrant Certificates, when surrendered at the office or agency of the Warrant Agent by the registered holder(s) hereof in person or by attorney duly authorized in writing, may be exchanged in the manner and subject to the limitations provided in the Warrant Agreement, but without payment of any service charge, for another Warrant Certificate or Warrant Certificates of like tenor and evidencing in the aggregate a like number of Warrants.</w:t>
      </w:r>
    </w:p>
    <w:p>
      <w:pPr>
        <w:spacing w:after="0" w:line="155" w:lineRule="exact"/>
        <w:rPr>
          <w:sz w:val="20"/>
          <w:szCs w:val="20"/>
          <w:color w:val="auto"/>
        </w:rPr>
      </w:pPr>
    </w:p>
    <w:p>
      <w:pPr>
        <w:jc w:val="both"/>
        <w:ind w:firstLine="382"/>
        <w:spacing w:after="0" w:line="265" w:lineRule="auto"/>
        <w:rPr>
          <w:sz w:val="20"/>
          <w:szCs w:val="20"/>
          <w:color w:val="auto"/>
        </w:rPr>
      </w:pPr>
      <w:r>
        <w:rPr>
          <w:rFonts w:ascii="Times New Roman" w:cs="Times New Roman" w:eastAsia="Times New Roman" w:hAnsi="Times New Roman"/>
          <w:sz w:val="16"/>
          <w:szCs w:val="16"/>
          <w:color w:val="auto"/>
        </w:rPr>
        <w:t>Upon due presentment for registration of transfer of the Warrant Certificate at the office or agency of the Warrant Agent, a new Warrant Certificate or Warrant Certificates of like tenor and evidencing in the aggregate a like number of Warrants shall be issued to the transferee(s) in exchange for this Warrant Certificate, subject to the limitations provided in the Warrant Agreement, without charge except for any applicable tax or other governmental charge.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38" w:right="319" w:bottom="1440" w:gutter="0" w:footer="0" w:header="0"/>
          <w:type w:val="continuous"/>
        </w:sectPr>
      </w:pPr>
    </w:p>
    <w:bookmarkStart w:id="192" w:name="page193"/>
    <w:bookmarkEnd w:id="192"/>
    <w:p>
      <w:pPr>
        <w:jc w:val="both"/>
        <w:ind w:right="20" w:firstLine="382"/>
        <w:spacing w:after="0" w:line="265" w:lineRule="auto"/>
        <w:rPr>
          <w:sz w:val="20"/>
          <w:szCs w:val="20"/>
          <w:color w:val="auto"/>
        </w:rPr>
      </w:pPr>
      <w:r>
        <w:rPr>
          <w:rFonts w:ascii="Times New Roman" w:cs="Times New Roman" w:eastAsia="Times New Roman" w:hAnsi="Times New Roman"/>
          <w:sz w:val="16"/>
          <w:szCs w:val="16"/>
          <w:color w:val="auto"/>
        </w:rPr>
        <w:t>The Company and the Warrant Agent may deem and treat the registered holder(s) as the absolute owner(s) of this Warrant Certificate (notwithstanding any notation of ownership or other writing hereon made by anyone) for the purpose of any exercise hereof, of any distribution to the registered holder(s), and for all other purposes, and neither the Company nor the Warrant Agent shall be affected by any notice to the contrary.</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This Warrant does not entitle the registered holder(s) to any of the rights of a stockholder of the Company.</w:t>
      </w:r>
    </w:p>
    <w:p>
      <w:pPr>
        <w:spacing w:after="0" w:line="198" w:lineRule="exact"/>
        <w:rPr>
          <w:sz w:val="20"/>
          <w:szCs w:val="20"/>
          <w:color w:val="auto"/>
        </w:rPr>
      </w:pPr>
    </w:p>
    <w:p>
      <w:pPr>
        <w:jc w:val="both"/>
        <w:ind w:firstLine="382"/>
        <w:spacing w:after="0" w:line="253" w:lineRule="auto"/>
        <w:rPr>
          <w:sz w:val="20"/>
          <w:szCs w:val="20"/>
          <w:color w:val="auto"/>
        </w:rPr>
      </w:pPr>
      <w:r>
        <w:rPr>
          <w:rFonts w:ascii="Times New Roman" w:cs="Times New Roman" w:eastAsia="Times New Roman" w:hAnsi="Times New Roman"/>
          <w:sz w:val="16"/>
          <w:szCs w:val="16"/>
          <w:color w:val="auto"/>
        </w:rPr>
        <w:t>After the Warrant becomes exercisable and prior to its expiration date, the Company reserves the right to call the Warrant at any time, with a notice of call in writing to the holder(s) of record of the Warrant, giving 30 days’ written notice of such call if the last reported sale price of the Common Stock has been equal to or greater than (i) $16.50 per share in the case of the Note Financing Warrants and the Private Warrants or (ii)165% of the volume weighted average trading price of the Common Stock during the 20 trading day period starting on the trading day prior to the day on which the Company consummated the Merger in the case of the Public Warrants for any 20 trading for any 20 trading days within a 30 trading day period ending on the third trading day prior to the date on which notice of such call is given, provided that (i) a registration statement under the Securities Act of 1933, as amended (the “Act”) with respect to the shares of Common Stock issuable upon exercise must be effective and a current prospectus must be available for use by the registered holders hereof or (ii) the Warrants may be exercised on cashless basis as set forth in the Warrant Agreement and such cashless exercise is exempt from registration under the Act. The call price is $0.01 per Warrant Share. No fractional shares will be issued upon exercise of the Warrant.</w:t>
      </w:r>
    </w:p>
    <w:p>
      <w:pPr>
        <w:spacing w:after="0" w:line="169" w:lineRule="exact"/>
        <w:rPr>
          <w:sz w:val="20"/>
          <w:szCs w:val="20"/>
          <w:color w:val="auto"/>
        </w:rPr>
      </w:pPr>
    </w:p>
    <w:p>
      <w:pPr>
        <w:jc w:val="both"/>
        <w:ind w:right="20" w:firstLine="382"/>
        <w:spacing w:after="0" w:line="282" w:lineRule="auto"/>
        <w:rPr>
          <w:sz w:val="20"/>
          <w:szCs w:val="20"/>
          <w:color w:val="auto"/>
        </w:rPr>
      </w:pPr>
      <w:r>
        <w:rPr>
          <w:rFonts w:ascii="Times New Roman" w:cs="Times New Roman" w:eastAsia="Times New Roman" w:hAnsi="Times New Roman"/>
          <w:sz w:val="15"/>
          <w:szCs w:val="15"/>
          <w:color w:val="auto"/>
        </w:rPr>
        <w:t>If the foregoing conditions are satisfied and the Company calls the Warrant for redemption, each holder will then be entitled to exercise his, her or its Warrant prior to the date scheduled for redemption; provided that the Company may require the Registered Holder who desires to exercise the Warrant, to elect cashless exercise as set forth in the Warrant Agreement, and such Registered Holder must exercise the Warrants on a cashless basis if the Company so requires. Any Warrant either not exercised or tendered back to the Company by the end of the date specified in the notice of call shall be canceled on the books of the Company and have no further value except for the $0.01 call price.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7620</wp:posOffset>
            </wp:positionV>
            <wp:extent cx="2572385" cy="152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93" w:name="page194"/>
    <w:bookmarkEnd w:id="193"/>
    <w:p>
      <w:pPr>
        <w:jc w:val="center"/>
        <w:spacing w:after="0"/>
        <w:rPr>
          <w:sz w:val="20"/>
          <w:szCs w:val="20"/>
          <w:color w:val="auto"/>
        </w:rPr>
      </w:pPr>
      <w:r>
        <w:rPr>
          <w:rFonts w:ascii="Times New Roman" w:cs="Times New Roman" w:eastAsia="Times New Roman" w:hAnsi="Times New Roman"/>
          <w:sz w:val="16"/>
          <w:szCs w:val="16"/>
          <w:color w:val="auto"/>
        </w:rPr>
        <w:t>[REVERSE OF CERTIFICATE]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SUBSCRIPTION FORM</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To Be Executed by the Registered Holder(s) in Order to Exercise Warrants</w:t>
      </w:r>
    </w:p>
    <w:p>
      <w:pPr>
        <w:spacing w:after="0" w:line="198" w:lineRule="exact"/>
        <w:rPr>
          <w:sz w:val="20"/>
          <w:szCs w:val="20"/>
          <w:color w:val="auto"/>
        </w:rPr>
      </w:pPr>
    </w:p>
    <w:p>
      <w:pPr>
        <w:jc w:val="both"/>
        <w:ind w:right="20" w:firstLine="382"/>
        <w:spacing w:after="0" w:line="265" w:lineRule="auto"/>
        <w:rPr>
          <w:sz w:val="20"/>
          <w:szCs w:val="20"/>
          <w:color w:val="auto"/>
        </w:rPr>
      </w:pPr>
      <w:r>
        <w:rPr>
          <w:rFonts w:ascii="Times New Roman" w:cs="Times New Roman" w:eastAsia="Times New Roman" w:hAnsi="Times New Roman"/>
          <w:sz w:val="16"/>
          <w:szCs w:val="16"/>
          <w:color w:val="auto"/>
        </w:rPr>
        <w:t>The undersigned hereby irrevocably elects to exercise the right, represented by this Warrant Certificate, to receive shares of Common Stock in accordance with the terms of this Warrant Certificate and pursuant to the method selected below. Capitalized terms used herein and not otherwise defined have the respective meanings set forth in the Warrant Certificate. PLEASE CHECK ONE METHOD OF PAYMENT:</w:t>
      </w:r>
    </w:p>
    <w:p>
      <w:pPr>
        <w:spacing w:after="0" w:line="15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6"/>
          <w:szCs w:val="16"/>
          <w:color w:val="auto"/>
        </w:rPr>
        <w:t>a “</w:t>
      </w:r>
      <w:r>
        <w:rPr>
          <w:rFonts w:ascii="Times New Roman" w:cs="Times New Roman" w:eastAsia="Times New Roman" w:hAnsi="Times New Roman"/>
          <w:sz w:val="16"/>
          <w:szCs w:val="16"/>
          <w:u w:val="single" w:color="auto"/>
          <w:color w:val="auto"/>
        </w:rPr>
        <w:t>Cash Exercise</w:t>
      </w:r>
      <w:r>
        <w:rPr>
          <w:rFonts w:ascii="Times New Roman" w:cs="Times New Roman" w:eastAsia="Times New Roman" w:hAnsi="Times New Roman"/>
          <w:sz w:val="16"/>
          <w:szCs w:val="16"/>
          <w:color w:val="auto"/>
        </w:rPr>
        <w:t>” with respect to Warrant Shares; and/or</w:t>
      </w:r>
    </w:p>
    <w:p>
      <w:pPr>
        <w:spacing w:after="0" w:line="270" w:lineRule="exact"/>
        <w:rPr>
          <w:sz w:val="20"/>
          <w:szCs w:val="20"/>
          <w:color w:val="auto"/>
        </w:rPr>
      </w:pPr>
    </w:p>
    <w:p>
      <w:pPr>
        <w:jc w:val="both"/>
        <w:ind w:left="5280"/>
        <w:spacing w:after="0" w:line="257" w:lineRule="auto"/>
        <w:rPr>
          <w:sz w:val="20"/>
          <w:szCs w:val="20"/>
          <w:color w:val="auto"/>
        </w:rPr>
      </w:pPr>
      <w:r>
        <w:rPr>
          <w:rFonts w:ascii="Times New Roman" w:cs="Times New Roman" w:eastAsia="Times New Roman" w:hAnsi="Times New Roman"/>
          <w:sz w:val="16"/>
          <w:szCs w:val="16"/>
          <w:color w:val="auto"/>
        </w:rPr>
        <w:t>a “</w:t>
      </w:r>
      <w:r>
        <w:rPr>
          <w:rFonts w:ascii="Times New Roman" w:cs="Times New Roman" w:eastAsia="Times New Roman" w:hAnsi="Times New Roman"/>
          <w:sz w:val="16"/>
          <w:szCs w:val="16"/>
          <w:u w:val="single" w:color="auto"/>
          <w:color w:val="auto"/>
        </w:rPr>
        <w:t>Cashless Exercise</w:t>
      </w:r>
      <w:r>
        <w:rPr>
          <w:rFonts w:ascii="Times New Roman" w:cs="Times New Roman" w:eastAsia="Times New Roman" w:hAnsi="Times New Roman"/>
          <w:sz w:val="16"/>
          <w:szCs w:val="16"/>
          <w:color w:val="auto"/>
        </w:rPr>
        <w:t xml:space="preserve">” with respect to Warrant Shares because on the date of this exercise, there is no effective registration statement registering the Warrant Shares, or the prospectus contained therein is not available for the resale of the Warrant Shares, in which event the Company shall deliver to the registered holder(s) shares of Common Stock pursuant to </w:t>
      </w:r>
      <w:r>
        <w:rPr>
          <w:rFonts w:ascii="Times New Roman" w:cs="Times New Roman" w:eastAsia="Times New Roman" w:hAnsi="Times New Roman"/>
          <w:sz w:val="16"/>
          <w:szCs w:val="16"/>
          <w:u w:val="single" w:color="auto"/>
          <w:color w:val="auto"/>
        </w:rPr>
        <w:t>Section 3.3.2</w:t>
      </w:r>
      <w:r>
        <w:rPr>
          <w:rFonts w:ascii="Times New Roman" w:cs="Times New Roman" w:eastAsia="Times New Roman" w:hAnsi="Times New Roman"/>
          <w:sz w:val="16"/>
          <w:szCs w:val="16"/>
          <w:color w:val="auto"/>
        </w:rPr>
        <w:t xml:space="preserve"> of the Warrant Agreement.</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The undersigned requests that a certificate for such shares be registered in the name(s) of:</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(PLEASE TYPE OR PRINT NAME(S)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148195" cy="152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(SOCIAL SECURITY OR TAX IDENTIFICATION NUMBER(S))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 be delivered to</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(PLEASE PRINT OR TYPE NAME(S) AND ADDRESS)</w:t>
      </w:r>
    </w:p>
    <w:p>
      <w:pPr>
        <w:spacing w:after="0" w:line="198"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and, if such number of Warrants shall not be all the Warrants evidenced by this Warrant Certificate, that a new Warrant Certificate for the balance of such Warrants be registered in the name of, and delivered to, the registered holder(s) at the address(es) stated below:</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2860675" cy="152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860675" cy="1524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125730</wp:posOffset>
            </wp:positionV>
            <wp:extent cx="2860675" cy="152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860675" cy="1524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(TAX IDENTIFICATION NUMBER(S))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40" w:right="319" w:bottom="1440" w:gutter="0" w:footer="0" w:header="0"/>
        </w:sectPr>
      </w:pPr>
    </w:p>
    <w:bookmarkStart w:id="194" w:name="page195"/>
    <w:bookmarkEnd w:id="194"/>
    <w:p>
      <w:pPr>
        <w:jc w:val="center"/>
        <w:spacing w:after="0"/>
        <w:rPr>
          <w:sz w:val="20"/>
          <w:szCs w:val="20"/>
          <w:color w:val="auto"/>
        </w:rPr>
      </w:pPr>
      <w:r>
        <w:rPr>
          <w:rFonts w:ascii="Times New Roman" w:cs="Times New Roman" w:eastAsia="Times New Roman" w:hAnsi="Times New Roman"/>
          <w:sz w:val="16"/>
          <w:szCs w:val="16"/>
          <w:color w:val="auto"/>
        </w:rPr>
        <w:t>ASSIGNMENT</w:t>
      </w:r>
    </w:p>
    <w:p>
      <w:pPr>
        <w:spacing w:after="0" w:line="19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6"/>
          <w:szCs w:val="16"/>
          <w:color w:val="auto"/>
        </w:rPr>
        <w:t>To Be Executed by the Registered Holder in Order to Assign Warrants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Value Received, hereby sell(s), assign(s), and transfer(s)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148195" cy="152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(PLEASE TYPE OR PRINT NAME(S) AND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125730</wp:posOffset>
            </wp:positionV>
            <wp:extent cx="7148195" cy="152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(SOCIAL SECURITY OR TAX IDENTIFICATION NUMBER(S))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 to be delivered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273050</wp:posOffset>
            </wp:positionV>
            <wp:extent cx="2716530" cy="152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716530" cy="1524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6"/>
          <w:szCs w:val="16"/>
          <w:color w:val="auto"/>
        </w:rPr>
        <w:t>(PLEASE PRINT OR TYPE NAME(S)</w:t>
      </w:r>
    </w:p>
    <w:p>
      <w:pPr>
        <w:spacing w:after="0" w:line="2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6"/>
          <w:szCs w:val="16"/>
          <w:color w:val="auto"/>
        </w:rPr>
        <w:t>AND ADDRESS(ES))</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(SOCIAL SECURITY OR TAX IDENTIFICATION NUMBER(S))</w:t>
      </w:r>
    </w:p>
    <w:p>
      <w:pPr>
        <w:spacing w:after="0" w:line="198"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of the Warrants represented by this Warrant Certificate, and hereby irrevocably constitute and appoint Attorney to transfer this Warrant Certificate on the books of the Company, with full power of substitution in the premises.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3004820" cy="152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004820" cy="1524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(SIGNATURE(S))</w:t>
      </w:r>
    </w:p>
    <w:p>
      <w:pPr>
        <w:spacing w:after="0" w:line="198"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NOTICE: THE SIGNATURE(S) TO THIS ASSIGNMENT MUST CORRESPOND WITH THE NAME AS WRITTEN UPON THE FACE OF THE CERTIFICATE IN EVERY PARTICULAR, WITHOUT ALTERATION OR ENLARGEMENT OR ANY CHANGE WHATEVER.</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Signature(s) Guaranteed: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7620</wp:posOffset>
            </wp:positionV>
            <wp:extent cx="2572385" cy="152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38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THE SIGNATURE(S) MUST BE GUARANTEED BY AN ELIGIBLE GUARANTOR INSTITUTION (BANKS, STOCKBROKERS, SAVINGS AND LOAN ASSOCIATIONS AND CREDIT UNIONS WITH MEMBERSHIP IN AN APPROVED SIGNATURE GUARANTEE MEDALLION PROGRAM, PURSUANT TO S.E.C. RULE 17Ad-15).</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40" w:right="319"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19"/>
          <w:szCs w:val="19"/>
          <w:b w:val="1"/>
          <w:bCs w:val="1"/>
          <w:color w:val="auto"/>
        </w:rPr>
        <w:t>Exhibit 10.5</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AMENDED AND RESTATED REGISTRATION RIGHTS AGREEMENT</w:t>
      </w:r>
    </w:p>
    <w:p>
      <w:pPr>
        <w:spacing w:after="0" w:line="200" w:lineRule="exact"/>
        <w:rPr>
          <w:sz w:val="20"/>
          <w:szCs w:val="20"/>
          <w:color w:val="auto"/>
        </w:rPr>
      </w:pPr>
    </w:p>
    <w:p>
      <w:pPr>
        <w:jc w:val="both"/>
        <w:ind w:firstLine="382"/>
        <w:spacing w:after="0" w:line="254" w:lineRule="auto"/>
        <w:rPr>
          <w:sz w:val="20"/>
          <w:szCs w:val="20"/>
          <w:color w:val="auto"/>
        </w:rPr>
      </w:pPr>
      <w:r>
        <w:rPr>
          <w:rFonts w:ascii="Times New Roman" w:cs="Times New Roman" w:eastAsia="Times New Roman" w:hAnsi="Times New Roman"/>
          <w:sz w:val="16"/>
          <w:szCs w:val="16"/>
          <w:color w:val="auto"/>
        </w:rPr>
        <w:t>This AMENDED AND RESTATED REGISTRATION RIGHTS AGREEMENT (this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is made as of [●], 2022, by and among (i) Ventoux CCM Acquisition Corp., a Delaware corporation (“</w:t>
      </w:r>
      <w:r>
        <w:rPr>
          <w:rFonts w:ascii="Times New Roman" w:cs="Times New Roman" w:eastAsia="Times New Roman" w:hAnsi="Times New Roman"/>
          <w:sz w:val="16"/>
          <w:szCs w:val="16"/>
          <w:u w:val="single" w:color="auto"/>
          <w:color w:val="auto"/>
        </w:rPr>
        <w:t>Pubco</w:t>
      </w:r>
      <w:r>
        <w:rPr>
          <w:rFonts w:ascii="Times New Roman" w:cs="Times New Roman" w:eastAsia="Times New Roman" w:hAnsi="Times New Roman"/>
          <w:sz w:val="16"/>
          <w:szCs w:val="16"/>
          <w:color w:val="auto"/>
        </w:rPr>
        <w:t>”), (ii) Ventoux Acquisition Holdings LLC, a Delaware limited liability company (“</w:t>
      </w:r>
      <w:r>
        <w:rPr>
          <w:rFonts w:ascii="Times New Roman" w:cs="Times New Roman" w:eastAsia="Times New Roman" w:hAnsi="Times New Roman"/>
          <w:sz w:val="16"/>
          <w:szCs w:val="16"/>
          <w:u w:val="single" w:color="auto"/>
          <w:color w:val="auto"/>
        </w:rPr>
        <w:t>Co-Sponsor</w:t>
      </w:r>
      <w:r>
        <w:rPr>
          <w:rFonts w:ascii="Times New Roman" w:cs="Times New Roman" w:eastAsia="Times New Roman" w:hAnsi="Times New Roman"/>
          <w:sz w:val="16"/>
          <w:szCs w:val="16"/>
          <w:color w:val="auto"/>
        </w:rPr>
        <w:t>”), (iii) Chardan International Investments, LLC, a Delaware limited liability company (together with the Co-Sponsor, the “</w:t>
      </w:r>
      <w:r>
        <w:rPr>
          <w:rFonts w:ascii="Times New Roman" w:cs="Times New Roman" w:eastAsia="Times New Roman" w:hAnsi="Times New Roman"/>
          <w:sz w:val="16"/>
          <w:szCs w:val="16"/>
          <w:u w:val="single" w:color="auto"/>
          <w:color w:val="auto"/>
        </w:rPr>
        <w:t>Sponsors</w:t>
      </w:r>
      <w:r>
        <w:rPr>
          <w:rFonts w:ascii="Times New Roman" w:cs="Times New Roman" w:eastAsia="Times New Roman" w:hAnsi="Times New Roman"/>
          <w:sz w:val="16"/>
          <w:szCs w:val="16"/>
          <w:color w:val="auto"/>
        </w:rPr>
        <w:t>”), (iv) Silver Rock Contingent Credit Fund LP (the “SR Fund”) and Silver Rock Tactical Allocation Fund LP (together with the SR Fund, the “Silver Rock Investors”), (v) each of the Persons listed on the Schedule of Investors attached hereto as of the date hereof, and (vi) each of the other Persons set forth from time to time on the Schedule of Investors who, at any time, own securities of Pubco and enter into a joinder to this Agreement agreeing to be bound by the terms hereof (each Person identified in the foregoing (ii) through (vi), an “</w:t>
      </w:r>
      <w:r>
        <w:rPr>
          <w:rFonts w:ascii="Times New Roman" w:cs="Times New Roman" w:eastAsia="Times New Roman" w:hAnsi="Times New Roman"/>
          <w:sz w:val="16"/>
          <w:szCs w:val="16"/>
          <w:u w:val="single" w:color="auto"/>
          <w:color w:val="auto"/>
        </w:rPr>
        <w:t>Investor</w:t>
      </w:r>
      <w:r>
        <w:rPr>
          <w:rFonts w:ascii="Times New Roman" w:cs="Times New Roman" w:eastAsia="Times New Roman" w:hAnsi="Times New Roman"/>
          <w:sz w:val="16"/>
          <w:szCs w:val="16"/>
          <w:color w:val="auto"/>
        </w:rPr>
        <w:t>” and, collectively, the “</w:t>
      </w:r>
      <w:r>
        <w:rPr>
          <w:rFonts w:ascii="Times New Roman" w:cs="Times New Roman" w:eastAsia="Times New Roman" w:hAnsi="Times New Roman"/>
          <w:sz w:val="16"/>
          <w:szCs w:val="16"/>
          <w:u w:val="single" w:color="auto"/>
          <w:color w:val="auto"/>
        </w:rPr>
        <w:t>Investors</w:t>
      </w:r>
      <w:r>
        <w:rPr>
          <w:rFonts w:ascii="Times New Roman" w:cs="Times New Roman" w:eastAsia="Times New Roman" w:hAnsi="Times New Roman"/>
          <w:sz w:val="16"/>
          <w:szCs w:val="16"/>
          <w:color w:val="auto"/>
        </w:rPr>
        <w:t xml:space="preserve">”). Unless otherwise provided in this Agreement, capitalized terms used herein shall have the meanings set forth in </w:t>
      </w:r>
      <w:r>
        <w:rPr>
          <w:rFonts w:ascii="Times New Roman" w:cs="Times New Roman" w:eastAsia="Times New Roman" w:hAnsi="Times New Roman"/>
          <w:sz w:val="16"/>
          <w:szCs w:val="16"/>
          <w:u w:val="single" w:color="auto"/>
          <w:color w:val="auto"/>
        </w:rPr>
        <w:t>Section 11</w:t>
      </w:r>
      <w:r>
        <w:rPr>
          <w:rFonts w:ascii="Times New Roman" w:cs="Times New Roman" w:eastAsia="Times New Roman" w:hAnsi="Times New Roman"/>
          <w:sz w:val="16"/>
          <w:szCs w:val="16"/>
          <w:color w:val="auto"/>
        </w:rPr>
        <w:t xml:space="preserve"> hereof.</w:t>
      </w:r>
    </w:p>
    <w:p>
      <w:pPr>
        <w:spacing w:after="0" w:line="167" w:lineRule="exact"/>
        <w:rPr>
          <w:sz w:val="20"/>
          <w:szCs w:val="20"/>
          <w:color w:val="auto"/>
        </w:rPr>
      </w:pPr>
    </w:p>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WHEREAS, Pubco and certain of the Investors (the “</w:t>
      </w:r>
      <w:r>
        <w:rPr>
          <w:rFonts w:ascii="Times New Roman" w:cs="Times New Roman" w:eastAsia="Times New Roman" w:hAnsi="Times New Roman"/>
          <w:sz w:val="16"/>
          <w:szCs w:val="16"/>
          <w:u w:val="single" w:color="auto"/>
          <w:color w:val="auto"/>
        </w:rPr>
        <w:t>Original Holders</w:t>
      </w:r>
      <w:r>
        <w:rPr>
          <w:rFonts w:ascii="Times New Roman" w:cs="Times New Roman" w:eastAsia="Times New Roman" w:hAnsi="Times New Roman"/>
          <w:sz w:val="16"/>
          <w:szCs w:val="16"/>
          <w:color w:val="auto"/>
        </w:rPr>
        <w:t>”) are parties to that certain Registration Rights Agreement, dated as of December 23, 2020 (the “</w:t>
      </w:r>
      <w:r>
        <w:rPr>
          <w:rFonts w:ascii="Times New Roman" w:cs="Times New Roman" w:eastAsia="Times New Roman" w:hAnsi="Times New Roman"/>
          <w:sz w:val="16"/>
          <w:szCs w:val="16"/>
          <w:u w:val="single" w:color="auto"/>
          <w:color w:val="auto"/>
        </w:rPr>
        <w:t>Prior Agreement</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WHEREAS, upon the consummation of the transactions contemplated by the Merger Agreement, the Original Holders will hold an aggregate of 2,689,187 shares (the “</w:t>
      </w:r>
      <w:r>
        <w:rPr>
          <w:rFonts w:ascii="Times New Roman" w:cs="Times New Roman" w:eastAsia="Times New Roman" w:hAnsi="Times New Roman"/>
          <w:sz w:val="16"/>
          <w:szCs w:val="16"/>
          <w:u w:val="single" w:color="auto"/>
          <w:color w:val="auto"/>
        </w:rPr>
        <w:t>Founder Shares</w:t>
      </w:r>
      <w:r>
        <w:rPr>
          <w:rFonts w:ascii="Times New Roman" w:cs="Times New Roman" w:eastAsia="Times New Roman" w:hAnsi="Times New Roman"/>
          <w:sz w:val="16"/>
          <w:szCs w:val="16"/>
          <w:color w:val="auto"/>
        </w:rPr>
        <w:t>”) of common stock of Pubco, par value $0.0001 per share, originally issued prior to Pubco’s initial public offering;</w:t>
      </w:r>
    </w:p>
    <w:p>
      <w:pPr>
        <w:spacing w:after="0" w:line="144" w:lineRule="exact"/>
        <w:rPr>
          <w:sz w:val="20"/>
          <w:szCs w:val="20"/>
          <w:color w:val="auto"/>
        </w:rPr>
      </w:pPr>
    </w:p>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WHEREAS, upon the consummation of the transactions contemplated by the Merger Agreement, the Original Holders will hold an aggregate of 6,075,000 warrants (the “</w:t>
      </w:r>
      <w:r>
        <w:rPr>
          <w:rFonts w:ascii="Times New Roman" w:cs="Times New Roman" w:eastAsia="Times New Roman" w:hAnsi="Times New Roman"/>
          <w:sz w:val="16"/>
          <w:szCs w:val="16"/>
          <w:u w:val="single" w:color="auto"/>
          <w:color w:val="auto"/>
        </w:rPr>
        <w:t>Private Placement Warrants</w:t>
      </w:r>
      <w:r>
        <w:rPr>
          <w:rFonts w:ascii="Times New Roman" w:cs="Times New Roman" w:eastAsia="Times New Roman" w:hAnsi="Times New Roman"/>
          <w:sz w:val="16"/>
          <w:szCs w:val="16"/>
          <w:color w:val="auto"/>
        </w:rPr>
        <w:t>”) to purchase, at an exercise price of $11.50 per share (subject to adjustment), shares of Common Stock;</w:t>
      </w:r>
    </w:p>
    <w:p>
      <w:pPr>
        <w:spacing w:after="0" w:line="144"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6"/>
          <w:szCs w:val="16"/>
          <w:color w:val="auto"/>
        </w:rPr>
        <w:t>WHEREAS, Pubco, Ventoux Merger Sub I, Inc. (“</w:t>
      </w:r>
      <w:r>
        <w:rPr>
          <w:rFonts w:ascii="Times New Roman" w:cs="Times New Roman" w:eastAsia="Times New Roman" w:hAnsi="Times New Roman"/>
          <w:sz w:val="16"/>
          <w:szCs w:val="16"/>
          <w:u w:val="single" w:color="auto"/>
          <w:color w:val="auto"/>
        </w:rPr>
        <w:t>First Merger Sub</w:t>
      </w:r>
      <w:r>
        <w:rPr>
          <w:rFonts w:ascii="Times New Roman" w:cs="Times New Roman" w:eastAsia="Times New Roman" w:hAnsi="Times New Roman"/>
          <w:sz w:val="16"/>
          <w:szCs w:val="16"/>
          <w:color w:val="auto"/>
        </w:rPr>
        <w:t>”), Ventoux Merger Sub II, LLC (“</w:t>
      </w:r>
      <w:r>
        <w:rPr>
          <w:rFonts w:ascii="Times New Roman" w:cs="Times New Roman" w:eastAsia="Times New Roman" w:hAnsi="Times New Roman"/>
          <w:sz w:val="16"/>
          <w:szCs w:val="16"/>
          <w:u w:val="single" w:color="auto"/>
          <w:color w:val="auto"/>
        </w:rPr>
        <w:t>Second Merger Sub</w:t>
      </w:r>
      <w:r>
        <w:rPr>
          <w:rFonts w:ascii="Times New Roman" w:cs="Times New Roman" w:eastAsia="Times New Roman" w:hAnsi="Times New Roman"/>
          <w:sz w:val="16"/>
          <w:szCs w:val="16"/>
          <w:color w:val="auto"/>
        </w:rPr>
        <w:t>”) and E La Carte, Inc. (the “</w:t>
      </w:r>
      <w:r>
        <w:rPr>
          <w:rFonts w:ascii="Times New Roman" w:cs="Times New Roman" w:eastAsia="Times New Roman" w:hAnsi="Times New Roman"/>
          <w:sz w:val="16"/>
          <w:szCs w:val="16"/>
          <w:u w:val="single" w:color="auto"/>
          <w:color w:val="auto"/>
        </w:rPr>
        <w:t>Target”)</w:t>
      </w:r>
      <w:r>
        <w:rPr>
          <w:rFonts w:ascii="Times New Roman" w:cs="Times New Roman" w:eastAsia="Times New Roman" w:hAnsi="Times New Roman"/>
          <w:sz w:val="16"/>
          <w:szCs w:val="16"/>
          <w:color w:val="auto"/>
        </w:rPr>
        <w:t xml:space="preserve"> have entered into that certain Agreement and Plan of Merger, dated as of November 10, 2021 (as amended, the “</w:t>
      </w:r>
      <w:r>
        <w:rPr>
          <w:rFonts w:ascii="Times New Roman" w:cs="Times New Roman" w:eastAsia="Times New Roman" w:hAnsi="Times New Roman"/>
          <w:sz w:val="16"/>
          <w:szCs w:val="16"/>
          <w:u w:val="single" w:color="auto"/>
          <w:color w:val="auto"/>
        </w:rPr>
        <w:t>Merger Agreement</w:t>
      </w:r>
      <w:r>
        <w:rPr>
          <w:rFonts w:ascii="Times New Roman" w:cs="Times New Roman" w:eastAsia="Times New Roman" w:hAnsi="Times New Roman"/>
          <w:sz w:val="16"/>
          <w:szCs w:val="16"/>
          <w:color w:val="auto"/>
        </w:rPr>
        <w:t>”), pursuant to which (and subject to the terms and conditions set forth therein) First Merger Sub will merge with and into the Target, with the Target surviving such merger as a wholly-owned subsidiary of Pubco (the “</w:t>
      </w:r>
      <w:r>
        <w:rPr>
          <w:rFonts w:ascii="Times New Roman" w:cs="Times New Roman" w:eastAsia="Times New Roman" w:hAnsi="Times New Roman"/>
          <w:sz w:val="16"/>
          <w:szCs w:val="16"/>
          <w:u w:val="single" w:color="auto"/>
          <w:color w:val="auto"/>
        </w:rPr>
        <w:t>First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and immediately following the First Merger, the surviving corporation will merge with and into Second Merger Sub, with Second Merger Sub continuing on as the surviving entity as a wholly-owned subsidiary of the Company (the merger transactions collectively referred to as the “</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jc w:val="both"/>
        <w:ind w:firstLine="382"/>
        <w:spacing w:after="0" w:line="265" w:lineRule="auto"/>
        <w:rPr>
          <w:sz w:val="20"/>
          <w:szCs w:val="20"/>
          <w:color w:val="auto"/>
        </w:rPr>
      </w:pPr>
      <w:r>
        <w:rPr>
          <w:rFonts w:ascii="Times New Roman" w:cs="Times New Roman" w:eastAsia="Times New Roman" w:hAnsi="Times New Roman"/>
          <w:sz w:val="16"/>
          <w:szCs w:val="16"/>
          <w:color w:val="auto"/>
        </w:rPr>
        <w:t>WHEREAS, in connection with the execution and delivery of the Merger Agreement, Pubco and the Silver Rock Investors entered into subscription agreements, dated as of November 10, 2021 (as amended, the “</w:t>
      </w:r>
      <w:r>
        <w:rPr>
          <w:rFonts w:ascii="Times New Roman" w:cs="Times New Roman" w:eastAsia="Times New Roman" w:hAnsi="Times New Roman"/>
          <w:sz w:val="16"/>
          <w:szCs w:val="16"/>
          <w:u w:val="single" w:color="auto"/>
          <w:color w:val="auto"/>
        </w:rPr>
        <w:t>Subscription Agreements</w:t>
      </w:r>
      <w:r>
        <w:rPr>
          <w:rFonts w:ascii="Times New Roman" w:cs="Times New Roman" w:eastAsia="Times New Roman" w:hAnsi="Times New Roman"/>
          <w:sz w:val="16"/>
          <w:szCs w:val="16"/>
          <w:color w:val="auto"/>
        </w:rPr>
        <w:t>”), pursuant to which, and subject to the terms and conditions thereof, such Silver Rock Investors have agreed to purchase the Subscribed Shares, the Subscribed Notes and the Subscribed Warrants, each as defined in the Subscription Agreements);</w:t>
      </w:r>
    </w:p>
    <w:p>
      <w:pPr>
        <w:spacing w:after="0" w:line="155" w:lineRule="exact"/>
        <w:rPr>
          <w:sz w:val="20"/>
          <w:szCs w:val="20"/>
          <w:color w:val="auto"/>
        </w:rPr>
      </w:pPr>
    </w:p>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WHEREAS, the parties to the Prior Agreement desire to amend and restate the Prior Agreement in its entirety on the terms and conditions included herein and to include the recipients of the other Registrable Securities identified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360045</wp:posOffset>
            </wp:positionV>
            <wp:extent cx="7148195" cy="152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196" w:name="page197"/>
    <w:bookmarkEnd w:id="196"/>
    <w:p>
      <w:pPr>
        <w:ind w:right="20" w:firstLine="382"/>
        <w:spacing w:after="0" w:line="280" w:lineRule="auto"/>
        <w:rPr>
          <w:sz w:val="20"/>
          <w:szCs w:val="20"/>
          <w:color w:val="auto"/>
        </w:rPr>
      </w:pPr>
      <w:r>
        <w:rPr>
          <w:rFonts w:ascii="Times New Roman" w:cs="Times New Roman" w:eastAsia="Times New Roman" w:hAnsi="Times New Roman"/>
          <w:sz w:val="16"/>
          <w:szCs w:val="16"/>
          <w:color w:val="auto"/>
        </w:rPr>
        <w:t>NOW, THEREFORE, in consideration of the mutual covenants contained herein and other good and valuable consideration, the receipt and sufficiency of which are hereby acknowledged, the parties to this Agreement hereby agree as follows:</w:t>
      </w:r>
    </w:p>
    <w:p>
      <w:pPr>
        <w:spacing w:after="0" w:line="144" w:lineRule="exact"/>
        <w:rPr>
          <w:sz w:val="20"/>
          <w:szCs w:val="20"/>
          <w:color w:val="auto"/>
        </w:rPr>
      </w:pPr>
    </w:p>
    <w:p>
      <w:pPr>
        <w:ind w:left="540" w:hanging="162"/>
        <w:spacing w:after="0"/>
        <w:tabs>
          <w:tab w:leader="none" w:pos="540" w:val="left"/>
        </w:tabs>
        <w:numPr>
          <w:ilvl w:val="0"/>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Resale Shelf Registration Rights</w:t>
      </w:r>
      <w:r>
        <w:rPr>
          <w:rFonts w:ascii="Times New Roman" w:cs="Times New Roman" w:eastAsia="Times New Roman" w:hAnsi="Times New Roman"/>
          <w:sz w:val="16"/>
          <w:szCs w:val="16"/>
          <w:color w:val="auto"/>
        </w:rPr>
        <w:t>.</w:t>
      </w:r>
    </w:p>
    <w:p>
      <w:pPr>
        <w:spacing w:after="0" w:line="198" w:lineRule="exact"/>
        <w:rPr>
          <w:rFonts w:ascii="Times New Roman" w:cs="Times New Roman" w:eastAsia="Times New Roman" w:hAnsi="Times New Roman"/>
          <w:sz w:val="16"/>
          <w:szCs w:val="16"/>
          <w:color w:val="auto"/>
        </w:rPr>
      </w:pPr>
    </w:p>
    <w:p>
      <w:pPr>
        <w:jc w:val="both"/>
        <w:ind w:firstLine="1143"/>
        <w:spacing w:after="0" w:line="250" w:lineRule="auto"/>
        <w:tabs>
          <w:tab w:leader="none" w:pos="1364" w:val="left"/>
        </w:tabs>
        <w:numPr>
          <w:ilvl w:val="1"/>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Registration Statement Covering Resale of Registrable Securities</w:t>
      </w:r>
      <w:r>
        <w:rPr>
          <w:rFonts w:ascii="Times New Roman" w:cs="Times New Roman" w:eastAsia="Times New Roman" w:hAnsi="Times New Roman"/>
          <w:sz w:val="16"/>
          <w:szCs w:val="16"/>
          <w:color w:val="auto"/>
        </w:rPr>
        <w:t>. Pubco shall use its reasonable best efforts to prepare and file or cause to be prepared and filed with the Commission, no later than 30 days following the consummation of the Mergers (the “</w:t>
      </w:r>
      <w:r>
        <w:rPr>
          <w:rFonts w:ascii="Times New Roman" w:cs="Times New Roman" w:eastAsia="Times New Roman" w:hAnsi="Times New Roman"/>
          <w:sz w:val="16"/>
          <w:szCs w:val="16"/>
          <w:u w:val="single" w:color="auto"/>
          <w:color w:val="auto"/>
        </w:rPr>
        <w:t>Filing Deadline</w:t>
      </w:r>
      <w:r>
        <w:rPr>
          <w:rFonts w:ascii="Times New Roman" w:cs="Times New Roman" w:eastAsia="Times New Roman" w:hAnsi="Times New Roman"/>
          <w:sz w:val="16"/>
          <w:szCs w:val="16"/>
          <w:color w:val="auto"/>
        </w:rPr>
        <w:t>”), a Registration Statement for an offering to be made on a continuous basis pursuant to Rule 415 of the Securities Act registering the resale from time to time by the Investors of all of the Registrable Securities held by the Investors (the “</w:t>
      </w:r>
      <w:r>
        <w:rPr>
          <w:rFonts w:ascii="Times New Roman" w:cs="Times New Roman" w:eastAsia="Times New Roman" w:hAnsi="Times New Roman"/>
          <w:sz w:val="16"/>
          <w:szCs w:val="16"/>
          <w:u w:val="single" w:color="auto"/>
          <w:color w:val="auto"/>
        </w:rPr>
        <w:t>Resale Shelf Registration Statement</w:t>
      </w:r>
      <w:r>
        <w:rPr>
          <w:rFonts w:ascii="Times New Roman" w:cs="Times New Roman" w:eastAsia="Times New Roman" w:hAnsi="Times New Roman"/>
          <w:sz w:val="16"/>
          <w:szCs w:val="16"/>
          <w:color w:val="auto"/>
        </w:rPr>
        <w:t xml:space="preserve">”). The Resale Shelf Registration Statement shall be on Form S-1;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Pubco shall file, within 30 days of such time as Form S-3 (“</w:t>
      </w:r>
      <w:r>
        <w:rPr>
          <w:rFonts w:ascii="Times New Roman" w:cs="Times New Roman" w:eastAsia="Times New Roman" w:hAnsi="Times New Roman"/>
          <w:sz w:val="16"/>
          <w:szCs w:val="16"/>
          <w:u w:val="single" w:color="auto"/>
          <w:color w:val="auto"/>
        </w:rPr>
        <w:t>Form S-3</w:t>
      </w:r>
      <w:r>
        <w:rPr>
          <w:rFonts w:ascii="Times New Roman" w:cs="Times New Roman" w:eastAsia="Times New Roman" w:hAnsi="Times New Roman"/>
          <w:sz w:val="16"/>
          <w:szCs w:val="16"/>
          <w:color w:val="auto"/>
        </w:rPr>
        <w:t>”) is available for the Resale Shelf Registration Statement, a post-effective amendment to the Resale Shelf Registration Statement then in effect, or otherwise file a Registration Statement on Form S-3, registering the Registrable Securities for resale in accordance with the immediately preceding sentence on Form S-3 (provided that Pubco shall maintain the effectiveness of the Registration Statement then in effect until such time as a Registration Statement (or post-effective amendment) on Form S-3 covering such Registrable Securities has been declared effective by the Commission). Pubco shall use reasonable best efforts to cause the Resale Shelf Registration Statement to be declared effective as soon as possible after filing, but in no event later than the earlier of (i) 60 days following the Filing Deadline and (ii) three Business Days after the Commission notifies Pubco that it will not review the Resale Shelf Registration Statement, if applicable (the “</w:t>
      </w:r>
      <w:r>
        <w:rPr>
          <w:rFonts w:ascii="Times New Roman" w:cs="Times New Roman" w:eastAsia="Times New Roman" w:hAnsi="Times New Roman"/>
          <w:sz w:val="16"/>
          <w:szCs w:val="16"/>
          <w:u w:val="single" w:color="auto"/>
          <w:color w:val="auto"/>
        </w:rPr>
        <w:t>Effectiveness Deadline</w:t>
      </w:r>
      <w:r>
        <w:rPr>
          <w:rFonts w:ascii="Times New Roman" w:cs="Times New Roman" w:eastAsia="Times New Roman" w:hAnsi="Times New Roman"/>
          <w:sz w:val="16"/>
          <w:szCs w:val="16"/>
          <w:color w:val="auto"/>
        </w:rPr>
        <w:t>”); provided, that, if the Registration Statement filed pursuant to this Section 1(a) is reviewed by, and Pubco receives comments from, the Commission with respect to such Registration Statement, the Effectiveness Deadline shall be extended to 90 days following the Filing Deadline. Without limiting the foregoing, as soon as practicable, but in no event later than three Business Days, following the resolution or clearance of all Commission comments or, if applicable, following notification by the Commission that any such Registration Statement or any amendment thereto will not be subject to review, Pubco shall file a request for acceleration of effectiveness of such Registration Statement (to the extent required, by declaration or ordering of effectiveness, of such Registration Statement or amendment by the Commission) to a time and date not later than two Business days after the submission of such request. Once effective, Pubco shall use reasonable best efforts to keep the Resale Shelf Registration Statement continuously effective and to be supplemented and amended to the extent necessary to ensure that such Registration Statement is available or, if not available, to ensure that another Registration Statement is available, under the Securities Act at all times for the public resale of all of the Registrable Securities until such date as all Registrable Securities covered by the Resale Shelf Registration Statement have been disposed of in accordance with the intended method(s) of distribution set forth in such Registration Statement. The Resale Shelf Registration Statement shall contain a Prospectus in such form as to permit any Investor to sell such Registrable Securities pursuant to Rule 415 under the Securities Act (or any successor or similar provision adopted by the Commission then in effect) at any time beginning on the effective date for such Registration Statement, and Pubco shall file with the Commission the final form of such Prospectus pursuant to Rule 424 (or successor thereto) under the Securities Act no later than the first Business Day after the Resale Shelf Registration Statement becomes effective. The Resale Shelf Registration Statement shall provide that the Registrable Securities may be sold pursuant to any method or combination of methods legally available to, and requested by, the Investors. Without limiting the foregoing, subject to any comments from the Commission, each Registration Statement filed pursuant to this Section 1 shall include a “plan of distribution” approved by the Majority Presto Investors, the Majority Silver Rock Investors and the Sponsors.</w:t>
      </w:r>
    </w:p>
    <w:p>
      <w:pPr>
        <w:spacing w:after="0" w:line="179" w:lineRule="exact"/>
        <w:rPr>
          <w:rFonts w:ascii="Times New Roman" w:cs="Times New Roman" w:eastAsia="Times New Roman" w:hAnsi="Times New Roman"/>
          <w:sz w:val="16"/>
          <w:szCs w:val="16"/>
          <w:color w:val="auto"/>
        </w:rPr>
      </w:pPr>
    </w:p>
    <w:p>
      <w:pPr>
        <w:jc w:val="both"/>
        <w:ind w:firstLine="1143"/>
        <w:spacing w:after="0" w:line="268" w:lineRule="auto"/>
        <w:tabs>
          <w:tab w:leader="none" w:pos="1377" w:val="left"/>
        </w:tabs>
        <w:numPr>
          <w:ilvl w:val="1"/>
          <w:numId w:val="2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Notwithstanding the registration obligations set forth in this </w:t>
      </w:r>
      <w:r>
        <w:rPr>
          <w:rFonts w:ascii="Times New Roman" w:cs="Times New Roman" w:eastAsia="Times New Roman" w:hAnsi="Times New Roman"/>
          <w:sz w:val="15"/>
          <w:szCs w:val="15"/>
          <w:u w:val="single" w:color="auto"/>
          <w:color w:val="auto"/>
        </w:rPr>
        <w:t>Section 1</w:t>
      </w:r>
      <w:r>
        <w:rPr>
          <w:rFonts w:ascii="Times New Roman" w:cs="Times New Roman" w:eastAsia="Times New Roman" w:hAnsi="Times New Roman"/>
          <w:sz w:val="15"/>
          <w:szCs w:val="15"/>
          <w:color w:val="auto"/>
        </w:rPr>
        <w:t>, in the event that, despite Pubco’s efforts to include all of the Registrable Securities in any Registration Statement filed pursuant to Section 1(a), the Commission informs Pubco (the “</w:t>
      </w:r>
      <w:r>
        <w:rPr>
          <w:rFonts w:ascii="Times New Roman" w:cs="Times New Roman" w:eastAsia="Times New Roman" w:hAnsi="Times New Roman"/>
          <w:sz w:val="15"/>
          <w:szCs w:val="15"/>
          <w:u w:val="single" w:color="auto"/>
          <w:color w:val="auto"/>
        </w:rPr>
        <w:t>Commission’s Notice</w:t>
      </w:r>
      <w:r>
        <w:rPr>
          <w:rFonts w:ascii="Times New Roman" w:cs="Times New Roman" w:eastAsia="Times New Roman" w:hAnsi="Times New Roman"/>
          <w:sz w:val="15"/>
          <w:szCs w:val="15"/>
          <w:color w:val="auto"/>
        </w:rPr>
        <w:t>”) that all of the Registrable Securities cannot, as a result of the application of Rule 415 or otherwise, be registered for resale as a secondary offering on a single Registration Statement, Pubco agrees to promptly (i) inform each of the holders thereof and use its reasonable best efforts to file amendments to the Resale Shelf Registration Statement as required by the Commission and (ii) as soon as practicable but in no event later than the New Registration Statement Filing Deadline, file an additional Registration Statement (a “</w:t>
      </w:r>
      <w:r>
        <w:rPr>
          <w:rFonts w:ascii="Times New Roman" w:cs="Times New Roman" w:eastAsia="Times New Roman" w:hAnsi="Times New Roman"/>
          <w:sz w:val="15"/>
          <w:szCs w:val="15"/>
          <w:u w:val="single" w:color="auto"/>
          <w:color w:val="auto"/>
        </w:rPr>
        <w:t>New Registration Statement</w:t>
      </w:r>
      <w:r>
        <w:rPr>
          <w:rFonts w:ascii="Times New Roman" w:cs="Times New Roman" w:eastAsia="Times New Roman" w:hAnsi="Times New Roman"/>
          <w:sz w:val="15"/>
          <w:szCs w:val="15"/>
          <w:color w:val="auto"/>
        </w:rPr>
        <w:t>”), on Form S-3, or if Form S-3 is not then available to Pubco for such Registration Statement, on such other form available to register for resale the Registrable Securities as a secondary offering; provided, however, that prior to filing such amendment or New Registration Statement, Pubco shall be obligated to use its reasonable best efforts to advocate with the Commission for the registration of all of the Registrable Securities in accordance with any publicly-available written or oral guidance, comments, requirements or requests of the Commission staff (the “</w:t>
      </w:r>
      <w:r>
        <w:rPr>
          <w:rFonts w:ascii="Times New Roman" w:cs="Times New Roman" w:eastAsia="Times New Roman" w:hAnsi="Times New Roman"/>
          <w:sz w:val="15"/>
          <w:szCs w:val="15"/>
          <w:u w:val="single" w:color="auto"/>
          <w:color w:val="auto"/>
        </w:rPr>
        <w:t>SEC Guidance</w:t>
      </w:r>
      <w:r>
        <w:rPr>
          <w:rFonts w:ascii="Times New Roman" w:cs="Times New Roman" w:eastAsia="Times New Roman" w:hAnsi="Times New Roman"/>
          <w:sz w:val="15"/>
          <w:szCs w:val="15"/>
          <w:color w:val="auto"/>
        </w:rPr>
        <w:t>”), including without limitation, the Manual of Publicly Available Telephone Interpretations D.29. The Investors shall have the right to participate or have their respective legal counsel participate in any meetings or discussions with the Commission regarding the Commission’s position and to comment or have their respective counsel comment on any written submission made to the Commission with respect thereto. No such written submission shall be made to the Commission to which any Investor’s counsel reasonably objects. Notwithstanding any other provision of this Agreement, if any SEC Guidance sets forth a limitation of the number of Registrable Securities permitted to be registered on a particular Registration Statement as a secondary offering, unless otherwise directed in writing by a holder as to its Registrable Securities directing the inclusion of less than such holder’s pro rata amount or otherwise required by the SEC, the number of Registrable Securities to be registered on such Registration Statement will be reduced on a pro rata basis based on the total number of Registrable Securities held by the Investors. In the event Pubco amends the Resale Shelf Registration Statement or files a New Registration Statement, as the case may be, under clauses (i) or (ii) above, Pubco will use its reasonable best efforts to file with the Commission, as promptly as allowed by Commission or SEC Guidance provided to Pubco or to registrants of securities in general, one or more Registration Statements on Form S-3 or such other form available to register for resale those Registrable Securities that were not registered for resale on the Resale Shelf Registration Statement, as amended, or the New Registration Statement. If Pubco shall not be able to register for resale all of the Registrable Securities on the Resale Shelf Registration Statement within three months following the date of Pubco’s receipt of the Commission’s Notice, then, until such Resale Shelf Registration Statement is effective, each of the Majority Presto Investors, the Majority Silver Rock Investors and the Sponsors shall be entitled to demand registration rights pursuant to Section 2 below (the “</w:t>
      </w:r>
      <w:r>
        <w:rPr>
          <w:rFonts w:ascii="Times New Roman" w:cs="Times New Roman" w:eastAsia="Times New Roman" w:hAnsi="Times New Roman"/>
          <w:sz w:val="15"/>
          <w:szCs w:val="15"/>
          <w:u w:val="single" w:color="auto"/>
          <w:color w:val="auto"/>
        </w:rPr>
        <w:t>Shelf Demand Right</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97" w:name="page198"/>
    <w:bookmarkEnd w:id="197"/>
    <w:p>
      <w:pPr>
        <w:ind w:left="1360" w:hanging="217"/>
        <w:spacing w:after="0"/>
        <w:tabs>
          <w:tab w:leader="none" w:pos="1360" w:val="left"/>
        </w:tabs>
        <w:numPr>
          <w:ilvl w:val="1"/>
          <w:numId w:val="2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Registrations effected pursuant to this </w:t>
      </w:r>
      <w:r>
        <w:rPr>
          <w:rFonts w:ascii="Times New Roman" w:cs="Times New Roman" w:eastAsia="Times New Roman" w:hAnsi="Times New Roman"/>
          <w:sz w:val="16"/>
          <w:szCs w:val="16"/>
          <w:u w:val="single" w:color="auto"/>
          <w:color w:val="auto"/>
        </w:rPr>
        <w:t>Section</w:t>
      </w:r>
      <w:r>
        <w:rPr>
          <w:rFonts w:ascii="Times New Roman" w:cs="Times New Roman" w:eastAsia="Times New Roman" w:hAnsi="Times New Roman"/>
          <w:sz w:val="16"/>
          <w:szCs w:val="16"/>
          <w:color w:val="auto"/>
        </w:rPr>
        <w:t xml:space="preserve"> 1 shall not be counted as Demand Registrations effected pursuant to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w:t>
      </w:r>
    </w:p>
    <w:p>
      <w:pPr>
        <w:spacing w:after="0" w:line="198" w:lineRule="exact"/>
        <w:rPr>
          <w:rFonts w:ascii="Times New Roman" w:cs="Times New Roman" w:eastAsia="Times New Roman" w:hAnsi="Times New Roman"/>
          <w:sz w:val="16"/>
          <w:szCs w:val="16"/>
          <w:color w:val="auto"/>
        </w:rPr>
      </w:pPr>
    </w:p>
    <w:p>
      <w:pPr>
        <w:jc w:val="both"/>
        <w:ind w:firstLine="1143"/>
        <w:spacing w:after="0" w:line="253" w:lineRule="auto"/>
        <w:tabs>
          <w:tab w:leader="none" w:pos="1376" w:val="left"/>
        </w:tabs>
        <w:numPr>
          <w:ilvl w:val="1"/>
          <w:numId w:val="2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Investor shall be named as an “underwriter” in any Registration Statement filed pursuant to this Section 1 without the Investor’s prior written consent; provided that if the Commission requests that an Investor be identified as a statutory underwriter in the Registration Statement, then such Investor will have the option, in its sole and absolute discretion, to either (i) have the opportunity to withdraw from the Registration Statement upon its prompt written request to Pubco, in which case Pubco’s obligation to register such Investor’s Registrable Securities shall be deemed satisfied or (ii) be included as such in the Registration Statement. Each Registration Statement (and each amendment or supplement thereto, and each request for acceleration of effectiveness thereof) shall be provided to (and shall be subject to the approval, which shall not be unreasonably withheld or delayed, of) the Majority Presto Investors, the Majority Silver Rock Investors and the Sponsors prior to its filing with, or other submission to, the Commission; provided that, Pubco shall not be deemed to be in breach of any Effectiveness Deadline or other deadline set forth in this Agreement if the failure of Pubco to meet such deadline is the result of an Investor’s failure to approve such Registration Statement or amendment or supplement thereto or request for acceleration thereof.</w:t>
      </w:r>
    </w:p>
    <w:p>
      <w:pPr>
        <w:spacing w:after="0" w:line="169" w:lineRule="exact"/>
        <w:rPr>
          <w:rFonts w:ascii="Times New Roman" w:cs="Times New Roman" w:eastAsia="Times New Roman" w:hAnsi="Times New Roman"/>
          <w:sz w:val="16"/>
          <w:szCs w:val="16"/>
          <w:color w:val="auto"/>
        </w:rPr>
      </w:pPr>
    </w:p>
    <w:p>
      <w:pPr>
        <w:jc w:val="both"/>
        <w:ind w:firstLine="1143"/>
        <w:spacing w:after="0" w:line="252" w:lineRule="auto"/>
        <w:tabs>
          <w:tab w:leader="none" w:pos="1395" w:val="left"/>
        </w:tabs>
        <w:numPr>
          <w:ilvl w:val="1"/>
          <w:numId w:val="2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that on any Trading Day (as defined below) (the “</w:t>
      </w:r>
      <w:r>
        <w:rPr>
          <w:rFonts w:ascii="Times New Roman" w:cs="Times New Roman" w:eastAsia="Times New Roman" w:hAnsi="Times New Roman"/>
          <w:sz w:val="16"/>
          <w:szCs w:val="16"/>
          <w:u w:val="single" w:color="auto"/>
          <w:color w:val="auto"/>
        </w:rPr>
        <w:t>Registration Trigger Date</w:t>
      </w:r>
      <w:r>
        <w:rPr>
          <w:rFonts w:ascii="Times New Roman" w:cs="Times New Roman" w:eastAsia="Times New Roman" w:hAnsi="Times New Roman"/>
          <w:sz w:val="16"/>
          <w:szCs w:val="16"/>
          <w:color w:val="auto"/>
        </w:rPr>
        <w:t>”) the number of shares available under the Registration Statements filed pursuant to this Section 1 is insufficient to cover all of the Registrable Securities (without giving effect to any limitations on the exercise or conversion of any securities exercisable for, or convertible into, Registrable Securities and, in the case of Registrable Securities issuable upon the exercise of warrants, assuming the exercise of such warrants for cash), Pubco shall amend such Registration Statements, or file a new Registration Statement (on the short form available therefor, if applicable), or both, so as to cover the total number of Registrable Securities so issued or issuable (without giving effect to any limitations on the exercise or conversion of any securities exercisable for, or convertible into, Registrable Securities and, in the case of Registrable Securities issuable upon the exercise of warrants, assuming the exercise of such warrants for cash) as of the Registration Trigger Date as soon as practicable, but in any event within fifteen (15) days after the Registration Trigger Date. Pubco shall use its reasonable best efforts to cause such amendment and/or new Registration Statement to become effective as soon as practicable following the filing thereof, but in any event Pubco shall cause such amendment and/or new Registration Statement to become effective within 60 days of the Registration Trigger Date (or 90 days if the applicable Registration Statement or amendment is reviewed by, and comments are thereto provided from, the Commission) or as promptly as practicable in the event Pubco is required to increase its authorized shares. “</w:t>
      </w:r>
      <w:r>
        <w:rPr>
          <w:rFonts w:ascii="Times New Roman" w:cs="Times New Roman" w:eastAsia="Times New Roman" w:hAnsi="Times New Roman"/>
          <w:sz w:val="16"/>
          <w:szCs w:val="16"/>
          <w:u w:val="single" w:color="auto"/>
          <w:color w:val="auto"/>
        </w:rPr>
        <w:t>Trading Day</w:t>
      </w:r>
      <w:r>
        <w:rPr>
          <w:rFonts w:ascii="Times New Roman" w:cs="Times New Roman" w:eastAsia="Times New Roman" w:hAnsi="Times New Roman"/>
          <w:sz w:val="16"/>
          <w:szCs w:val="16"/>
          <w:color w:val="auto"/>
        </w:rPr>
        <w:t>” shall mean any day on which the Common Stock is traded for any period on the principal securities exchange or other securities market on which the Common Stock is then being traded.</w:t>
      </w:r>
    </w:p>
    <w:p>
      <w:pPr>
        <w:spacing w:after="0" w:line="167" w:lineRule="exact"/>
        <w:rPr>
          <w:rFonts w:ascii="Times New Roman" w:cs="Times New Roman" w:eastAsia="Times New Roman" w:hAnsi="Times New Roman"/>
          <w:sz w:val="16"/>
          <w:szCs w:val="16"/>
          <w:color w:val="auto"/>
        </w:rPr>
      </w:pPr>
    </w:p>
    <w:p>
      <w:pPr>
        <w:ind w:left="540" w:hanging="162"/>
        <w:spacing w:after="0"/>
        <w:tabs>
          <w:tab w:leader="none" w:pos="540" w:val="left"/>
        </w:tabs>
        <w:numPr>
          <w:ilvl w:val="0"/>
          <w:numId w:val="2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Demand Registrations</w:t>
      </w:r>
      <w:r>
        <w:rPr>
          <w:rFonts w:ascii="Times New Roman" w:cs="Times New Roman" w:eastAsia="Times New Roman" w:hAnsi="Times New Roman"/>
          <w:sz w:val="16"/>
          <w:szCs w:val="16"/>
          <w:color w:val="auto"/>
        </w:rPr>
        <w:t>.</w:t>
      </w:r>
    </w:p>
    <w:p>
      <w:pPr>
        <w:spacing w:after="0" w:line="198" w:lineRule="exact"/>
        <w:rPr>
          <w:rFonts w:ascii="Times New Roman" w:cs="Times New Roman" w:eastAsia="Times New Roman" w:hAnsi="Times New Roman"/>
          <w:sz w:val="16"/>
          <w:szCs w:val="16"/>
          <w:color w:val="auto"/>
        </w:rPr>
      </w:pPr>
    </w:p>
    <w:p>
      <w:pPr>
        <w:jc w:val="both"/>
        <w:ind w:firstLine="1143"/>
        <w:spacing w:after="0" w:line="251" w:lineRule="auto"/>
        <w:tabs>
          <w:tab w:leader="none" w:pos="1376" w:val="left"/>
        </w:tabs>
        <w:numPr>
          <w:ilvl w:val="1"/>
          <w:numId w:val="2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Requests for Registration</w:t>
      </w:r>
      <w:r>
        <w:rPr>
          <w:rFonts w:ascii="Times New Roman" w:cs="Times New Roman" w:eastAsia="Times New Roman" w:hAnsi="Times New Roman"/>
          <w:sz w:val="16"/>
          <w:szCs w:val="16"/>
          <w:color w:val="auto"/>
        </w:rPr>
        <w:t>. Subject to the terms and conditions of this Agreement and, as applicable, the lock-up provisions contained in Section 5.3 of Pubco’s Amended and Restated Bylaws (the “</w:t>
      </w:r>
      <w:r>
        <w:rPr>
          <w:rFonts w:ascii="Times New Roman" w:cs="Times New Roman" w:eastAsia="Times New Roman" w:hAnsi="Times New Roman"/>
          <w:sz w:val="16"/>
          <w:szCs w:val="16"/>
          <w:u w:val="single" w:color="auto"/>
          <w:color w:val="auto"/>
        </w:rPr>
        <w:t>Bylaws</w:t>
      </w:r>
      <w:r>
        <w:rPr>
          <w:rFonts w:ascii="Times New Roman" w:cs="Times New Roman" w:eastAsia="Times New Roman" w:hAnsi="Times New Roman"/>
          <w:sz w:val="16"/>
          <w:szCs w:val="16"/>
          <w:color w:val="auto"/>
        </w:rPr>
        <w:t>”) and the Support Agreements (as defined in the Merger Agreement) at any time or from time to time, provided that Pubco does not then have an effective Registration Statement outstanding covering all of the Registrable Securities, the holders of Registrable Securities may request registration under the Securities Act of all or any portion of their Registrable Securities on Form S-1 or any similar long-form registration statement (“</w:t>
      </w:r>
      <w:r>
        <w:rPr>
          <w:rFonts w:ascii="Times New Roman" w:cs="Times New Roman" w:eastAsia="Times New Roman" w:hAnsi="Times New Roman"/>
          <w:sz w:val="16"/>
          <w:szCs w:val="16"/>
          <w:u w:val="single" w:color="auto"/>
          <w:color w:val="auto"/>
        </w:rPr>
        <w:t>Long-Form</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Registrations</w:t>
      </w:r>
      <w:r>
        <w:rPr>
          <w:rFonts w:ascii="Times New Roman" w:cs="Times New Roman" w:eastAsia="Times New Roman" w:hAnsi="Times New Roman"/>
          <w:sz w:val="16"/>
          <w:szCs w:val="16"/>
          <w:color w:val="auto"/>
        </w:rPr>
        <w:t>”) or, if available, on Form S-3 (including a shelf registration pursuant to Rule 415 under the Securities Act) or any similar short-form registration statement, including an automatic shelf registration statement (as defined in Rule 405) (an “</w:t>
      </w:r>
      <w:r>
        <w:rPr>
          <w:rFonts w:ascii="Times New Roman" w:cs="Times New Roman" w:eastAsia="Times New Roman" w:hAnsi="Times New Roman"/>
          <w:sz w:val="16"/>
          <w:szCs w:val="16"/>
          <w:u w:val="single" w:color="auto"/>
          <w:color w:val="auto"/>
        </w:rPr>
        <w:t>Automatic Shelf Registration Statement</w:t>
      </w:r>
      <w:r>
        <w:rPr>
          <w:rFonts w:ascii="Times New Roman" w:cs="Times New Roman" w:eastAsia="Times New Roman" w:hAnsi="Times New Roman"/>
          <w:sz w:val="16"/>
          <w:szCs w:val="16"/>
          <w:color w:val="auto"/>
        </w:rPr>
        <w:t>”), if available to Pubco (“</w:t>
      </w:r>
      <w:r>
        <w:rPr>
          <w:rFonts w:ascii="Times New Roman" w:cs="Times New Roman" w:eastAsia="Times New Roman" w:hAnsi="Times New Roman"/>
          <w:sz w:val="16"/>
          <w:szCs w:val="16"/>
          <w:u w:val="single" w:color="auto"/>
          <w:color w:val="auto"/>
        </w:rPr>
        <w:t>Short-Form Registrations</w:t>
      </w:r>
      <w:r>
        <w:rPr>
          <w:rFonts w:ascii="Times New Roman" w:cs="Times New Roman" w:eastAsia="Times New Roman" w:hAnsi="Times New Roman"/>
          <w:sz w:val="16"/>
          <w:szCs w:val="16"/>
          <w:color w:val="auto"/>
        </w:rPr>
        <w:t xml:space="preserve">”), in accordance with </w:t>
      </w:r>
      <w:r>
        <w:rPr>
          <w:rFonts w:ascii="Times New Roman" w:cs="Times New Roman" w:eastAsia="Times New Roman" w:hAnsi="Times New Roman"/>
          <w:sz w:val="16"/>
          <w:szCs w:val="16"/>
          <w:u w:val="single" w:color="auto"/>
          <w:color w:val="auto"/>
        </w:rPr>
        <w:t>Section 2(b)</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2(c)</w:t>
      </w:r>
      <w:r>
        <w:rPr>
          <w:rFonts w:ascii="Times New Roman" w:cs="Times New Roman" w:eastAsia="Times New Roman" w:hAnsi="Times New Roman"/>
          <w:sz w:val="16"/>
          <w:szCs w:val="16"/>
          <w:color w:val="auto"/>
        </w:rPr>
        <w:t xml:space="preserve"> below (such holders being referred to herein as the “</w:t>
      </w:r>
      <w:r>
        <w:rPr>
          <w:rFonts w:ascii="Times New Roman" w:cs="Times New Roman" w:eastAsia="Times New Roman" w:hAnsi="Times New Roman"/>
          <w:sz w:val="16"/>
          <w:szCs w:val="16"/>
          <w:u w:val="single" w:color="auto"/>
          <w:color w:val="auto"/>
        </w:rPr>
        <w:t>Initiating Investors</w:t>
      </w:r>
      <w:r>
        <w:rPr>
          <w:rFonts w:ascii="Times New Roman" w:cs="Times New Roman" w:eastAsia="Times New Roman" w:hAnsi="Times New Roman"/>
          <w:sz w:val="16"/>
          <w:szCs w:val="16"/>
          <w:color w:val="auto"/>
        </w:rPr>
        <w:t>” and all registrations requested by the Initiating Investors being referred to herein as “</w:t>
      </w:r>
      <w:r>
        <w:rPr>
          <w:rFonts w:ascii="Times New Roman" w:cs="Times New Roman" w:eastAsia="Times New Roman" w:hAnsi="Times New Roman"/>
          <w:sz w:val="16"/>
          <w:szCs w:val="16"/>
          <w:u w:val="single" w:color="auto"/>
          <w:color w:val="auto"/>
        </w:rPr>
        <w:t>Demand Registrations</w:t>
      </w:r>
      <w:r>
        <w:rPr>
          <w:rFonts w:ascii="Times New Roman" w:cs="Times New Roman" w:eastAsia="Times New Roman" w:hAnsi="Times New Roman"/>
          <w:sz w:val="16"/>
          <w:szCs w:val="16"/>
          <w:color w:val="auto"/>
        </w:rPr>
        <w:t>”). Each request for a Demand Registration shall specify the approximate number of Registrable Securities requested to be registered and the intended method of distribution. Subject to Sections 10(a) and 10(b) (collectively, the “</w:t>
      </w:r>
      <w:r>
        <w:rPr>
          <w:rFonts w:ascii="Times New Roman" w:cs="Times New Roman" w:eastAsia="Times New Roman" w:hAnsi="Times New Roman"/>
          <w:sz w:val="16"/>
          <w:szCs w:val="16"/>
          <w:u w:val="single" w:color="auto"/>
          <w:color w:val="auto"/>
        </w:rPr>
        <w:t>MNPI Provisions</w:t>
      </w:r>
      <w:r>
        <w:rPr>
          <w:rFonts w:ascii="Times New Roman" w:cs="Times New Roman" w:eastAsia="Times New Roman" w:hAnsi="Times New Roman"/>
          <w:sz w:val="16"/>
          <w:szCs w:val="16"/>
          <w:color w:val="auto"/>
        </w:rPr>
        <w:t>”), within five Business Days after receipt of any such request, Pubco shall give written notice of such requested registration to all other holders of Registrable Securities and, subject to the terms and conditions set forth herein, shall include in such registration (and in all related registrations and qualifications under state blue sky laws or in compliance with other registration requirements and in any related underwriting) all such Registrable Securities with respect to which Pubco has received written requests for inclusion therein within five Business Days after the receipt of Pubco’s notice. Each holder of Registrable Securities agrees that such holder shall treat as confidential the receipt of the notice of Demand Registration and shall not disclose or use the information contained in such notice of Demand Registration without the prior written consent of Pubco until such time as the information contained therein is or becomes available to the public generally, other than as a result of disclosure by the holder in breach of the terms of this Agreement.</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98" w:name="page199"/>
    <w:bookmarkEnd w:id="198"/>
    <w:p>
      <w:pPr>
        <w:jc w:val="both"/>
        <w:ind w:firstLine="1143"/>
        <w:spacing w:after="0" w:line="252" w:lineRule="auto"/>
        <w:tabs>
          <w:tab w:leader="none" w:pos="1373" w:val="left"/>
        </w:tabs>
        <w:numPr>
          <w:ilvl w:val="0"/>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Long-Form Registrations</w:t>
      </w:r>
      <w:r>
        <w:rPr>
          <w:rFonts w:ascii="Times New Roman" w:cs="Times New Roman" w:eastAsia="Times New Roman" w:hAnsi="Times New Roman"/>
          <w:sz w:val="16"/>
          <w:szCs w:val="16"/>
          <w:color w:val="auto"/>
        </w:rPr>
        <w:t>. (i) The Majority Presto Investors, on behalf of any and all Presto Investors, may request two Long-Form Registration in which Pubco shall pay all Registration Expenses whether or not any such Long-Form Registration has become effective, (ii) the Majority Silver Rock Investors, on behalf of any and all Silver Rock Investors, may request two Long-Form Registration in which Pubco shall pay all Registration Expenses whether or not any such Long-Form Registration has become effective, and (iii) the Sponsors may request two Long-Form Registration in which Pubco shall pay all Registration Expenses whether or not any such Long-Form Registration has become effective; in each case, provided thatif Pubco has already effected a Demand Registration (which became effective) in the preceding 45-day period; provided, further, that Pubco shall only be obligated to effect, or take any action to effect, two Long-Form Registrations for each of the Majority Presto Investors, the Majority Silver Rock Investors and the Sponsors. A registration shall not count as one of the permitted Long-Form Registrations until it has become effective and unless the holders of Registrable Securities are able to register and sell at least 90% of the Registrable Securities requested to be included in such registration; provided that in any event Pubco shall pay all Registration Expenses in connection with any registration initiated as a Long-Form Registration whether or not it has become effective and whether or not such registration has counted as one of the permitted Long-Form Registrations hereunder.</w:t>
      </w:r>
    </w:p>
    <w:p>
      <w:pPr>
        <w:spacing w:after="0" w:line="171" w:lineRule="exact"/>
        <w:rPr>
          <w:rFonts w:ascii="Times New Roman" w:cs="Times New Roman" w:eastAsia="Times New Roman" w:hAnsi="Times New Roman"/>
          <w:sz w:val="16"/>
          <w:szCs w:val="16"/>
          <w:color w:val="auto"/>
        </w:rPr>
      </w:pPr>
    </w:p>
    <w:p>
      <w:pPr>
        <w:jc w:val="both"/>
        <w:ind w:firstLine="1143"/>
        <w:spacing w:after="0" w:line="251" w:lineRule="auto"/>
        <w:tabs>
          <w:tab w:leader="none" w:pos="1364" w:val="left"/>
        </w:tabs>
        <w:numPr>
          <w:ilvl w:val="0"/>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Short-Form Registrations</w:t>
      </w:r>
      <w:r>
        <w:rPr>
          <w:rFonts w:ascii="Times New Roman" w:cs="Times New Roman" w:eastAsia="Times New Roman" w:hAnsi="Times New Roman"/>
          <w:sz w:val="16"/>
          <w:szCs w:val="16"/>
          <w:color w:val="auto"/>
        </w:rPr>
        <w:t xml:space="preserve">. In addition to the Long-Form Registration provided pursuant to </w:t>
      </w:r>
      <w:r>
        <w:rPr>
          <w:rFonts w:ascii="Times New Roman" w:cs="Times New Roman" w:eastAsia="Times New Roman" w:hAnsi="Times New Roman"/>
          <w:sz w:val="16"/>
          <w:szCs w:val="16"/>
          <w:u w:val="single" w:color="auto"/>
          <w:color w:val="auto"/>
        </w:rPr>
        <w:t>Section 2(b)</w:t>
      </w:r>
      <w:r>
        <w:rPr>
          <w:rFonts w:ascii="Times New Roman" w:cs="Times New Roman" w:eastAsia="Times New Roman" w:hAnsi="Times New Roman"/>
          <w:sz w:val="16"/>
          <w:szCs w:val="16"/>
          <w:color w:val="auto"/>
        </w:rPr>
        <w:t xml:space="preserve">, each of (i) the Majority Presto Investors, on behalf of any and all Presto Investors, (ii) the Majority Silver Rock Investors, on behalf of any and all Silver Rock Investors, and (iii) the Sponsors, shall be entitled to request Short-Form Registrations in which Pubco shall pay all Registration Expenses whether or not any such Short-Form Registration has become effective; provided, however, that Pubco shall not be obligated to effect any such Short-Form Registration: (x) if Pubco has already effected three Short-Form Registrations (which became effective) for the holders of Registrable Securities requesting a Short-Form Registration pursuant to this </w:t>
      </w:r>
      <w:r>
        <w:rPr>
          <w:rFonts w:ascii="Times New Roman" w:cs="Times New Roman" w:eastAsia="Times New Roman" w:hAnsi="Times New Roman"/>
          <w:sz w:val="16"/>
          <w:szCs w:val="16"/>
          <w:u w:val="single" w:color="auto"/>
          <w:color w:val="auto"/>
        </w:rPr>
        <w:t>Section 2(c)</w:t>
      </w:r>
      <w:r>
        <w:rPr>
          <w:rFonts w:ascii="Times New Roman" w:cs="Times New Roman" w:eastAsia="Times New Roman" w:hAnsi="Times New Roman"/>
          <w:sz w:val="16"/>
          <w:szCs w:val="16"/>
          <w:color w:val="auto"/>
        </w:rPr>
        <w:t>, or (y) if Pubco has already effected a Demand Registration (which became effective) in the preceding 90-day period. Demand Registrations shall be Short-Form Registrations whenever Pubco is permitted to use any applicable short form registration and if the managing underwriters (if any) agree to the use of a Short-Form Registration. For so long as Pubco is subject to the reporting requirements of the Exchange Act, Pubco shall use its reasonable best efforts to make Short-Form Registrations available for the offer and sale of Registrable Securities. If Pubco is qualified to and, pursuant to the request of the holders of a majority of the Registrable Securities, has filed with the Commission a Registration Statement under the Securities Act on Form S-3 pursuant to Rule 415 (a “</w:t>
      </w:r>
      <w:r>
        <w:rPr>
          <w:rFonts w:ascii="Times New Roman" w:cs="Times New Roman" w:eastAsia="Times New Roman" w:hAnsi="Times New Roman"/>
          <w:sz w:val="16"/>
          <w:szCs w:val="16"/>
          <w:u w:val="single" w:color="auto"/>
          <w:color w:val="auto"/>
        </w:rPr>
        <w:t>Shelf Registration</w:t>
      </w:r>
      <w:r>
        <w:rPr>
          <w:rFonts w:ascii="Times New Roman" w:cs="Times New Roman" w:eastAsia="Times New Roman" w:hAnsi="Times New Roman"/>
          <w:sz w:val="16"/>
          <w:szCs w:val="16"/>
          <w:color w:val="auto"/>
        </w:rPr>
        <w:t>”), then Pubco shall use its reasonable best efforts to cause the Shelf Registration to be declared effective under the Securities Act as soon as practicable after filing, and, if Pubco is a WKSI at the time of any such request, to cause such Shelf Registration to be an Automatic Shelf Registration Statement, and once effective, Pubco shall cause such Shelf Registration to remain effective (including by filing a new Shelf Registration, if necessary) for a period ending on the earlier of (i) the date on which all Registrable Securities included in such registration have been sold or distributed pursuant to the Shelf Registration or (ii) the date as of which all of the Registrable Securities included in such registration are able to be sold within a 45-day period in compliance with Rule 144 under the Securities Act (without any restrictions as to volume or the manner of sale or otherwise and without the requirement for Pubco to be in compliance with the current public information required under Rule 144(c)(i) or Rule 144(i)(2) and, in the case of Registrable Securities issuable upon the exercise of warrants, assuming the exercise of such warrants for cash). If for any reason Pubco ceases to be a WKSI or becomes ineligible to utilize Form S-3, Pubco shall prepare and file with the Commission a Registration Statement or Registration Statements on such form that is available for the sale of Registrable Securities.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99" w:name="page200"/>
    <w:bookmarkEnd w:id="199"/>
    <w:p>
      <w:pPr>
        <w:jc w:val="both"/>
        <w:ind w:firstLine="1143"/>
        <w:spacing w:after="0" w:line="251" w:lineRule="auto"/>
        <w:tabs>
          <w:tab w:leader="none" w:pos="1373" w:val="left"/>
        </w:tabs>
        <w:numPr>
          <w:ilvl w:val="0"/>
          <w:numId w:val="2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Shelf Takedowns</w:t>
      </w:r>
      <w:r>
        <w:rPr>
          <w:rFonts w:ascii="Times New Roman" w:cs="Times New Roman" w:eastAsia="Times New Roman" w:hAnsi="Times New Roman"/>
          <w:sz w:val="16"/>
          <w:szCs w:val="16"/>
          <w:color w:val="auto"/>
        </w:rPr>
        <w:t>. At any time when the Resale Shelf Registration Statement or a Shelf Registration for the sale or distribution by holders of Registrable Securities on a delayed or continuous basis pursuant to Rule 415, including by way of an underwritten offering, block sale or other distribution plan (each, a “</w:t>
      </w:r>
      <w:r>
        <w:rPr>
          <w:rFonts w:ascii="Times New Roman" w:cs="Times New Roman" w:eastAsia="Times New Roman" w:hAnsi="Times New Roman"/>
          <w:sz w:val="16"/>
          <w:szCs w:val="16"/>
          <w:u w:val="single" w:color="auto"/>
          <w:color w:val="auto"/>
        </w:rPr>
        <w:t>Resale Shelf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Registration</w:t>
      </w:r>
      <w:r>
        <w:rPr>
          <w:rFonts w:ascii="Times New Roman" w:cs="Times New Roman" w:eastAsia="Times New Roman" w:hAnsi="Times New Roman"/>
          <w:sz w:val="16"/>
          <w:szCs w:val="16"/>
          <w:color w:val="auto"/>
        </w:rPr>
        <w:t xml:space="preserve">”), is effective and its use has not been otherwise suspended by Pubco in accordance with the terms of </w:t>
      </w:r>
      <w:r>
        <w:rPr>
          <w:rFonts w:ascii="Times New Roman" w:cs="Times New Roman" w:eastAsia="Times New Roman" w:hAnsi="Times New Roman"/>
          <w:sz w:val="16"/>
          <w:szCs w:val="16"/>
          <w:u w:val="single" w:color="auto"/>
          <w:color w:val="auto"/>
        </w:rPr>
        <w:t>Section 2(f)</w:t>
      </w:r>
      <w:r>
        <w:rPr>
          <w:rFonts w:ascii="Times New Roman" w:cs="Times New Roman" w:eastAsia="Times New Roman" w:hAnsi="Times New Roman"/>
          <w:sz w:val="16"/>
          <w:szCs w:val="16"/>
          <w:color w:val="auto"/>
        </w:rPr>
        <w:t xml:space="preserve"> below, upon a written demand (a “</w:t>
      </w:r>
      <w:r>
        <w:rPr>
          <w:rFonts w:ascii="Times New Roman" w:cs="Times New Roman" w:eastAsia="Times New Roman" w:hAnsi="Times New Roman"/>
          <w:sz w:val="16"/>
          <w:szCs w:val="16"/>
          <w:u w:val="single" w:color="auto"/>
          <w:color w:val="auto"/>
        </w:rPr>
        <w:t>Takedown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Demand</w:t>
      </w:r>
      <w:r>
        <w:rPr>
          <w:rFonts w:ascii="Times New Roman" w:cs="Times New Roman" w:eastAsia="Times New Roman" w:hAnsi="Times New Roman"/>
          <w:sz w:val="16"/>
          <w:szCs w:val="16"/>
          <w:color w:val="auto"/>
        </w:rPr>
        <w:t>”) by any Investor that is, in either case, a Shelf Participant holding Registrable Securities at such time (the “</w:t>
      </w:r>
      <w:r>
        <w:rPr>
          <w:rFonts w:ascii="Times New Roman" w:cs="Times New Roman" w:eastAsia="Times New Roman" w:hAnsi="Times New Roman"/>
          <w:sz w:val="16"/>
          <w:szCs w:val="16"/>
          <w:u w:val="single" w:color="auto"/>
          <w:color w:val="auto"/>
        </w:rPr>
        <w:t>Initiating Holder</w:t>
      </w:r>
      <w:r>
        <w:rPr>
          <w:rFonts w:ascii="Times New Roman" w:cs="Times New Roman" w:eastAsia="Times New Roman" w:hAnsi="Times New Roman"/>
          <w:sz w:val="16"/>
          <w:szCs w:val="16"/>
          <w:color w:val="auto"/>
        </w:rPr>
        <w:t>”), Pubco will facilitate in the manner described in this Agreement a “takedown” of Registrable Securities off of such Resale Shelf Registration (a “</w:t>
      </w:r>
      <w:r>
        <w:rPr>
          <w:rFonts w:ascii="Times New Roman" w:cs="Times New Roman" w:eastAsia="Times New Roman" w:hAnsi="Times New Roman"/>
          <w:sz w:val="16"/>
          <w:szCs w:val="16"/>
          <w:u w:val="single" w:color="auto"/>
          <w:color w:val="auto"/>
        </w:rPr>
        <w:t>take down offering</w:t>
      </w:r>
      <w:r>
        <w:rPr>
          <w:rFonts w:ascii="Times New Roman" w:cs="Times New Roman" w:eastAsia="Times New Roman" w:hAnsi="Times New Roman"/>
          <w:sz w:val="16"/>
          <w:szCs w:val="16"/>
          <w:color w:val="auto"/>
        </w:rPr>
        <w:t>”) and Pubco shall pay all Registration Expenses in connection therewith; provided that, subject to the MNPI Provisions, Pubco will provide (x) in connection with any non-marketed underwritten takedown offering (other than a Block Trade), at least two Business Days’ notice of such Takedown Demand to each holder of Registrable Securities (other than the Initiating Holder) that is a Shelf Participant, (y) in connection with any Block Trade initiated prior to the three year anniversary of the consummation of the Mergers, notice of such Takedown Demand to each holder of Registrable Securities (other than the Initiating Holder) that is a Shelf Participant no later than noon Eastern time on the Business Day prior to the requested Takedown Demand and (z) in connection with any marketed underwritten takedown offering, at least five Business Days’ notice of such Takedown Demand to each holder of Registrable Securities (other than the Initiating Holder) that is a Shelf Participant. In connection with (x) any non-marketed underwritten takedown offering initiated prior to the three year anniversary of the consummation of the Mergers and (y) any marketed underwritten takedown offering, if any Shelf Participants entitled to receive a notice pursuant to the preceding sentence request inclusion of their Registrable Securities (by notice to Pubco, which notice must be received by Pubco no later than (A) in the case of a non-marketed underwritten takedown offering (other than a Block Trade), the Business Day following the date notice is given to such participant, (B) in the case of a Block Trade, by 10:00 p.m. Eastern time on the date notice is given to such participant and (C) in the case of a marketed underwritten takedown offering, three Business Days following the date notice is given to such participant), the Initiating Holder and the other Shelf Participants that request inclusion of their Registrable Securities shall be entitled to sell their Registrable Securities in such offering. Each holder of Registrable Securities that is a Shelf Participant agrees that such holder shall treat as confidential the receipt of the notice of a Takedown Demand and shall not disclose or use the information contained in such notice without the prior written consent of Pubco until such time as the information contained therein is or becomes available to the public generally, other than as a result of disclosure by the holder in breach of the terms of this Agreement.</w:t>
      </w:r>
    </w:p>
    <w:p>
      <w:pPr>
        <w:spacing w:after="0" w:line="168" w:lineRule="exact"/>
        <w:rPr>
          <w:rFonts w:ascii="Times New Roman" w:cs="Times New Roman" w:eastAsia="Times New Roman" w:hAnsi="Times New Roman"/>
          <w:sz w:val="16"/>
          <w:szCs w:val="16"/>
          <w:color w:val="auto"/>
        </w:rPr>
      </w:pPr>
    </w:p>
    <w:p>
      <w:pPr>
        <w:jc w:val="both"/>
        <w:ind w:firstLine="1143"/>
        <w:spacing w:after="0" w:line="253" w:lineRule="auto"/>
        <w:tabs>
          <w:tab w:leader="none" w:pos="1376" w:val="left"/>
        </w:tabs>
        <w:numPr>
          <w:ilvl w:val="0"/>
          <w:numId w:val="2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Priority on Demand Registrations and Takedown Offerings</w:t>
      </w:r>
      <w:r>
        <w:rPr>
          <w:rFonts w:ascii="Times New Roman" w:cs="Times New Roman" w:eastAsia="Times New Roman" w:hAnsi="Times New Roman"/>
          <w:sz w:val="16"/>
          <w:szCs w:val="16"/>
          <w:color w:val="auto"/>
        </w:rPr>
        <w:t>. Pubco shall not include in any Demand Registration that is an underwritten offering any securities that are not Registrable Securities without the prior written consent of the managing underwriters and the holders of a majority of the Registrable Securities then outstanding. If a Demand Registration or a takedown offering is an underwritten offering and the managing underwriters advise Pubco in writing that in their opinion the number of Registrable Securities and, if permitted hereunder, other securities requested to be included in such offering exceeds the number of Registrable Securities and other securities, if any, which can be sold in an orderly manner in such offering within a price range acceptable to the holders of a majority of the Registrable Securities included in such underwritten offering, Pubco shall include in such offering, prior to the inclusion of any securities which are not Registrable Securities, the Registrable Securities requested to be included in such registration (pro rata among the holders of such Registrable Securities on the basis of the number of Registrable Securities owned by each such holder).</w:t>
      </w:r>
    </w:p>
    <w:p>
      <w:pPr>
        <w:spacing w:after="0" w:line="169"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70" w:val="left"/>
        </w:tabs>
        <w:numPr>
          <w:ilvl w:val="0"/>
          <w:numId w:val="2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Restrictions on Demand Registrations and Takedown Offerings</w:t>
      </w:r>
      <w:r>
        <w:rPr>
          <w:rFonts w:ascii="Times New Roman" w:cs="Times New Roman" w:eastAsia="Times New Roman" w:hAnsi="Times New Roman"/>
          <w:sz w:val="16"/>
          <w:szCs w:val="16"/>
          <w:color w:val="auto"/>
        </w:rPr>
        <w:t>. Any demand for the filing of a Registration Statement or for a registered offering (including a takedown offering) hereunder will be subject to the constraints of any applicable lock-up arrangements to which any demanding Investor is party, and any such demand must be deferred until such lock-up arrangements no longer apply.</w:t>
      </w:r>
    </w:p>
    <w:p>
      <w:pPr>
        <w:spacing w:after="0" w:line="155" w:lineRule="exact"/>
        <w:rPr>
          <w:rFonts w:ascii="Times New Roman" w:cs="Times New Roman" w:eastAsia="Times New Roman" w:hAnsi="Times New Roman"/>
          <w:sz w:val="16"/>
          <w:szCs w:val="16"/>
          <w:color w:val="auto"/>
        </w:rPr>
      </w:pPr>
    </w:p>
    <w:p>
      <w:pPr>
        <w:jc w:val="both"/>
        <w:ind w:left="560" w:firstLine="1156"/>
        <w:spacing w:after="0" w:line="251" w:lineRule="auto"/>
        <w:tabs>
          <w:tab w:leader="none" w:pos="1915" w:val="left"/>
        </w:tabs>
        <w:numPr>
          <w:ilvl w:val="1"/>
          <w:numId w:val="2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Pubco shall not be obligated to effect any Demand Registration within 60 days prior to Pubco’s good faith estimate of the date of filing of a Registration Statement in respect of an underwritten public offering of Pubco’s securities and for such a period of time after such a filing as the managing underwriters request, provided that such period shall not exceed 120 days from the date of the underwriting agreement entered into in respect of such underwritten public offering. Pubco may postpone, for up to 60 days from the date of the request, the filing or the effectiveness of a Registration Statement for a Demand Registration or suspend the use of a prospectus that is part of any Resale Shelf Registration Statement (and therefore suspend sales of the Registrable Securities included therein pursuant to such Resale Shelf Registration Statement) by providing written notice to the holders of Registrable Securities in accordance with </w:t>
      </w:r>
      <w:r>
        <w:rPr>
          <w:rFonts w:ascii="Times New Roman" w:cs="Times New Roman" w:eastAsia="Times New Roman" w:hAnsi="Times New Roman"/>
          <w:sz w:val="16"/>
          <w:szCs w:val="16"/>
          <w:u w:val="single" w:color="auto"/>
          <w:color w:val="auto"/>
        </w:rPr>
        <w:t>Section 2(f)(ii)</w:t>
      </w:r>
      <w:r>
        <w:rPr>
          <w:rFonts w:ascii="Times New Roman" w:cs="Times New Roman" w:eastAsia="Times New Roman" w:hAnsi="Times New Roman"/>
          <w:sz w:val="16"/>
          <w:szCs w:val="16"/>
          <w:color w:val="auto"/>
        </w:rPr>
        <w:t xml:space="preserve"> if the board of directors of Pubco reasonably determines in good faith that the offer or sale of Registrable Securities would be expected to have a detrimental effect on any proposal or plan by Pubco or any subsidiary thereof to engage in any material acquisition or disposition of assets or stock (other than in the ordinary course of business) or any material merger, consolidation, tender offer, recapitalization, reorganization or similar transaction or would require Pubco to disclose any material nonpublic information which would reasonably be likely to be detrimental to Pubco and its subsidiaries; provided that in such event, the holders of Registrable Securities initially requesting such Demand Registration or Takedown Demand shall be entitled to withdraw such request. Pubco may delay or suspend the effectiveness of a Registration Statement filed hereunder or takedown offering pursuant to this </w:t>
      </w:r>
      <w:r>
        <w:rPr>
          <w:rFonts w:ascii="Times New Roman" w:cs="Times New Roman" w:eastAsia="Times New Roman" w:hAnsi="Times New Roman"/>
          <w:sz w:val="16"/>
          <w:szCs w:val="16"/>
          <w:u w:val="single" w:color="auto"/>
          <w:color w:val="auto"/>
        </w:rPr>
        <w:t>Section 2(f)(i)</w:t>
      </w:r>
      <w:r>
        <w:rPr>
          <w:rFonts w:ascii="Times New Roman" w:cs="Times New Roman" w:eastAsia="Times New Roman" w:hAnsi="Times New Roman"/>
          <w:sz w:val="16"/>
          <w:szCs w:val="16"/>
          <w:color w:val="auto"/>
        </w:rPr>
        <w:t xml:space="preserve"> twice in any consecutive twelve-month period; provided that, for the avoidance of doubt, Pubco may in any event delay or suspend the effectiveness of Demand Registration or takedown offering in the case of an event described under </w:t>
      </w:r>
      <w:r>
        <w:rPr>
          <w:rFonts w:ascii="Times New Roman" w:cs="Times New Roman" w:eastAsia="Times New Roman" w:hAnsi="Times New Roman"/>
          <w:sz w:val="16"/>
          <w:szCs w:val="16"/>
          <w:u w:val="single" w:color="auto"/>
          <w:color w:val="auto"/>
        </w:rPr>
        <w:t>Section 5(g)</w:t>
      </w:r>
      <w:r>
        <w:rPr>
          <w:rFonts w:ascii="Times New Roman" w:cs="Times New Roman" w:eastAsia="Times New Roman" w:hAnsi="Times New Roman"/>
          <w:sz w:val="16"/>
          <w:szCs w:val="16"/>
          <w:color w:val="auto"/>
        </w:rPr>
        <w:t xml:space="preserve"> to enable it to comply with its obligations set forth in </w:t>
      </w:r>
      <w:r>
        <w:rPr>
          <w:rFonts w:ascii="Times New Roman" w:cs="Times New Roman" w:eastAsia="Times New Roman" w:hAnsi="Times New Roman"/>
          <w:sz w:val="16"/>
          <w:szCs w:val="16"/>
          <w:u w:val="single" w:color="auto"/>
          <w:color w:val="auto"/>
        </w:rPr>
        <w:t>Section 5(f)</w:t>
      </w:r>
      <w:r>
        <w:rPr>
          <w:rFonts w:ascii="Times New Roman" w:cs="Times New Roman" w:eastAsia="Times New Roman" w:hAnsi="Times New Roman"/>
          <w:sz w:val="16"/>
          <w:szCs w:val="16"/>
          <w:color w:val="auto"/>
        </w:rPr>
        <w:t>.</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00" w:name="page201"/>
    <w:bookmarkEnd w:id="200"/>
    <w:p>
      <w:pPr>
        <w:jc w:val="both"/>
        <w:ind w:left="560" w:firstLine="1156"/>
        <w:spacing w:after="0" w:line="251" w:lineRule="auto"/>
        <w:tabs>
          <w:tab w:leader="none" w:pos="1945" w:val="left"/>
        </w:tabs>
        <w:numPr>
          <w:ilvl w:val="1"/>
          <w:numId w:val="2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case of an event that causes Pubco to suspend the use of any Resale Shelf Registration as set forth in </w:t>
      </w:r>
      <w:r>
        <w:rPr>
          <w:rFonts w:ascii="Times New Roman" w:cs="Times New Roman" w:eastAsia="Times New Roman" w:hAnsi="Times New Roman"/>
          <w:sz w:val="16"/>
          <w:szCs w:val="16"/>
          <w:u w:val="single" w:color="auto"/>
          <w:color w:val="auto"/>
        </w:rPr>
        <w:t>Section 2(f)(i)</w:t>
      </w:r>
      <w:r>
        <w:rPr>
          <w:rFonts w:ascii="Times New Roman" w:cs="Times New Roman" w:eastAsia="Times New Roman" w:hAnsi="Times New Roman"/>
          <w:sz w:val="16"/>
          <w:szCs w:val="16"/>
          <w:color w:val="auto"/>
        </w:rPr>
        <w:t xml:space="preserve"> or pursuant to </w:t>
      </w:r>
      <w:r>
        <w:rPr>
          <w:rFonts w:ascii="Times New Roman" w:cs="Times New Roman" w:eastAsia="Times New Roman" w:hAnsi="Times New Roman"/>
          <w:sz w:val="16"/>
          <w:szCs w:val="16"/>
          <w:u w:val="single" w:color="auto"/>
          <w:color w:val="auto"/>
        </w:rPr>
        <w:t>Section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5(g)</w:t>
      </w:r>
      <w:r>
        <w:rPr>
          <w:rFonts w:ascii="Times New Roman" w:cs="Times New Roman" w:eastAsia="Times New Roman" w:hAnsi="Times New Roman"/>
          <w:sz w:val="16"/>
          <w:szCs w:val="16"/>
          <w:color w:val="auto"/>
        </w:rPr>
        <w:t xml:space="preserve"> (a “</w:t>
      </w:r>
      <w:r>
        <w:rPr>
          <w:rFonts w:ascii="Times New Roman" w:cs="Times New Roman" w:eastAsia="Times New Roman" w:hAnsi="Times New Roman"/>
          <w:sz w:val="16"/>
          <w:szCs w:val="16"/>
          <w:u w:val="single" w:color="auto"/>
          <w:color w:val="auto"/>
        </w:rPr>
        <w:t>Suspension Event</w:t>
      </w:r>
      <w:r>
        <w:rPr>
          <w:rFonts w:ascii="Times New Roman" w:cs="Times New Roman" w:eastAsia="Times New Roman" w:hAnsi="Times New Roman"/>
          <w:sz w:val="16"/>
          <w:szCs w:val="16"/>
          <w:color w:val="auto"/>
        </w:rPr>
        <w:t>”), Pubco shall give a notice to the holders of Registrable Securities registered pursuant to such Shelf Registration (a “</w:t>
      </w:r>
      <w:r>
        <w:rPr>
          <w:rFonts w:ascii="Times New Roman" w:cs="Times New Roman" w:eastAsia="Times New Roman" w:hAnsi="Times New Roman"/>
          <w:sz w:val="16"/>
          <w:szCs w:val="16"/>
          <w:u w:val="single" w:color="auto"/>
          <w:color w:val="auto"/>
        </w:rPr>
        <w:t>Suspension Notice</w:t>
      </w:r>
      <w:r>
        <w:rPr>
          <w:rFonts w:ascii="Times New Roman" w:cs="Times New Roman" w:eastAsia="Times New Roman" w:hAnsi="Times New Roman"/>
          <w:sz w:val="16"/>
          <w:szCs w:val="16"/>
          <w:color w:val="auto"/>
        </w:rPr>
        <w:t>”), no later than three Business Days from the date of such Suspension Event, to suspend sales of the Registrable Securities and, subject to the MNPI Provisions, such notice shall state that such suspension shall continue only for so long as the Suspension Event or its effect is continuing (provided that in each notice Pubco shall not disclose the basis for such suspension or any material non-public information to any Investor unless otherwise requested in writing by such Investor). Pubco shall use commercially reasonable efforts to make the Resale Shelf Registration Statement available for the sale by Investors of Registrable Securities as soon as practicable following a Suspension Event. A holder of Registrable Securities shall not effect any sales of the Registrable Securities pursuant to such Resale Shelf Registration (or such filings) at any time after it has received a Suspension Notice from Pubco and prior to receipt of an End of Suspension Notice (as defined below); provided, for the avoidance of doubt, that the foregoing shall not restrict or otherwise affect the consummation of any sale pursuant to a contract entered into, or order placed, by any holder prior to the delivery the Suspension Notice. Each holder of Registrable Securities agrees that such holder shall treat as confidential the receipt of the Suspension Notice and shall not disclose the information contained in such Suspension Notice without the prior written consent of Pubco until such time as the information contained therein is or becomes available to the public generally, other than as a result of disclosure by such holder in breach of the terms of this Agreement. The holders of Registrable Securities may recommence effecting sales of the Registrable Securities pursuant to the Resale Shelf Registration (or such filings) following further written notice to such effect (an “</w:t>
      </w:r>
      <w:r>
        <w:rPr>
          <w:rFonts w:ascii="Times New Roman" w:cs="Times New Roman" w:eastAsia="Times New Roman" w:hAnsi="Times New Roman"/>
          <w:sz w:val="16"/>
          <w:szCs w:val="16"/>
          <w:u w:val="single" w:color="auto"/>
          <w:color w:val="auto"/>
        </w:rPr>
        <w:t>End of Suspension Notice</w:t>
      </w:r>
      <w:r>
        <w:rPr>
          <w:rFonts w:ascii="Times New Roman" w:cs="Times New Roman" w:eastAsia="Times New Roman" w:hAnsi="Times New Roman"/>
          <w:sz w:val="16"/>
          <w:szCs w:val="16"/>
          <w:color w:val="auto"/>
        </w:rPr>
        <w:t>”) from Pubco, which End of Suspension Notice shall be given by Pubco to the holders of Registrable Securities and to such holders’ counsel, if any, promptly following the conclusion of any Suspension Event.</w:t>
      </w:r>
    </w:p>
    <w:p>
      <w:pPr>
        <w:spacing w:after="0" w:line="172" w:lineRule="exact"/>
        <w:rPr>
          <w:rFonts w:ascii="Times New Roman" w:cs="Times New Roman" w:eastAsia="Times New Roman" w:hAnsi="Times New Roman"/>
          <w:sz w:val="16"/>
          <w:szCs w:val="16"/>
          <w:color w:val="auto"/>
        </w:rPr>
      </w:pPr>
    </w:p>
    <w:p>
      <w:pPr>
        <w:jc w:val="both"/>
        <w:ind w:left="560" w:firstLine="1156"/>
        <w:spacing w:after="0" w:line="255" w:lineRule="auto"/>
        <w:tabs>
          <w:tab w:leader="none" w:pos="2003" w:val="left"/>
        </w:tabs>
        <w:numPr>
          <w:ilvl w:val="1"/>
          <w:numId w:val="2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any provision herein to the contrary, if Pubco shall give a Suspension Notice with respect to any Resale Shelf Registration pursuant to this </w:t>
      </w:r>
      <w:r>
        <w:rPr>
          <w:rFonts w:ascii="Times New Roman" w:cs="Times New Roman" w:eastAsia="Times New Roman" w:hAnsi="Times New Roman"/>
          <w:sz w:val="16"/>
          <w:szCs w:val="16"/>
          <w:u w:val="single" w:color="auto"/>
          <w:color w:val="auto"/>
        </w:rPr>
        <w:t>Section 2(f)</w:t>
      </w:r>
      <w:r>
        <w:rPr>
          <w:rFonts w:ascii="Times New Roman" w:cs="Times New Roman" w:eastAsia="Times New Roman" w:hAnsi="Times New Roman"/>
          <w:sz w:val="16"/>
          <w:szCs w:val="16"/>
          <w:color w:val="auto"/>
        </w:rPr>
        <w:t>, Pubco agrees that it shall extend the period of time during which such Resale Shelf Registration shall be maintained effective pursuant to this Agreement by the number of days during the period from the date of receipt by the holders of the Suspension Notice to and including the date of receipt by the holders of the End of Suspension Notice and provide copies of the supplemented or amended prospectus necessary to resume sales, with respect to each Suspension Event; provided that such period of time shall not be extended beyond the date that Common Stock covered by such Resale Shelf Registration are no longer Registrable Securities.</w:t>
      </w:r>
    </w:p>
    <w:p>
      <w:pPr>
        <w:spacing w:after="0" w:line="165" w:lineRule="exact"/>
        <w:rPr>
          <w:rFonts w:ascii="Times New Roman" w:cs="Times New Roman" w:eastAsia="Times New Roman" w:hAnsi="Times New Roman"/>
          <w:sz w:val="16"/>
          <w:szCs w:val="16"/>
          <w:color w:val="auto"/>
        </w:rPr>
      </w:pPr>
    </w:p>
    <w:p>
      <w:pPr>
        <w:jc w:val="both"/>
        <w:ind w:firstLine="1143"/>
        <w:spacing w:after="0" w:line="254" w:lineRule="auto"/>
        <w:tabs>
          <w:tab w:leader="none" w:pos="1385" w:val="left"/>
        </w:tabs>
        <w:numPr>
          <w:ilvl w:val="0"/>
          <w:numId w:val="2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Selection of Underwriters</w:t>
      </w:r>
      <w:r>
        <w:rPr>
          <w:rFonts w:ascii="Times New Roman" w:cs="Times New Roman" w:eastAsia="Times New Roman" w:hAnsi="Times New Roman"/>
          <w:sz w:val="16"/>
          <w:szCs w:val="16"/>
          <w:color w:val="auto"/>
        </w:rPr>
        <w:t>. In connection with any Demand Registration, the Applicable Approving Party shall have the right to select the investment banker(s) and manager(s) to administer the offering; provided that such selection shall be subject to the written consent of Pubco, which consent will not be unreasonably withheld, conditioned or delayed. If any takedown offering is an underwritten offering, the Applicable Approving Party shall have the right to select the investment banker(s) and manager(s) to administer such takedown offering, provided that such selection shall be subject to the written consent of Pubco, which consent will not be unreasonably withheld, conditioned or delayed. In each case, Pubco and the Applicable Approving Party shall have the right to approve the underwriting arrangements with such investment banker(s) and manager(s) on behalf of all holders of Registrable Securities participating in such offering. All Investors proposing to distribute their securities through underwriting shall (together with Pubco) enter into an underwriting agreement in customary form with the underwriter or underwriters selected for such underwriting.</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01" w:name="page202"/>
    <w:bookmarkEnd w:id="201"/>
    <w:p>
      <w:pPr>
        <w:jc w:val="both"/>
        <w:ind w:left="4" w:right="20" w:firstLine="1143"/>
        <w:spacing w:after="0" w:line="259" w:lineRule="auto"/>
        <w:tabs>
          <w:tab w:leader="none" w:pos="1377" w:val="left"/>
        </w:tabs>
        <w:numPr>
          <w:ilvl w:val="2"/>
          <w:numId w:val="2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Other Registration Rights</w:t>
      </w:r>
      <w:r>
        <w:rPr>
          <w:rFonts w:ascii="Times New Roman" w:cs="Times New Roman" w:eastAsia="Times New Roman" w:hAnsi="Times New Roman"/>
          <w:sz w:val="16"/>
          <w:szCs w:val="16"/>
          <w:color w:val="auto"/>
        </w:rPr>
        <w:t>. Pubco represents and warrants to each holder of Registrable Securities that the registration rights granted in this Agreement do not conflict with any other registration rights granted by Pubco. Except as provided in this Agreement, Pubco shall not grant to any Persons the right to request Pubco to register any equity securities of Pubco, or any securities, options or rights convertible or exchangeable into or exercisable for such securities, without the prior written consent of the holders of a majority of the Registrable Securities then outstanding.</w:t>
      </w:r>
    </w:p>
    <w:p>
      <w:pPr>
        <w:spacing w:after="0" w:line="161" w:lineRule="exact"/>
        <w:rPr>
          <w:rFonts w:ascii="Times New Roman" w:cs="Times New Roman" w:eastAsia="Times New Roman" w:hAnsi="Times New Roman"/>
          <w:sz w:val="16"/>
          <w:szCs w:val="16"/>
          <w:color w:val="auto"/>
        </w:rPr>
      </w:pPr>
    </w:p>
    <w:p>
      <w:pPr>
        <w:jc w:val="both"/>
        <w:ind w:left="4" w:firstLine="1143"/>
        <w:spacing w:after="0" w:line="259" w:lineRule="auto"/>
        <w:tabs>
          <w:tab w:leader="none" w:pos="1342" w:val="left"/>
        </w:tabs>
        <w:numPr>
          <w:ilvl w:val="2"/>
          <w:numId w:val="2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Revocation of Demand Notice or Takedown Notice</w:t>
      </w:r>
      <w:r>
        <w:rPr>
          <w:rFonts w:ascii="Times New Roman" w:cs="Times New Roman" w:eastAsia="Times New Roman" w:hAnsi="Times New Roman"/>
          <w:sz w:val="16"/>
          <w:szCs w:val="16"/>
          <w:color w:val="auto"/>
        </w:rPr>
        <w:t>. At any time prior to the effective date of the Registration Statement relating to a Demand Registration or the “pricing” of any offering relating to a Takedown Demand, the holders of Registrable Securities that requested such Demand Registration or takedown offering may revoke such request for a Demand Registration or takedown offering on behalf of all holders of Registrable Securities participating in such Demand Registration or takedown offering without liability to such holders of Registrable Securities, in each case by providing written notice to Pubco.</w:t>
      </w:r>
    </w:p>
    <w:p>
      <w:pPr>
        <w:spacing w:after="0" w:line="161" w:lineRule="exact"/>
        <w:rPr>
          <w:rFonts w:ascii="Times New Roman" w:cs="Times New Roman" w:eastAsia="Times New Roman" w:hAnsi="Times New Roman"/>
          <w:sz w:val="16"/>
          <w:szCs w:val="16"/>
          <w:color w:val="auto"/>
        </w:rPr>
      </w:pPr>
    </w:p>
    <w:p>
      <w:pPr>
        <w:ind w:left="544" w:hanging="162"/>
        <w:spacing w:after="0"/>
        <w:tabs>
          <w:tab w:leader="none" w:pos="544" w:val="left"/>
        </w:tabs>
        <w:numPr>
          <w:ilvl w:val="1"/>
          <w:numId w:val="2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Piggyback Registrations</w:t>
      </w:r>
      <w:r>
        <w:rPr>
          <w:rFonts w:ascii="Times New Roman" w:cs="Times New Roman" w:eastAsia="Times New Roman" w:hAnsi="Times New Roman"/>
          <w:sz w:val="16"/>
          <w:szCs w:val="16"/>
          <w:color w:val="auto"/>
        </w:rPr>
        <w:t>.</w:t>
      </w:r>
    </w:p>
    <w:p>
      <w:pPr>
        <w:spacing w:after="0" w:line="198" w:lineRule="exact"/>
        <w:rPr>
          <w:rFonts w:ascii="Times New Roman" w:cs="Times New Roman" w:eastAsia="Times New Roman" w:hAnsi="Times New Roman"/>
          <w:sz w:val="16"/>
          <w:szCs w:val="16"/>
          <w:color w:val="auto"/>
        </w:rPr>
      </w:pPr>
    </w:p>
    <w:p>
      <w:pPr>
        <w:jc w:val="both"/>
        <w:ind w:left="4" w:firstLine="1143"/>
        <w:spacing w:after="0" w:line="252" w:lineRule="auto"/>
        <w:tabs>
          <w:tab w:leader="none" w:pos="1368" w:val="left"/>
        </w:tabs>
        <w:numPr>
          <w:ilvl w:val="2"/>
          <w:numId w:val="2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Right to Piggyback</w:t>
      </w:r>
      <w:r>
        <w:rPr>
          <w:rFonts w:ascii="Times New Roman" w:cs="Times New Roman" w:eastAsia="Times New Roman" w:hAnsi="Times New Roman"/>
          <w:sz w:val="16"/>
          <w:szCs w:val="16"/>
          <w:color w:val="auto"/>
        </w:rPr>
        <w:t xml:space="preserve">. Whenever Pubco proposes to register under the Securities Act an offering of any of its securities on behalf of any holders thereof or otherwise effect an underwritten offering of securities (other than (i) pursuant to the Resale Shelf Registration Statement, (ii) pursuant to a Demand Registration (which, for the avoidance of doubt, is addressed in and subject to the rights set forth in,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xml:space="preserve"> hereof), (iii) pursuant to a Takedown Demand (which, for the avoidance of doubt, is addressed in and subject to the rights set forth in,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xml:space="preserve"> hereof), (iv) in connection with registrations on Form S-4 or S-8 promulgated by the Commission or any successor forms, (v) pursuant to a registration relating solely to employment benefit plans, or (vi) in connection with a registration the primary purpose of which is to register debt securities) and the registration form to be used may be used for the registration of Registrable Securities (a “</w:t>
      </w:r>
      <w:r>
        <w:rPr>
          <w:rFonts w:ascii="Times New Roman" w:cs="Times New Roman" w:eastAsia="Times New Roman" w:hAnsi="Times New Roman"/>
          <w:sz w:val="16"/>
          <w:szCs w:val="16"/>
          <w:u w:val="single" w:color="auto"/>
          <w:color w:val="auto"/>
        </w:rPr>
        <w:t>Piggyback Registration</w:t>
      </w:r>
      <w:r>
        <w:rPr>
          <w:rFonts w:ascii="Times New Roman" w:cs="Times New Roman" w:eastAsia="Times New Roman" w:hAnsi="Times New Roman"/>
          <w:sz w:val="16"/>
          <w:szCs w:val="16"/>
          <w:color w:val="auto"/>
        </w:rPr>
        <w:t xml:space="preserve">”), Pubco shall give prompt written notice to all holders of Registrable Securities of its intention to effect such a Piggyback Registration and, subject to the terms of </w:t>
      </w:r>
      <w:r>
        <w:rPr>
          <w:rFonts w:ascii="Times New Roman" w:cs="Times New Roman" w:eastAsia="Times New Roman" w:hAnsi="Times New Roman"/>
          <w:sz w:val="16"/>
          <w:szCs w:val="16"/>
          <w:u w:val="single" w:color="auto"/>
          <w:color w:val="auto"/>
        </w:rPr>
        <w:t>Sections 3(c)</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3(d)</w:t>
      </w:r>
      <w:r>
        <w:rPr>
          <w:rFonts w:ascii="Times New Roman" w:cs="Times New Roman" w:eastAsia="Times New Roman" w:hAnsi="Times New Roman"/>
          <w:sz w:val="16"/>
          <w:szCs w:val="16"/>
          <w:color w:val="auto"/>
        </w:rPr>
        <w:t xml:space="preserve"> hereof, shall include in such Piggyback Registration (and in all related registrations or qualifications under blue sky laws or in compliance with other registration requirements and in any related underwriting) all Registrable Securities with respect to which Pubco has received written requests for inclusion therein within 10 Business Days after the delivery of Pubco’s notice; provided that any such other holder may withdraw its request for inclusion at any time prior to executing the underwriting agreement or, if none, prior to the applicable Registration Statement becoming effective (if applicable).</w:t>
      </w:r>
    </w:p>
    <w:p>
      <w:pPr>
        <w:spacing w:after="0" w:line="169" w:lineRule="exact"/>
        <w:rPr>
          <w:rFonts w:ascii="Times New Roman" w:cs="Times New Roman" w:eastAsia="Times New Roman" w:hAnsi="Times New Roman"/>
          <w:sz w:val="16"/>
          <w:szCs w:val="16"/>
          <w:color w:val="auto"/>
        </w:rPr>
      </w:pPr>
    </w:p>
    <w:p>
      <w:pPr>
        <w:ind w:left="4" w:firstLine="1143"/>
        <w:spacing w:after="0" w:line="280" w:lineRule="auto"/>
        <w:tabs>
          <w:tab w:leader="none" w:pos="1377" w:val="left"/>
        </w:tabs>
        <w:numPr>
          <w:ilvl w:val="2"/>
          <w:numId w:val="2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Piggyback Expenses</w:t>
      </w:r>
      <w:r>
        <w:rPr>
          <w:rFonts w:ascii="Times New Roman" w:cs="Times New Roman" w:eastAsia="Times New Roman" w:hAnsi="Times New Roman"/>
          <w:sz w:val="16"/>
          <w:szCs w:val="16"/>
          <w:color w:val="auto"/>
        </w:rPr>
        <w:t>. The Registration Expenses of the holders of Registrable Securities shall be paid by Pubco in all Piggyback Registrations, whether or not any such registration became effective.</w:t>
      </w:r>
    </w:p>
    <w:p>
      <w:pPr>
        <w:spacing w:after="0" w:line="144" w:lineRule="exact"/>
        <w:rPr>
          <w:rFonts w:ascii="Times New Roman" w:cs="Times New Roman" w:eastAsia="Times New Roman" w:hAnsi="Times New Roman"/>
          <w:sz w:val="16"/>
          <w:szCs w:val="16"/>
          <w:color w:val="auto"/>
        </w:rPr>
      </w:pPr>
    </w:p>
    <w:p>
      <w:pPr>
        <w:jc w:val="both"/>
        <w:ind w:left="4" w:firstLine="1143"/>
        <w:spacing w:after="0" w:line="254" w:lineRule="auto"/>
        <w:tabs>
          <w:tab w:leader="none" w:pos="1368" w:val="left"/>
        </w:tabs>
        <w:numPr>
          <w:ilvl w:val="2"/>
          <w:numId w:val="2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Priority on Primary Registrations</w:t>
      </w:r>
      <w:r>
        <w:rPr>
          <w:rFonts w:ascii="Times New Roman" w:cs="Times New Roman" w:eastAsia="Times New Roman" w:hAnsi="Times New Roman"/>
          <w:sz w:val="16"/>
          <w:szCs w:val="16"/>
          <w:color w:val="auto"/>
        </w:rPr>
        <w:t>. If a Piggyback Registration is an underwritten primary registration on behalf of Pubco, and the managing underwriters advise Pubco in writing that in their opinion the number of securities requested to be included in such registration exceeds the number of securities which can be sold in such offering without adversely affecting the marketability, proposed offering price, timing or method of distribution of the offering, Pubco shall include in such registration (i) first, the securities Pubco proposes to sell, (ii) second, the Registrable Securities requested to be included in such registration by the Investors which, in the opinion of such underwriters, can be sold, without any such adverse effect (pro rata among the holders of such Registrable Securities on the basis of the number of Registrable Securities owned by each such holder), and (iii) third, other securities requested to be included in such registration which, in the opinion of such underwriters, can be sold, without any such adverse effect.</w:t>
      </w:r>
    </w:p>
    <w:p>
      <w:pPr>
        <w:spacing w:after="0" w:line="166" w:lineRule="exact"/>
        <w:rPr>
          <w:rFonts w:ascii="Times New Roman" w:cs="Times New Roman" w:eastAsia="Times New Roman" w:hAnsi="Times New Roman"/>
          <w:sz w:val="16"/>
          <w:szCs w:val="16"/>
          <w:color w:val="auto"/>
        </w:rPr>
      </w:pPr>
    </w:p>
    <w:p>
      <w:pPr>
        <w:jc w:val="both"/>
        <w:ind w:left="4" w:firstLine="1143"/>
        <w:spacing w:after="0" w:line="254" w:lineRule="auto"/>
        <w:tabs>
          <w:tab w:leader="none" w:pos="1377" w:val="left"/>
        </w:tabs>
        <w:numPr>
          <w:ilvl w:val="2"/>
          <w:numId w:val="2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Priority on Secondary Registrations</w:t>
      </w:r>
      <w:r>
        <w:rPr>
          <w:rFonts w:ascii="Times New Roman" w:cs="Times New Roman" w:eastAsia="Times New Roman" w:hAnsi="Times New Roman"/>
          <w:sz w:val="16"/>
          <w:szCs w:val="16"/>
          <w:color w:val="auto"/>
        </w:rPr>
        <w:t>. If a Piggyback Registration is an underwritten secondary registration on behalf of holders of Pubco’s securities other than holders of Registrable Securities, and the managing underwriters advise Pubco in writing that in their opinion the number of securities requested to be included in such registration exceeds the number of securities which can be sold in such offering without adversely affecting the marketability, proposed offering price, timing or method of distribution of the offering, Pubco shall include in such registration (i) first, the securities requested to be included therein by the holders initially requesting such registration,</w:t>
      </w:r>
    </w:p>
    <w:p>
      <w:pPr>
        <w:spacing w:after="0" w:line="2" w:lineRule="exact"/>
        <w:rPr>
          <w:rFonts w:ascii="Times New Roman" w:cs="Times New Roman" w:eastAsia="Times New Roman" w:hAnsi="Times New Roman"/>
          <w:sz w:val="16"/>
          <w:szCs w:val="16"/>
          <w:color w:val="auto"/>
        </w:rPr>
      </w:pPr>
    </w:p>
    <w:p>
      <w:pPr>
        <w:jc w:val="both"/>
        <w:ind w:left="4" w:right="20" w:hanging="4"/>
        <w:spacing w:after="0" w:line="254" w:lineRule="auto"/>
        <w:tabs>
          <w:tab w:leader="none" w:pos="248" w:val="left"/>
        </w:tabs>
        <w:numPr>
          <w:ilvl w:val="0"/>
          <w:numId w:val="2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second, the Registrable Securities requested to be included in such registration by the Investors which, in the opinion of such underwriters, can be sold, without any such adverse effect (pro rata among the holders of such Registrable Securities on the basis of the number of Registrable Securities owned by each such holder), and (iii) third, other securities requested to be included in such registration which, in the opinion of such underwriters, can be sold, without any such adverse effect.</w:t>
      </w:r>
    </w:p>
    <w:p>
      <w:pPr>
        <w:spacing w:after="0" w:line="34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8195" cy="152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202" w:name="page203"/>
    <w:bookmarkEnd w:id="202"/>
    <w:p>
      <w:pPr>
        <w:jc w:val="both"/>
        <w:ind w:firstLine="1143"/>
        <w:spacing w:after="0" w:line="255" w:lineRule="auto"/>
        <w:tabs>
          <w:tab w:leader="none" w:pos="1364" w:val="left"/>
        </w:tabs>
        <w:numPr>
          <w:ilvl w:val="1"/>
          <w:numId w:val="2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Other Registrations</w:t>
      </w:r>
      <w:r>
        <w:rPr>
          <w:rFonts w:ascii="Times New Roman" w:cs="Times New Roman" w:eastAsia="Times New Roman" w:hAnsi="Times New Roman"/>
          <w:sz w:val="16"/>
          <w:szCs w:val="16"/>
          <w:color w:val="auto"/>
        </w:rPr>
        <w:t xml:space="preserve">. If Pubco has previously filed a Registration Statement with respect to Registrable Securities pursuant to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xml:space="preserve"> or pursuant to this </w:t>
      </w:r>
      <w:r>
        <w:rPr>
          <w:rFonts w:ascii="Times New Roman" w:cs="Times New Roman" w:eastAsia="Times New Roman" w:hAnsi="Times New Roman"/>
          <w:sz w:val="16"/>
          <w:szCs w:val="16"/>
          <w:u w:val="single" w:color="auto"/>
          <w:color w:val="auto"/>
        </w:rPr>
        <w:t>Section 3</w:t>
      </w:r>
      <w:r>
        <w:rPr>
          <w:rFonts w:ascii="Times New Roman" w:cs="Times New Roman" w:eastAsia="Times New Roman" w:hAnsi="Times New Roman"/>
          <w:sz w:val="16"/>
          <w:szCs w:val="16"/>
          <w:color w:val="auto"/>
        </w:rPr>
        <w:t>, and if such previous registration has not been withdrawn or abandoned, then Pubco shall not be required to file or cause to be effected any other registration of any of its equity securities or securities convertible or exchangeable into or exercisable for its equity securities under the Securities Act (except on Form S-8 or any successor form or the Resale Shelf Registration Statement or a New Registration Statement) at the request of any holder or holders of such Registrable Securities until a period of at least 90 days has elapsed from the effective date of such previous registration; provided, however, that Pubco shall at all times remain obligated to file, supplement and/or amend, as applicable, each Registration Statement required to be filed pursuant to Section 1 in accordance with Sections 1(a) and 1(b), as applicable.</w:t>
      </w:r>
    </w:p>
    <w:p>
      <w:pPr>
        <w:spacing w:after="0" w:line="165"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46" w:val="left"/>
        </w:tabs>
        <w:numPr>
          <w:ilvl w:val="1"/>
          <w:numId w:val="2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Right to Terminate Registration</w:t>
      </w:r>
      <w:r>
        <w:rPr>
          <w:rFonts w:ascii="Times New Roman" w:cs="Times New Roman" w:eastAsia="Times New Roman" w:hAnsi="Times New Roman"/>
          <w:sz w:val="16"/>
          <w:szCs w:val="16"/>
          <w:color w:val="auto"/>
        </w:rPr>
        <w:t xml:space="preserve">. Pubco shall have the right to terminate or withdraw any registration initiated by it under this </w:t>
      </w:r>
      <w:r>
        <w:rPr>
          <w:rFonts w:ascii="Times New Roman" w:cs="Times New Roman" w:eastAsia="Times New Roman" w:hAnsi="Times New Roman"/>
          <w:sz w:val="16"/>
          <w:szCs w:val="16"/>
          <w:u w:val="single" w:color="auto"/>
          <w:color w:val="auto"/>
        </w:rPr>
        <w:t>Section</w:t>
      </w:r>
      <w:r>
        <w:rPr>
          <w:rFonts w:ascii="Times New Roman" w:cs="Times New Roman" w:eastAsia="Times New Roman" w:hAnsi="Times New Roman"/>
          <w:sz w:val="16"/>
          <w:szCs w:val="16"/>
          <w:color w:val="auto"/>
        </w:rPr>
        <w:t xml:space="preserve"> 3 whether or not any holder of Registrable Securities has elected to include securities in such registration. The Registration Expenses of such withdrawn registration shall be borne by Pubco in accordance with </w:t>
      </w:r>
      <w:r>
        <w:rPr>
          <w:rFonts w:ascii="Times New Roman" w:cs="Times New Roman" w:eastAsia="Times New Roman" w:hAnsi="Times New Roman"/>
          <w:sz w:val="16"/>
          <w:szCs w:val="16"/>
          <w:u w:val="single" w:color="auto"/>
          <w:color w:val="auto"/>
        </w:rPr>
        <w:t>Section 7</w:t>
      </w:r>
      <w:r>
        <w:rPr>
          <w:rFonts w:ascii="Times New Roman" w:cs="Times New Roman" w:eastAsia="Times New Roman" w:hAnsi="Times New Roman"/>
          <w:sz w:val="16"/>
          <w:szCs w:val="16"/>
          <w:color w:val="auto"/>
        </w:rPr>
        <w:t>.</w:t>
      </w:r>
    </w:p>
    <w:p>
      <w:pPr>
        <w:spacing w:after="0" w:line="155" w:lineRule="exact"/>
        <w:rPr>
          <w:rFonts w:ascii="Times New Roman" w:cs="Times New Roman" w:eastAsia="Times New Roman" w:hAnsi="Times New Roman"/>
          <w:sz w:val="16"/>
          <w:szCs w:val="16"/>
          <w:color w:val="auto"/>
        </w:rPr>
      </w:pPr>
    </w:p>
    <w:p>
      <w:pPr>
        <w:ind w:left="540" w:hanging="162"/>
        <w:spacing w:after="0"/>
        <w:tabs>
          <w:tab w:leader="none" w:pos="540" w:val="left"/>
        </w:tabs>
        <w:numPr>
          <w:ilvl w:val="0"/>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Agreements of Certain Holders</w:t>
      </w:r>
      <w:r>
        <w:rPr>
          <w:rFonts w:ascii="Times New Roman" w:cs="Times New Roman" w:eastAsia="Times New Roman" w:hAnsi="Times New Roman"/>
          <w:sz w:val="16"/>
          <w:szCs w:val="16"/>
          <w:color w:val="auto"/>
        </w:rPr>
        <w:t>.</w:t>
      </w:r>
    </w:p>
    <w:p>
      <w:pPr>
        <w:spacing w:after="0" w:line="198" w:lineRule="exact"/>
        <w:rPr>
          <w:rFonts w:ascii="Times New Roman" w:cs="Times New Roman" w:eastAsia="Times New Roman" w:hAnsi="Times New Roman"/>
          <w:sz w:val="16"/>
          <w:szCs w:val="16"/>
          <w:color w:val="auto"/>
        </w:rPr>
      </w:pPr>
    </w:p>
    <w:p>
      <w:pPr>
        <w:jc w:val="both"/>
        <w:ind w:firstLine="1143"/>
        <w:spacing w:after="0" w:line="251" w:lineRule="auto"/>
        <w:tabs>
          <w:tab w:leader="none" w:pos="1368" w:val="left"/>
        </w:tabs>
        <w:numPr>
          <w:ilvl w:val="1"/>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required by the managing underwriter(s), in connection with any underwritten Public Offering on or after the date hereof, any Investor that beneficially owns 1% or more of the outstanding Common Stock on the date of such underwritten Public Offering shall enter into lock-up agreements with the managing underwriter(s) of such underwritten Public Offering in such form as agreed to by such managing underwriter(s). In no event shall any Investor holding Registrable Securities that is not a director or executive officer of Pubco on the date of such underwritten Public Offering be required to enter into any such lock-up agreement (i) that contains less favorable terms than the terms offered to any other Investor, or (ii) unless such Investor has requested its Registrable Securities be included in such underwritten registration, after the first anniversary of the Closing Date (as defined in the Merger Agreement) if it owns less than 5% of the outstanding Common Stock on the date of such underwritten Public Offering. In addition, (i) in no event shall any Investor that is not a director or executive officer of Pubco on the date of such underwritten Public Offering be required to enter into lock-up agreements pursuant to this </w:t>
      </w:r>
      <w:r>
        <w:rPr>
          <w:rFonts w:ascii="Times New Roman" w:cs="Times New Roman" w:eastAsia="Times New Roman" w:hAnsi="Times New Roman"/>
          <w:sz w:val="16"/>
          <w:szCs w:val="16"/>
          <w:u w:val="single" w:color="auto"/>
          <w:color w:val="auto"/>
        </w:rPr>
        <w:t>Section 4(a)</w:t>
      </w:r>
      <w:r>
        <w:rPr>
          <w:rFonts w:ascii="Times New Roman" w:cs="Times New Roman" w:eastAsia="Times New Roman" w:hAnsi="Times New Roman"/>
          <w:sz w:val="16"/>
          <w:szCs w:val="16"/>
          <w:color w:val="auto"/>
        </w:rPr>
        <w:t xml:space="preserve"> on more than two occasions (unless such Investor is including its Registrable Securities in an underwritten registration and such lock-up is requested by the managing underwriter(s) in connection therewith), (ii) any lock-up agreement into which any Investor enters into pursuant to this </w:t>
      </w:r>
      <w:r>
        <w:rPr>
          <w:rFonts w:ascii="Times New Roman" w:cs="Times New Roman" w:eastAsia="Times New Roman" w:hAnsi="Times New Roman"/>
          <w:sz w:val="16"/>
          <w:szCs w:val="16"/>
          <w:u w:val="single" w:color="auto"/>
          <w:color w:val="auto"/>
        </w:rPr>
        <w:t>Section 4(a)</w:t>
      </w:r>
      <w:r>
        <w:rPr>
          <w:rFonts w:ascii="Times New Roman" w:cs="Times New Roman" w:eastAsia="Times New Roman" w:hAnsi="Times New Roman"/>
          <w:sz w:val="16"/>
          <w:szCs w:val="16"/>
          <w:color w:val="auto"/>
        </w:rPr>
        <w:t xml:space="preserve"> shall be for a period of not more than 60 days, (iii) the obligations of the Investors to enter into lockup agreements pursuant to this Section 4(a) shall terminate on the second anniversary of the Closing Date, (iv) no Investor shall be required to enter into a lock-up agreement pursuant to this </w:t>
      </w:r>
      <w:r>
        <w:rPr>
          <w:rFonts w:ascii="Times New Roman" w:cs="Times New Roman" w:eastAsia="Times New Roman" w:hAnsi="Times New Roman"/>
          <w:sz w:val="16"/>
          <w:szCs w:val="16"/>
          <w:u w:val="single" w:color="auto"/>
          <w:color w:val="auto"/>
        </w:rPr>
        <w:t>Section 4(a)</w:t>
      </w:r>
      <w:r>
        <w:rPr>
          <w:rFonts w:ascii="Times New Roman" w:cs="Times New Roman" w:eastAsia="Times New Roman" w:hAnsi="Times New Roman"/>
          <w:sz w:val="16"/>
          <w:szCs w:val="16"/>
          <w:color w:val="auto"/>
        </w:rPr>
        <w:t xml:space="preserve"> within six months following the expiration of a previous lock-up agreement entered into by such Investor pursuant to this </w:t>
      </w:r>
      <w:r>
        <w:rPr>
          <w:rFonts w:ascii="Times New Roman" w:cs="Times New Roman" w:eastAsia="Times New Roman" w:hAnsi="Times New Roman"/>
          <w:sz w:val="16"/>
          <w:szCs w:val="16"/>
          <w:u w:val="single" w:color="auto"/>
          <w:color w:val="auto"/>
        </w:rPr>
        <w:t>Section 4(a)</w:t>
      </w:r>
      <w:r>
        <w:rPr>
          <w:rFonts w:ascii="Times New Roman" w:cs="Times New Roman" w:eastAsia="Times New Roman" w:hAnsi="Times New Roman"/>
          <w:sz w:val="16"/>
          <w:szCs w:val="16"/>
          <w:color w:val="auto"/>
        </w:rPr>
        <w:t xml:space="preserve">, (v) no Investor shall be required to be subject to a lock-up agreement pursuant to this </w:t>
      </w:r>
      <w:r>
        <w:rPr>
          <w:rFonts w:ascii="Times New Roman" w:cs="Times New Roman" w:eastAsia="Times New Roman" w:hAnsi="Times New Roman"/>
          <w:sz w:val="16"/>
          <w:szCs w:val="16"/>
          <w:u w:val="single" w:color="auto"/>
          <w:color w:val="auto"/>
        </w:rPr>
        <w:t>Section 4(a)</w:t>
      </w:r>
      <w:r>
        <w:rPr>
          <w:rFonts w:ascii="Times New Roman" w:cs="Times New Roman" w:eastAsia="Times New Roman" w:hAnsi="Times New Roman"/>
          <w:sz w:val="16"/>
          <w:szCs w:val="16"/>
          <w:color w:val="auto"/>
        </w:rPr>
        <w:t xml:space="preserve"> during the 60 day period commencing immediately following the date that shares of Common Stock are first released from the Lock-up (as defined in the Support Agreements, respectively).</w:t>
      </w:r>
    </w:p>
    <w:p>
      <w:pPr>
        <w:spacing w:after="0" w:line="174" w:lineRule="exact"/>
        <w:rPr>
          <w:rFonts w:ascii="Times New Roman" w:cs="Times New Roman" w:eastAsia="Times New Roman" w:hAnsi="Times New Roman"/>
          <w:sz w:val="16"/>
          <w:szCs w:val="16"/>
          <w:color w:val="auto"/>
        </w:rPr>
      </w:pPr>
    </w:p>
    <w:p>
      <w:pPr>
        <w:jc w:val="both"/>
        <w:ind w:firstLine="1143"/>
        <w:spacing w:after="0" w:line="270" w:lineRule="auto"/>
        <w:tabs>
          <w:tab w:leader="none" w:pos="1378" w:val="left"/>
        </w:tabs>
        <w:numPr>
          <w:ilvl w:val="1"/>
          <w:numId w:val="2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holders of Registrable Securities shall use commercially reasonable efforts to provide such information as may reasonably be requested by Pubco, or the managing underwriter, if any, in connection with the preparation of any Registration Statement in which the Registrable Securities of such holder are to be included, including amendments and supplements thereto, in order to effect the Registration Statement, including amendments and supplements thereto, in order to effect the Registration of any Registrable Securities under the Securities Act pursuant to </w:t>
      </w:r>
      <w:r>
        <w:rPr>
          <w:rFonts w:ascii="Times New Roman" w:cs="Times New Roman" w:eastAsia="Times New Roman" w:hAnsi="Times New Roman"/>
          <w:sz w:val="15"/>
          <w:szCs w:val="15"/>
          <w:u w:val="single" w:color="auto"/>
          <w:color w:val="auto"/>
        </w:rPr>
        <w:t>Section 3.</w:t>
      </w:r>
      <w:r>
        <w:rPr>
          <w:rFonts w:ascii="Times New Roman" w:cs="Times New Roman" w:eastAsia="Times New Roman" w:hAnsi="Times New Roman"/>
          <w:sz w:val="15"/>
          <w:szCs w:val="15"/>
          <w:color w:val="auto"/>
        </w:rPr>
        <w:t xml:space="preserve"> Notwithstanding anything else in this Agreement, Pubco shall not be obligated to include such holder’s Registrable Securities to the extent Pubco has not received such information, and received any other reasonably requested selling stockholder questionnaires, on or</w:t>
      </w:r>
    </w:p>
    <w:p>
      <w:pPr>
        <w:spacing w:after="0" w:line="2" w:lineRule="exact"/>
        <w:rPr>
          <w:sz w:val="20"/>
          <w:szCs w:val="20"/>
          <w:color w:val="auto"/>
        </w:rPr>
      </w:pPr>
    </w:p>
    <w:p>
      <w:pPr>
        <w:ind w:right="20"/>
        <w:spacing w:after="0" w:line="207" w:lineRule="auto"/>
        <w:rPr>
          <w:sz w:val="20"/>
          <w:szCs w:val="20"/>
          <w:color w:val="auto"/>
        </w:rPr>
      </w:pPr>
      <w:r>
        <w:rPr>
          <w:rFonts w:ascii="Times New Roman" w:cs="Times New Roman" w:eastAsia="Times New Roman" w:hAnsi="Times New Roman"/>
          <w:sz w:val="16"/>
          <w:szCs w:val="16"/>
          <w:color w:val="auto"/>
        </w:rPr>
        <w:t>prior to the later of (i)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Business Day following the date on which such information is requested from such holder and (ii) the second Business Day prior to the first anticipated filing date of a Registration Statement pursuant to this Agreement.</w:t>
      </w:r>
    </w:p>
    <w:p>
      <w:pPr>
        <w:spacing w:after="0" w:line="176" w:lineRule="exact"/>
        <w:rPr>
          <w:sz w:val="20"/>
          <w:szCs w:val="20"/>
          <w:color w:val="auto"/>
        </w:rPr>
      </w:pPr>
    </w:p>
    <w:p>
      <w:pPr>
        <w:jc w:val="both"/>
        <w:ind w:firstLine="378"/>
        <w:spacing w:after="0" w:line="259" w:lineRule="auto"/>
        <w:tabs>
          <w:tab w:leader="none" w:pos="566" w:val="left"/>
        </w:tabs>
        <w:numPr>
          <w:ilvl w:val="0"/>
          <w:numId w:val="2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Registration Procedures</w:t>
      </w:r>
      <w:r>
        <w:rPr>
          <w:rFonts w:ascii="Times New Roman" w:cs="Times New Roman" w:eastAsia="Times New Roman" w:hAnsi="Times New Roman"/>
          <w:sz w:val="16"/>
          <w:szCs w:val="16"/>
          <w:color w:val="auto"/>
        </w:rPr>
        <w:t>. In connection with the Registration to be effected pursuant to the Resale Shelf Registration Statement, and whenever the holders of Registrable Securities have requested that any Registrable Securities be registered pursuant to this Agreement or have initiated a takedown offering, Pubco shall use its reasonable best efforts to effect the registration and the sale of such Registrable Securities in accordance with the intended method of disposition thereof, and pursuant thereto Pubco shall as expeditiously as reasonably possible:</w:t>
      </w:r>
    </w:p>
    <w:p>
      <w:pPr>
        <w:spacing w:after="0" w:line="161" w:lineRule="exact"/>
        <w:rPr>
          <w:rFonts w:ascii="Times New Roman" w:cs="Times New Roman" w:eastAsia="Times New Roman" w:hAnsi="Times New Roman"/>
          <w:sz w:val="16"/>
          <w:szCs w:val="16"/>
          <w:color w:val="auto"/>
        </w:rPr>
      </w:pPr>
    </w:p>
    <w:p>
      <w:pPr>
        <w:jc w:val="both"/>
        <w:ind w:right="20" w:firstLine="1143"/>
        <w:spacing w:after="0" w:line="255" w:lineRule="auto"/>
        <w:tabs>
          <w:tab w:leader="none" w:pos="1366" w:val="left"/>
        </w:tabs>
        <w:numPr>
          <w:ilvl w:val="1"/>
          <w:numId w:val="2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prepare in accordance with the Securities Act and all applicable rules and regulations promulgated thereunder and file with the Commission a Registration Statement, and all amendments and supplements thereto and related prospectuses as may be necessary to comply with applicable securities laws, with respect to such Registrable Securities and use its reasonable best efforts to cause such Registration Statement to become effective (provided that at least two Business Days before filing a Registration Statement or prospectus or any amendments or supplements thereto, Pubco shall furnish to counsel selected by the Applicable Approving Party copies of all such documents proposed to be filed, which documents shall be subject to the review and comment of such counsel, and no such document shall be filed with the Commission to which any Investor or its counsel reasonably objects);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03" w:name="page204"/>
    <w:bookmarkEnd w:id="203"/>
    <w:p>
      <w:pPr>
        <w:jc w:val="both"/>
        <w:ind w:left="4" w:firstLine="1143"/>
        <w:spacing w:after="0" w:line="259" w:lineRule="auto"/>
        <w:tabs>
          <w:tab w:leader="none" w:pos="1392" w:val="left"/>
        </w:tabs>
        <w:numPr>
          <w:ilvl w:val="1"/>
          <w:numId w:val="2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notify each holder of Registrable Securities of (A) the issuance by the Commission of any stop order suspending the effectiveness of any Registration Statement or the initiation of any proceedings for that purpose, (B) the receipt by Pubco or its counsel of any notification with respect to the suspension of the qualification of the Registrable Securities for sale in any jurisdiction or the initiation or threatening of any proceeding for such purpose, and (C) the effectiveness of each Registration Statement filed hereunder;</w:t>
      </w:r>
    </w:p>
    <w:p>
      <w:pPr>
        <w:spacing w:after="0" w:line="161" w:lineRule="exact"/>
        <w:rPr>
          <w:rFonts w:ascii="Times New Roman" w:cs="Times New Roman" w:eastAsia="Times New Roman" w:hAnsi="Times New Roman"/>
          <w:sz w:val="16"/>
          <w:szCs w:val="16"/>
          <w:color w:val="auto"/>
        </w:rPr>
      </w:pPr>
    </w:p>
    <w:p>
      <w:pPr>
        <w:jc w:val="both"/>
        <w:ind w:left="4" w:right="20" w:firstLine="1143"/>
        <w:spacing w:after="0" w:line="253" w:lineRule="auto"/>
        <w:tabs>
          <w:tab w:leader="none" w:pos="1373" w:val="left"/>
        </w:tabs>
        <w:numPr>
          <w:ilvl w:val="1"/>
          <w:numId w:val="2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prepare and file with the Commission such amendments and supplements to such Registration Statement and the prospectus used in connection therewith as may be necessary to keep such Registration Statement and the prospectus used in connection therewith current, effective and available for the resale of all of the Registrable Securities required to be covered thereby for a period ending when all of the securities covered by such Registration Statement have been disposed of in accordance with the intended methods of distribution by the sellers thereof set forth in such Registration Statement (but not in any event before the expiration of any longer period required under the Securities Act or, if such Registration Statement relates to an underwritten Public Offering, such longer period as in the opinion of counsel for the underwriters a prospectus is required by law to be delivered in connection with sale of Registrable Securities by an underwriter or dealer) and comply with the provisions of the Securities Act with respect to the disposition of all securities covered by such Registration Statement during such period in accordance with the intended methods of disposition by the sellers thereof set forth in such Registration Statement;</w:t>
      </w:r>
    </w:p>
    <w:p>
      <w:pPr>
        <w:spacing w:after="0" w:line="169" w:lineRule="exact"/>
        <w:rPr>
          <w:rFonts w:ascii="Times New Roman" w:cs="Times New Roman" w:eastAsia="Times New Roman" w:hAnsi="Times New Roman"/>
          <w:sz w:val="16"/>
          <w:szCs w:val="16"/>
          <w:color w:val="auto"/>
        </w:rPr>
      </w:pPr>
    </w:p>
    <w:p>
      <w:pPr>
        <w:jc w:val="both"/>
        <w:ind w:left="4" w:firstLine="1143"/>
        <w:spacing w:after="0" w:line="265" w:lineRule="auto"/>
        <w:tabs>
          <w:tab w:leader="none" w:pos="1378" w:val="left"/>
        </w:tabs>
        <w:numPr>
          <w:ilvl w:val="1"/>
          <w:numId w:val="2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 to each seller of Registrable Securities thereunder such number of copies of such Registration Statement, each amendment and supplement thereto, the prospectus included in such Registration Statement (including each preliminary prospectus), each Free-Writing Prospectus and such other documents as such seller may reasonably request in order to facilitate the disposition of the Registrable Securities owned by such seller;</w:t>
      </w:r>
    </w:p>
    <w:p>
      <w:pPr>
        <w:spacing w:after="0" w:line="155" w:lineRule="exact"/>
        <w:rPr>
          <w:rFonts w:ascii="Times New Roman" w:cs="Times New Roman" w:eastAsia="Times New Roman" w:hAnsi="Times New Roman"/>
          <w:sz w:val="16"/>
          <w:szCs w:val="16"/>
          <w:color w:val="auto"/>
        </w:rPr>
      </w:pPr>
    </w:p>
    <w:p>
      <w:pPr>
        <w:ind w:left="4" w:right="20" w:firstLine="1143"/>
        <w:spacing w:after="0" w:line="280" w:lineRule="auto"/>
        <w:tabs>
          <w:tab w:leader="none" w:pos="1383" w:val="left"/>
        </w:tabs>
        <w:numPr>
          <w:ilvl w:val="1"/>
          <w:numId w:val="2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any period in which a prospectus is required to be delivered under the Securities Act, promptly file all documents required to be filed with the Commission, including pursuant to Sections 13(a), 13(c), 14 or 15(d) of the Securities Act;</w:t>
      </w:r>
    </w:p>
    <w:p>
      <w:pPr>
        <w:spacing w:after="0" w:line="144" w:lineRule="exact"/>
        <w:rPr>
          <w:rFonts w:ascii="Times New Roman" w:cs="Times New Roman" w:eastAsia="Times New Roman" w:hAnsi="Times New Roman"/>
          <w:sz w:val="16"/>
          <w:szCs w:val="16"/>
          <w:color w:val="auto"/>
        </w:rPr>
      </w:pPr>
    </w:p>
    <w:p>
      <w:pPr>
        <w:jc w:val="both"/>
        <w:ind w:left="4" w:firstLine="1143"/>
        <w:spacing w:after="0" w:line="271" w:lineRule="auto"/>
        <w:tabs>
          <w:tab w:leader="none" w:pos="1353" w:val="left"/>
        </w:tabs>
        <w:numPr>
          <w:ilvl w:val="1"/>
          <w:numId w:val="2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use its reasonable best efforts to register or qualify such Registrable Securities under such other securities or blue sky laws of such jurisdictions as the lead underwriter or the Applicable Approving Party reasonably requests and do any and all other acts and things which may be reasonably necessary or advisable to enable such seller to consummate the disposition in such jurisdictions of the Registrable Securities owned by such seller (provided that Pubco shall not be required to (i) qualify generally to do business in any jurisdiction where it would not otherwise be required to qualify but for this </w:t>
      </w:r>
      <w:r>
        <w:rPr>
          <w:rFonts w:ascii="Times New Roman" w:cs="Times New Roman" w:eastAsia="Times New Roman" w:hAnsi="Times New Roman"/>
          <w:sz w:val="15"/>
          <w:szCs w:val="15"/>
          <w:u w:val="single" w:color="auto"/>
          <w:color w:val="auto"/>
        </w:rPr>
        <w:t>Section 5(f)</w:t>
      </w:r>
      <w:r>
        <w:rPr>
          <w:rFonts w:ascii="Times New Roman" w:cs="Times New Roman" w:eastAsia="Times New Roman" w:hAnsi="Times New Roman"/>
          <w:sz w:val="15"/>
          <w:szCs w:val="15"/>
          <w:color w:val="auto"/>
        </w:rPr>
        <w:t>, (ii) consent to general service of process in any such jurisdiction or</w:t>
      </w:r>
    </w:p>
    <w:p>
      <w:pPr>
        <w:spacing w:after="0" w:line="2" w:lineRule="exact"/>
        <w:rPr>
          <w:rFonts w:ascii="Times New Roman" w:cs="Times New Roman" w:eastAsia="Times New Roman" w:hAnsi="Times New Roman"/>
          <w:sz w:val="15"/>
          <w:szCs w:val="15"/>
          <w:color w:val="auto"/>
        </w:rPr>
      </w:pPr>
    </w:p>
    <w:p>
      <w:pPr>
        <w:ind w:left="284" w:hanging="284"/>
        <w:spacing w:after="0"/>
        <w:tabs>
          <w:tab w:leader="none" w:pos="284" w:val="left"/>
        </w:tabs>
        <w:numPr>
          <w:ilvl w:val="0"/>
          <w:numId w:val="2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itself to taxation in any such jurisdiction);</w:t>
      </w:r>
    </w:p>
    <w:p>
      <w:pPr>
        <w:spacing w:after="0" w:line="181" w:lineRule="exact"/>
        <w:rPr>
          <w:rFonts w:ascii="Times New Roman" w:cs="Times New Roman" w:eastAsia="Times New Roman" w:hAnsi="Times New Roman"/>
          <w:sz w:val="16"/>
          <w:szCs w:val="16"/>
          <w:color w:val="auto"/>
        </w:rPr>
      </w:pPr>
    </w:p>
    <w:p>
      <w:pPr>
        <w:jc w:val="both"/>
        <w:ind w:left="4" w:firstLine="1143"/>
        <w:spacing w:after="0" w:line="253" w:lineRule="auto"/>
        <w:tabs>
          <w:tab w:leader="none" w:pos="1400" w:val="left"/>
        </w:tabs>
        <w:numPr>
          <w:ilvl w:val="1"/>
          <w:numId w:val="2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promptly notify in writing each seller of such Registrable Securities (i) after it receives notice thereof, of the date and time when such Registration Statement and each post-effective amendment thereto has become effective or a prospectus or supplement to any prospectus relating to a Registration Statement has been filed and when any registration or qualification has become effective under a state securities or blue sky law or any exemption thereunder has been obtained, (ii) subject to the MNPI Provisions after receipt thereof, of any request by the Commission for the amendment or supplementing of such Registration Statement or prospectus or for additional information, and (iii) at any time when a prospectus relating thereto is required to be delivered under the Securities Act, of the happening of any event as a result of which the prospectus included in such Registration Statement contains an untrue statement of a material fact or omits any fact necessary to make the statements therein not misleading, and, at the request of any such seller, Pubco promptly shall prepare, file with the Commission and furnish to each such seller a reasonable number of copies of a supplement or amendment to such prospectus so that, as thereafter delivered to the purchasers of such Registrable Securities, such prospectus shall not contain an untrue statement of a material fact or omit to state any fact necessary to make the statements therein not misleading;</w:t>
      </w:r>
    </w:p>
    <w:p>
      <w:pPr>
        <w:spacing w:after="0" w:line="34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8195" cy="152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204" w:name="page205"/>
    <w:bookmarkEnd w:id="204"/>
    <w:p>
      <w:pPr>
        <w:jc w:val="both"/>
        <w:ind w:right="20" w:firstLine="1143"/>
        <w:spacing w:after="0" w:line="265" w:lineRule="auto"/>
        <w:tabs>
          <w:tab w:leader="none" w:pos="1386" w:val="left"/>
        </w:tabs>
        <w:numPr>
          <w:ilvl w:val="0"/>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cause all such Registrable Securities to be listed on each securities exchange on which similar securities issued by Pubco are then listed and, if similar securities are not so listed, to be listed on a securities exchange and, without limiting the generality of the foregoing, to arrange for at least two market makers to register as such with respect to such Registrable Securities with FINRA;</w:t>
      </w:r>
    </w:p>
    <w:p>
      <w:pPr>
        <w:spacing w:after="0" w:line="155"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39" w:val="left"/>
        </w:tabs>
        <w:numPr>
          <w:ilvl w:val="0"/>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applicable, promptly effect a filing with FINRA pursuant to FINRA Rule 5110 (or successor thereto) with respect to the public offering contemplated by resales of securities under the Resale Shelf Registration Statement (an “</w:t>
      </w:r>
      <w:r>
        <w:rPr>
          <w:rFonts w:ascii="Times New Roman" w:cs="Times New Roman" w:eastAsia="Times New Roman" w:hAnsi="Times New Roman"/>
          <w:sz w:val="16"/>
          <w:szCs w:val="16"/>
          <w:u w:val="single" w:color="auto"/>
          <w:color w:val="auto"/>
        </w:rPr>
        <w:t>Issuer Filing</w:t>
      </w:r>
      <w:r>
        <w:rPr>
          <w:rFonts w:ascii="Times New Roman" w:cs="Times New Roman" w:eastAsia="Times New Roman" w:hAnsi="Times New Roman"/>
          <w:sz w:val="16"/>
          <w:szCs w:val="16"/>
          <w:color w:val="auto"/>
        </w:rPr>
        <w:t>”), pay the filing fee required by such Issuer Filing and use its reasonable best efforts to pursue the Issuer Filing until FINRA issues a letter confirming that it does not object to the terms of the offering contemplated by the Resale Shelf Registration Statement.</w:t>
      </w:r>
    </w:p>
    <w:p>
      <w:pPr>
        <w:spacing w:after="0" w:line="155" w:lineRule="exact"/>
        <w:rPr>
          <w:rFonts w:ascii="Times New Roman" w:cs="Times New Roman" w:eastAsia="Times New Roman" w:hAnsi="Times New Roman"/>
          <w:sz w:val="16"/>
          <w:szCs w:val="16"/>
          <w:color w:val="auto"/>
        </w:rPr>
      </w:pPr>
    </w:p>
    <w:p>
      <w:pPr>
        <w:ind w:left="1340" w:hanging="197"/>
        <w:spacing w:after="0"/>
        <w:tabs>
          <w:tab w:leader="none" w:pos="1340" w:val="left"/>
        </w:tabs>
        <w:numPr>
          <w:ilvl w:val="0"/>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a transfer agent and registrar for all such Registrable Securities not later than the effective date of such Registration Statement;</w:t>
      </w:r>
    </w:p>
    <w:p>
      <w:pPr>
        <w:spacing w:after="0" w:line="198" w:lineRule="exact"/>
        <w:rPr>
          <w:rFonts w:ascii="Times New Roman" w:cs="Times New Roman" w:eastAsia="Times New Roman" w:hAnsi="Times New Roman"/>
          <w:sz w:val="16"/>
          <w:szCs w:val="16"/>
          <w:color w:val="auto"/>
        </w:rPr>
      </w:pPr>
    </w:p>
    <w:p>
      <w:pPr>
        <w:jc w:val="both"/>
        <w:ind w:firstLine="1143"/>
        <w:spacing w:after="0" w:line="265" w:lineRule="auto"/>
        <w:tabs>
          <w:tab w:leader="none" w:pos="1406" w:val="left"/>
        </w:tabs>
        <w:numPr>
          <w:ilvl w:val="0"/>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and perform such customary agreements (including underwriting agreements in customary form) and take all such other actions as the Applicable Approving Party or the underwriters, if any, reasonably request in order to expedite or facilitate the disposition of such Registrable Securities (including, without limitation, participating in such number of “road shows”, investor presentations and marketing events as the underwriters managing such offering may reasonably request);</w:t>
      </w:r>
    </w:p>
    <w:p>
      <w:pPr>
        <w:spacing w:after="0" w:line="155" w:lineRule="exact"/>
        <w:rPr>
          <w:rFonts w:ascii="Times New Roman" w:cs="Times New Roman" w:eastAsia="Times New Roman" w:hAnsi="Times New Roman"/>
          <w:sz w:val="16"/>
          <w:szCs w:val="16"/>
          <w:color w:val="auto"/>
        </w:rPr>
      </w:pPr>
    </w:p>
    <w:p>
      <w:pPr>
        <w:jc w:val="both"/>
        <w:ind w:firstLine="1143"/>
        <w:spacing w:after="0" w:line="254" w:lineRule="auto"/>
        <w:tabs>
          <w:tab w:leader="none" w:pos="1347" w:val="left"/>
        </w:tabs>
        <w:numPr>
          <w:ilvl w:val="0"/>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available for inspection by a representative of the Investors, other than the Majority Silver Rock Investors and Sponsors (such representative to be selected by the Majority Presto Investors), a representative of the Sponsors, a representative of the Silver Rock Investors, any underwriter participating in any disposition pursuant to such Registration Statement and any attorney, accountant or other agent retained by any such representative or underwriter, all financial and other records, pertinent corporate and business documents and properties of Pubco as shall be reasonably requested to enable them to exercise their due diligence responsibility, and cause Pubco’s officers, managers, directors, employees, agents, representatives and independent accountants to supply all information reasonably requested by any such representative, underwriter, attorney, accountant or agent in connection with such Registration Statement; provided, however, that any such representative or underwriter enters into a confidentiality agreement, in form and substance reasonably satisfactory to Pubco, prior to the release or disclosure of any such information;</w:t>
      </w:r>
    </w:p>
    <w:p>
      <w:pPr>
        <w:spacing w:after="0" w:line="166" w:lineRule="exact"/>
        <w:rPr>
          <w:rFonts w:ascii="Times New Roman" w:cs="Times New Roman" w:eastAsia="Times New Roman" w:hAnsi="Times New Roman"/>
          <w:sz w:val="16"/>
          <w:szCs w:val="16"/>
          <w:color w:val="auto"/>
        </w:rPr>
      </w:pPr>
    </w:p>
    <w:p>
      <w:pPr>
        <w:jc w:val="both"/>
        <w:ind w:firstLine="1143"/>
        <w:spacing w:after="0" w:line="259" w:lineRule="auto"/>
        <w:tabs>
          <w:tab w:leader="none" w:pos="1449" w:val="left"/>
        </w:tabs>
        <w:numPr>
          <w:ilvl w:val="0"/>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take all reasonable actions to ensure that any Free-Writing Prospectus utilized in connection with any Demand Registration (including any Shelf Registration) or Piggyback Registration hereunder complies in all material respects with the Securities Act, is filed in accordance with the Securities Act to the extent required thereby, is retained in accordance with the Securities Act to the extent required thereby and, when taken together with the related prospectus, shall not contain any untrue statement of a material fact or omit to state a material fact necessary to make the statements therein, in light of the circumstances under which they were made, not misleading;</w:t>
      </w:r>
    </w:p>
    <w:p>
      <w:pPr>
        <w:spacing w:after="0" w:line="161"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otherwise use its reasonable best efforts to comply with all applicable rules and regulations of the Commission;</w:t>
      </w:r>
    </w:p>
    <w:p>
      <w:pPr>
        <w:spacing w:after="0" w:line="198"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79" w:val="left"/>
        </w:tabs>
        <w:numPr>
          <w:ilvl w:val="0"/>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permit any holder of Registrable Securities who, in its good faith judgment (based on the advice of counsel), could reasonably be expected to be deemed to be an underwriter or a controlling Person of Pubco to participate in the preparation of such registration or comparable statement and to require the insertion therein of material furnished to Pubco in writing, which in the reasonable judgment of such holder and its counsel should be included;</w:t>
      </w:r>
    </w:p>
    <w:p>
      <w:pPr>
        <w:spacing w:after="0" w:line="155"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74" w:val="left"/>
        </w:tabs>
        <w:numPr>
          <w:ilvl w:val="0"/>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of the issuance of any stop order suspending the effectiveness of a Registration Statement, or of any order suspending or preventing the use of any related prospectus or suspending the qualification of any Common Stock included in such Registration Statement for sale in any jurisdiction, use its reasonable best efforts promptly to obtain the withdrawal of such order;</w:t>
      </w:r>
    </w:p>
    <w:p>
      <w:pPr>
        <w:spacing w:after="0" w:line="155" w:lineRule="exact"/>
        <w:rPr>
          <w:rFonts w:ascii="Times New Roman" w:cs="Times New Roman" w:eastAsia="Times New Roman" w:hAnsi="Times New Roman"/>
          <w:sz w:val="16"/>
          <w:szCs w:val="16"/>
          <w:color w:val="auto"/>
        </w:rPr>
      </w:pPr>
    </w:p>
    <w:p>
      <w:pPr>
        <w:ind w:firstLine="1143"/>
        <w:spacing w:after="0" w:line="280" w:lineRule="auto"/>
        <w:tabs>
          <w:tab w:leader="none" w:pos="1376" w:val="left"/>
        </w:tabs>
        <w:numPr>
          <w:ilvl w:val="0"/>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use its reasonable best efforts to cause such Registrable Securities covered by such Registration Statement to be registered with or approved by such other governmental agencies or authorities as may be necessary to enable the sellers thereof to consummate the disposition of such Registrable Securities;</w:t>
      </w:r>
    </w:p>
    <w:p>
      <w:pPr>
        <w:spacing w:after="0" w:line="144"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53" w:val="left"/>
        </w:tabs>
        <w:numPr>
          <w:ilvl w:val="0"/>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cooperate with the holders of Registrable Securities covered by the Registration Statement and the managing underwriter or agent, if any, to facilitate the timely preparation and delivery of certificates (not bearing any restrictive legends) representing securities to be sold under the Registration Statement and enable such securities to be in such denominations and registered in such names as the managing underwriter, or agent, if any, or such holders may request;</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05" w:name="page206"/>
    <w:bookmarkEnd w:id="205"/>
    <w:p>
      <w:pPr>
        <w:ind w:right="20" w:firstLine="1143"/>
        <w:spacing w:after="0" w:line="280" w:lineRule="auto"/>
        <w:tabs>
          <w:tab w:leader="none" w:pos="1355" w:val="left"/>
        </w:tabs>
        <w:numPr>
          <w:ilvl w:val="1"/>
          <w:numId w:val="2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cooperate with each holder of Registrable Securities covered by the Registration Statement and each underwriter or agent participating in the disposition of such Registrable Securities and their respective counsel in connection with any filings required to be made with FINRA;</w:t>
      </w:r>
    </w:p>
    <w:p>
      <w:pPr>
        <w:spacing w:after="0" w:line="144"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41" w:val="left"/>
        </w:tabs>
        <w:numPr>
          <w:ilvl w:val="1"/>
          <w:numId w:val="2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such registration includes an underwritten public offering, use its reasonable best efforts to obtain a cold comfort letter from Pubco’s independent public accountants and addressed to the underwriters, in customary form and covering such matters of the type customarily covered by cold comfort letters as the underwriters in such registration reasonably request;</w:t>
      </w:r>
    </w:p>
    <w:p>
      <w:pPr>
        <w:spacing w:after="0" w:line="155" w:lineRule="exact"/>
        <w:rPr>
          <w:rFonts w:ascii="Times New Roman" w:cs="Times New Roman" w:eastAsia="Times New Roman" w:hAnsi="Times New Roman"/>
          <w:sz w:val="16"/>
          <w:szCs w:val="16"/>
          <w:color w:val="auto"/>
        </w:rPr>
      </w:pPr>
    </w:p>
    <w:p>
      <w:pPr>
        <w:jc w:val="both"/>
        <w:ind w:firstLine="1143"/>
        <w:spacing w:after="0" w:line="259" w:lineRule="auto"/>
        <w:tabs>
          <w:tab w:leader="none" w:pos="1407" w:val="left"/>
        </w:tabs>
        <w:numPr>
          <w:ilvl w:val="1"/>
          <w:numId w:val="2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a legal opinion of Pubco’s outside counsel, dated the effective date of such Registration Statement (and, if such registration includes an underwritten Public Offering, dated the date of the closing under the underwriting agreement), with respect to the Registration Statement, each amendment and supplement thereto, the prospectus included therein (including the preliminary prospectus) and such other documents relating thereto in customary form and covering such matters of the type customarily covered by legal opinions of such nature, which opinion shall be addressed to the underwriters;</w:t>
      </w:r>
    </w:p>
    <w:p>
      <w:pPr>
        <w:spacing w:after="0" w:line="161" w:lineRule="exact"/>
        <w:rPr>
          <w:rFonts w:ascii="Times New Roman" w:cs="Times New Roman" w:eastAsia="Times New Roman" w:hAnsi="Times New Roman"/>
          <w:sz w:val="16"/>
          <w:szCs w:val="16"/>
          <w:color w:val="auto"/>
        </w:rPr>
      </w:pPr>
    </w:p>
    <w:p>
      <w:pPr>
        <w:ind w:firstLine="1143"/>
        <w:spacing w:after="0" w:line="280" w:lineRule="auto"/>
        <w:tabs>
          <w:tab w:leader="none" w:pos="1383" w:val="left"/>
        </w:tabs>
        <w:numPr>
          <w:ilvl w:val="1"/>
          <w:numId w:val="2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Pubco files an Automatic Shelf Registration Statement covering any Registrable Securities, use its reasonable best efforts to remain a WKSI (and not become an ineligible issuer (as defined in Rule 405)) during the period during which such Automatic Shelf Registration Statement is required to remain effective;</w:t>
      </w:r>
    </w:p>
    <w:p>
      <w:pPr>
        <w:spacing w:after="0" w:line="144" w:lineRule="exact"/>
        <w:rPr>
          <w:rFonts w:ascii="Times New Roman" w:cs="Times New Roman" w:eastAsia="Times New Roman" w:hAnsi="Times New Roman"/>
          <w:sz w:val="16"/>
          <w:szCs w:val="16"/>
          <w:color w:val="auto"/>
        </w:rPr>
      </w:pPr>
    </w:p>
    <w:p>
      <w:pPr>
        <w:ind w:firstLine="1143"/>
        <w:spacing w:after="0" w:line="280" w:lineRule="auto"/>
        <w:tabs>
          <w:tab w:leader="none" w:pos="1409" w:val="left"/>
        </w:tabs>
        <w:numPr>
          <w:ilvl w:val="1"/>
          <w:numId w:val="2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Pubco does not pay the filing fee covering the Registrable Securities at the time an Automatic Shelf Registration Statement is filed, pay such fee at such time or times as the Registrable Securities are to be sold;</w:t>
      </w:r>
    </w:p>
    <w:p>
      <w:pPr>
        <w:spacing w:after="0" w:line="144" w:lineRule="exact"/>
        <w:rPr>
          <w:rFonts w:ascii="Times New Roman" w:cs="Times New Roman" w:eastAsia="Times New Roman" w:hAnsi="Times New Roman"/>
          <w:sz w:val="16"/>
          <w:szCs w:val="16"/>
          <w:color w:val="auto"/>
        </w:rPr>
      </w:pPr>
    </w:p>
    <w:p>
      <w:pPr>
        <w:jc w:val="both"/>
        <w:ind w:right="20" w:firstLine="1143"/>
        <w:spacing w:after="0" w:line="257" w:lineRule="auto"/>
        <w:tabs>
          <w:tab w:leader="none" w:pos="1375" w:val="left"/>
        </w:tabs>
        <w:numPr>
          <w:ilvl w:val="1"/>
          <w:numId w:val="2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the terms of </w:t>
      </w:r>
      <w:r>
        <w:rPr>
          <w:rFonts w:ascii="Times New Roman" w:cs="Times New Roman" w:eastAsia="Times New Roman" w:hAnsi="Times New Roman"/>
          <w:sz w:val="16"/>
          <w:szCs w:val="16"/>
          <w:u w:val="single" w:color="auto"/>
          <w:color w:val="auto"/>
        </w:rPr>
        <w:t>Section 2(c)</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2(d)</w:t>
      </w:r>
      <w:r>
        <w:rPr>
          <w:rFonts w:ascii="Times New Roman" w:cs="Times New Roman" w:eastAsia="Times New Roman" w:hAnsi="Times New Roman"/>
          <w:sz w:val="16"/>
          <w:szCs w:val="16"/>
          <w:color w:val="auto"/>
        </w:rPr>
        <w:t>, if an Automatic Shelf Registration Statement has been outstanding for at least three years, at the end of the third year, refile a new Automatic Shelf Registration Statement covering the Registrable Securities, and, if at any time when Pubco is required to re-evaluate its WKSI status Pubco determines that it is not a WKSI, use its reasonable best efforts to refile the Registration Statement on Form S-3 and keep such Registration Statement effective (including by filing a new Resale Shelf Registration or Shelf Registration, if necessary) during the period throughout which such Registration Statement is required to be kept effective;</w:t>
      </w:r>
    </w:p>
    <w:p>
      <w:pPr>
        <w:spacing w:after="0" w:line="162" w:lineRule="exact"/>
        <w:rPr>
          <w:rFonts w:ascii="Times New Roman" w:cs="Times New Roman" w:eastAsia="Times New Roman" w:hAnsi="Times New Roman"/>
          <w:sz w:val="16"/>
          <w:szCs w:val="16"/>
          <w:color w:val="auto"/>
        </w:rPr>
      </w:pPr>
    </w:p>
    <w:p>
      <w:pPr>
        <w:jc w:val="both"/>
        <w:ind w:firstLine="1143"/>
        <w:spacing w:after="0" w:line="255" w:lineRule="auto"/>
        <w:tabs>
          <w:tab w:leader="none" w:pos="1384" w:val="left"/>
        </w:tabs>
        <w:numPr>
          <w:ilvl w:val="1"/>
          <w:numId w:val="2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cooperate with each Investor that holds Registrable Securities being offered and the managing underwriter or underwriters with respect to an applicable Registration Statement, if any, to facilitate the timely (i) preparation and delivery of certificates (not bearing any restrictive legends) representing Registrable Securities to be offered pursuant to such Registration Statement, and enable such certificates to be registered in such names and in such denominations or amounts, as the case may be, or (ii) crediting of the Registrable Securities to be offered pursuant to a Registration Statement to the applicable account (or accounts) with The Depository Trust Company (“DTC”) through its Deposit/Withdrawal At Custodian (“DWAC”) system, in any such case as such Investor or the managing underwriter or underwriters, if any, may reasonably request; and</w:t>
      </w:r>
    </w:p>
    <w:p>
      <w:pPr>
        <w:spacing w:after="0" w:line="165" w:lineRule="exact"/>
        <w:rPr>
          <w:rFonts w:ascii="Times New Roman" w:cs="Times New Roman" w:eastAsia="Times New Roman" w:hAnsi="Times New Roman"/>
          <w:sz w:val="16"/>
          <w:szCs w:val="16"/>
          <w:color w:val="auto"/>
        </w:rPr>
      </w:pPr>
    </w:p>
    <w:p>
      <w:pPr>
        <w:jc w:val="both"/>
        <w:ind w:right="20" w:firstLine="1143"/>
        <w:spacing w:after="0" w:line="255" w:lineRule="auto"/>
        <w:tabs>
          <w:tab w:leader="none" w:pos="1371" w:val="left"/>
        </w:tabs>
        <w:numPr>
          <w:ilvl w:val="1"/>
          <w:numId w:val="2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so long as this Agreement remains effective, (a) cause the Common Stock to be eligible for clearing through DTC, through its DWAC system; (b) be eligible and participating in the Direct Registration System (DRS) of DTC with respect to the Common Stock; (c) ensure that the transfer agent for the Common Stock is a participant in, and that the Common Stock is eligible for transfer pursuant to, DTC’s Fast Automated Securities Transfer Program (or successor thereto); and (d) use its reasonable best efforts to cause the Common Stock to not at any time be subject to any DTC “chill,” “freeze” or similar restriction with respect to any DTC services, including the clearing of shares of Common Stock through DTC, and, in the event the Common Stock becomes subject to any DTC “chill,” “freeze” or similar restriction with respect to any DTC services, use its reasonable best efforts to cause any such “chill,” “freeze” or similar restriction to be removed at the earliest possible time.</w:t>
      </w:r>
    </w:p>
    <w:p>
      <w:pPr>
        <w:spacing w:after="0" w:line="165" w:lineRule="exact"/>
        <w:rPr>
          <w:rFonts w:ascii="Times New Roman" w:cs="Times New Roman" w:eastAsia="Times New Roman" w:hAnsi="Times New Roman"/>
          <w:sz w:val="16"/>
          <w:szCs w:val="16"/>
          <w:color w:val="auto"/>
        </w:rPr>
      </w:pPr>
    </w:p>
    <w:p>
      <w:pPr>
        <w:jc w:val="both"/>
        <w:ind w:firstLine="378"/>
        <w:spacing w:after="0" w:line="252" w:lineRule="auto"/>
        <w:tabs>
          <w:tab w:leader="none" w:pos="566"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 of Rights</w:t>
      </w:r>
      <w:r>
        <w:rPr>
          <w:rFonts w:ascii="Times New Roman" w:cs="Times New Roman" w:eastAsia="Times New Roman" w:hAnsi="Times New Roman"/>
          <w:sz w:val="16"/>
          <w:szCs w:val="16"/>
          <w:color w:val="auto"/>
        </w:rPr>
        <w:t xml:space="preserve">. Notwithstanding anything contained herein to the contrary, the right of any Investor to include Registrable Securities in any Demand Registration or any Piggyback Registration shall terminate on such date that (i) such Investor (together with its affiliates) beneficially owns less than 1% of the outstanding Common Stock, (ii) has held the securities for one year and (iii) may sell all of the Registrable Securities owned by such Investor pursuant to Rule 144 of the Securities Act without any restrictions as to volume or the manner of sale or otherwise and without the requirement for Pubco to be in compliance with the current public information required under Rule 144(c)(i) or Rule 144(i)(2); provided, however, that with respect to any Investor whose rights have terminated pursuant to this </w:t>
      </w:r>
      <w:r>
        <w:rPr>
          <w:rFonts w:ascii="Times New Roman" w:cs="Times New Roman" w:eastAsia="Times New Roman" w:hAnsi="Times New Roman"/>
          <w:sz w:val="16"/>
          <w:szCs w:val="16"/>
          <w:u w:val="single" w:color="auto"/>
          <w:color w:val="auto"/>
        </w:rPr>
        <w:t>Section 6</w:t>
      </w:r>
      <w:r>
        <w:rPr>
          <w:rFonts w:ascii="Times New Roman" w:cs="Times New Roman" w:eastAsia="Times New Roman" w:hAnsi="Times New Roman"/>
          <w:sz w:val="16"/>
          <w:szCs w:val="16"/>
          <w:color w:val="auto"/>
        </w:rPr>
        <w:t>, if following such a termination, such Investor loses the ability to sell all of its Registrable Securities pursuant to Rule 144 of the Securities Act without any restrictions as to volume or the manner of sale or otherwise and without the requirement for the Company to be in compliance with the current public information required under Rule 144(c)(i) or Rule 144(i)(2) due to a change in interpretive guidance by the Commission or otherwise, then such Investor’s right to include Registrable Securities in any Demand Registration or any Piggyback Registration shall be reinstated until such time as the Investor is once again able to sell all of its Registrable Securities pursuant to Rule 144 of the Securities Act without any restrictions as to volume or the manner of sale or otherwise and without the requirement for the Company to be in compliance with the current public information required under Rule 144(c)(i) or Rule 144(i)(2).</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06" w:name="page207"/>
    <w:bookmarkEnd w:id="206"/>
    <w:p>
      <w:pPr>
        <w:ind w:left="540" w:hanging="162"/>
        <w:spacing w:after="0"/>
        <w:tabs>
          <w:tab w:leader="none" w:pos="540" w:val="left"/>
        </w:tabs>
        <w:numPr>
          <w:ilvl w:val="0"/>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Registration Expenses</w:t>
      </w:r>
      <w:r>
        <w:rPr>
          <w:rFonts w:ascii="Times New Roman" w:cs="Times New Roman" w:eastAsia="Times New Roman" w:hAnsi="Times New Roman"/>
          <w:sz w:val="16"/>
          <w:szCs w:val="16"/>
          <w:color w:val="auto"/>
        </w:rPr>
        <w:t>.</w:t>
      </w:r>
    </w:p>
    <w:p>
      <w:pPr>
        <w:spacing w:after="0" w:line="198" w:lineRule="exact"/>
        <w:rPr>
          <w:rFonts w:ascii="Times New Roman" w:cs="Times New Roman" w:eastAsia="Times New Roman" w:hAnsi="Times New Roman"/>
          <w:sz w:val="16"/>
          <w:szCs w:val="16"/>
          <w:color w:val="auto"/>
        </w:rPr>
      </w:pPr>
    </w:p>
    <w:p>
      <w:pPr>
        <w:jc w:val="both"/>
        <w:ind w:firstLine="1143"/>
        <w:spacing w:after="0" w:line="253" w:lineRule="auto"/>
        <w:tabs>
          <w:tab w:leader="none" w:pos="1367" w:val="left"/>
        </w:tabs>
        <w:numPr>
          <w:ilvl w:val="1"/>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expenses incident to Pubco’s performance of or compliance with this Agreement, including, without limitation, all registration, qualification and filing fees, listing fees, fees and expenses of compliance with securities or blue sky laws, stock exchange rules and filings, printing expenses, messenger and delivery expenses, fees and disbursements of custodians, and fees and disbursements of counsel for Pubco and all independent certified public accountants, underwriters (excluding underwriting discounts and commissions) and other Persons retained by Pubco (all such expenses being herein called “</w:t>
      </w:r>
      <w:r>
        <w:rPr>
          <w:rFonts w:ascii="Times New Roman" w:cs="Times New Roman" w:eastAsia="Times New Roman" w:hAnsi="Times New Roman"/>
          <w:sz w:val="16"/>
          <w:szCs w:val="16"/>
          <w:u w:val="single" w:color="auto"/>
          <w:color w:val="auto"/>
        </w:rPr>
        <w:t>Registration Expenses</w:t>
      </w:r>
      <w:r>
        <w:rPr>
          <w:rFonts w:ascii="Times New Roman" w:cs="Times New Roman" w:eastAsia="Times New Roman" w:hAnsi="Times New Roman"/>
          <w:sz w:val="16"/>
          <w:szCs w:val="16"/>
          <w:color w:val="auto"/>
        </w:rPr>
        <w:t>”), shall be borne by Pubco as provided in this Agreement and, for the avoidance of doubt, Pubco also shall pay all of its internal expenses (including, without limitation, all salaries and expenses of its officers and employees performing legal or accounting duties), the expense of any annual audit or quarterly review, the expense of any liability insurance and the expenses and fees for listing the securities to be registered on each securities exchange on which similar securities issued by Pubco are then listed. Each Person that sells securities hereunder shall bear and pay all underwriting discounts and commissions, underwriter marketing costs, brokerage fees and transfer taxes applicable to the securities sold for such Person’s account and all reasonable fees and expenses of any legal counsel representing any such Person.</w:t>
      </w:r>
    </w:p>
    <w:p>
      <w:pPr>
        <w:spacing w:after="0" w:line="166" w:lineRule="exact"/>
        <w:rPr>
          <w:rFonts w:ascii="Times New Roman" w:cs="Times New Roman" w:eastAsia="Times New Roman" w:hAnsi="Times New Roman"/>
          <w:sz w:val="16"/>
          <w:szCs w:val="16"/>
          <w:color w:val="auto"/>
        </w:rPr>
      </w:pPr>
    </w:p>
    <w:p>
      <w:pPr>
        <w:ind w:right="20" w:firstLine="1143"/>
        <w:spacing w:after="0" w:line="280" w:lineRule="auto"/>
        <w:tabs>
          <w:tab w:leader="none" w:pos="1378" w:val="left"/>
        </w:tabs>
        <w:numPr>
          <w:ilvl w:val="1"/>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Pubco shall reimburse the holders of Registrable Securities included in such registration for the reasonable fees and disbursements of one counsel chosen by the Applicable Approving Party in connection with any underwritten Demand Registration.</w:t>
      </w:r>
    </w:p>
    <w:p>
      <w:pPr>
        <w:spacing w:after="0" w:line="144" w:lineRule="exact"/>
        <w:rPr>
          <w:rFonts w:ascii="Times New Roman" w:cs="Times New Roman" w:eastAsia="Times New Roman" w:hAnsi="Times New Roman"/>
          <w:sz w:val="16"/>
          <w:szCs w:val="16"/>
          <w:color w:val="auto"/>
        </w:rPr>
      </w:pPr>
    </w:p>
    <w:p>
      <w:pPr>
        <w:ind w:left="540" w:hanging="162"/>
        <w:spacing w:after="0"/>
        <w:tabs>
          <w:tab w:leader="none" w:pos="540" w:val="left"/>
        </w:tabs>
        <w:numPr>
          <w:ilvl w:val="0"/>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Indemnification</w:t>
      </w:r>
      <w:r>
        <w:rPr>
          <w:rFonts w:ascii="Times New Roman" w:cs="Times New Roman" w:eastAsia="Times New Roman" w:hAnsi="Times New Roman"/>
          <w:sz w:val="16"/>
          <w:szCs w:val="16"/>
          <w:color w:val="auto"/>
        </w:rPr>
        <w:t>.</w:t>
      </w:r>
    </w:p>
    <w:p>
      <w:pPr>
        <w:spacing w:after="0" w:line="198" w:lineRule="exact"/>
        <w:rPr>
          <w:rFonts w:ascii="Times New Roman" w:cs="Times New Roman" w:eastAsia="Times New Roman" w:hAnsi="Times New Roman"/>
          <w:sz w:val="16"/>
          <w:szCs w:val="16"/>
          <w:color w:val="auto"/>
        </w:rPr>
      </w:pPr>
    </w:p>
    <w:p>
      <w:pPr>
        <w:jc w:val="both"/>
        <w:ind w:firstLine="1143"/>
        <w:spacing w:after="0" w:line="251" w:lineRule="auto"/>
        <w:tabs>
          <w:tab w:leader="none" w:pos="1378" w:val="left"/>
        </w:tabs>
        <w:numPr>
          <w:ilvl w:val="1"/>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Pubco agrees to (i) indemnify, defend and hold harmless, to the fullest extent permitted by law, each Investor, each Person who controls such Investor (within the meaning of the Securities Act or the Exchange Act) each Investor’s and control Person’s respective officers, directors, members, partners, managers, agents, affiliates and employees from and against all losses, claims, actions, damages, liabilities and expenses (“</w:t>
      </w:r>
      <w:r>
        <w:rPr>
          <w:rFonts w:ascii="Times New Roman" w:cs="Times New Roman" w:eastAsia="Times New Roman" w:hAnsi="Times New Roman"/>
          <w:sz w:val="16"/>
          <w:szCs w:val="16"/>
          <w:u w:val="single" w:color="auto"/>
          <w:color w:val="auto"/>
        </w:rPr>
        <w:t>Losses</w:t>
      </w:r>
      <w:r>
        <w:rPr>
          <w:rFonts w:ascii="Times New Roman" w:cs="Times New Roman" w:eastAsia="Times New Roman" w:hAnsi="Times New Roman"/>
          <w:sz w:val="16"/>
          <w:szCs w:val="16"/>
          <w:color w:val="auto"/>
        </w:rPr>
        <w:t xml:space="preserve">”) caused by any untrue or alleged untrue statement of material fact contained in any Registration Statement, prospectus, preliminary prospectus, free writing prospectus or any amendment thereof or supplement thereto or any omission or alleged omission of a material fact required to be stated therein or necessary to make the statements therein not misleading (in the case of a prospectus, in light of the circumstances under which the statements therein were made), and (ii) pay to each Investor and their respective officers, directors, members, partners, managers, agents, affiliates and employees and each Person who controls such Investor (within the meaning of the Securities Act or the Exchange Act), as incurred, any legal and any other expenses reasonably incurred in connection with investigating, preparing or defending any such claim, loss, damage, liability or action, except in each case of (i) or (ii) insofar as the same are caused by or contained in any information furnished in writing to Pubco or any managing underwriter by or on behalf of such Investor expressly for use therein; provided, however, that the indemnity agreement contained in this </w:t>
      </w:r>
      <w:r>
        <w:rPr>
          <w:rFonts w:ascii="Times New Roman" w:cs="Times New Roman" w:eastAsia="Times New Roman" w:hAnsi="Times New Roman"/>
          <w:sz w:val="16"/>
          <w:szCs w:val="16"/>
          <w:u w:val="single" w:color="auto"/>
          <w:color w:val="auto"/>
        </w:rPr>
        <w:t>Section 8</w:t>
      </w:r>
      <w:r>
        <w:rPr>
          <w:rFonts w:ascii="Times New Roman" w:cs="Times New Roman" w:eastAsia="Times New Roman" w:hAnsi="Times New Roman"/>
          <w:sz w:val="16"/>
          <w:szCs w:val="16"/>
          <w:color w:val="auto"/>
        </w:rPr>
        <w:t xml:space="preserve"> shall not apply to amounts paid in settlement of any such claim, loss, damage, liability or action if such settlement is effected without the consent of Pubco (which consent shall not be unreasonably withheld, conditioned or delayed), nor shall Pubco be liable in any such case for any such claim, loss, damage, liability or action to the extent that it arises out of or is based upon an untrue or alleged untrue statement of any material fact contained in the Registration Statement, prospectus, preliminary prospectus, free writing prospectus or any amendment thereof or supplement thereto or omission or alleged omission to state therein a material fact required to be stated therein or necessary to make the statements therein not misleading, in each case to the extent that such untrue statement or alleged untrue statement or omission or alleged omission was made in the Registration Statement, prospectus, preliminary prospectus, free writing prospectus or any amendment thereof or supplement thereto, in reliance upon and in conformity with written information furnished by or on behalf of such Investor expressly for use in connection with such Registration Statement or to the extent that such Loss results from an Investor’s initiation of a transaction pursuant to a Registration Statement during a Suspension Event noticed to such Investor by Pubco in accordance with Section 2(f)(ii) hereof. In connection with an underwritten offering, Pubco shall indemnify any underwriters or deemed underwriters, their officers and directors and each Person who controls such underwriters (within the meaning of the Securities Act or the Exchange Act) to the same extent as provided above with respect to the indemnification of the holders of Registrable Securities.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07" w:name="page208"/>
    <w:bookmarkEnd w:id="207"/>
    <w:p>
      <w:pPr>
        <w:jc w:val="both"/>
        <w:ind w:firstLine="1143"/>
        <w:spacing w:after="0" w:line="252" w:lineRule="auto"/>
        <w:tabs>
          <w:tab w:leader="none" w:pos="1391" w:val="left"/>
        </w:tabs>
        <w:numPr>
          <w:ilvl w:val="0"/>
          <w:numId w:val="2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any Registration Statement in which a holder of Registrable Securities is participating, each such holder shall furnish to Pubco in writing such information relating to such holder as Pubco reasonably requests for use in connection with any such Registration Statement or prospectus and, to the extent permitted by law, shall indemnify Pubco, its officers, directors, employees, agents and representatives and each Person who controls Pubco (within the meaning of the Securities Act) against any losses, claims, damages, liabilities and expenses resulting from any untrue or alleged untrue statement of material fact contained in the Registration Statement, prospectus or preliminary prospectus or any amendment thereof or supplement thereto or any omission or alleged omission of a material fact required to be stated therein or necessary to make the statements therein not misleading, but only to the extent that such untrue or alleged untrue statement or omission is contained in any information so furnished in writing by or on behalf of such holder or to the extent that such Loss results from an Investor’s initiation of a transaction pursuant to a Registration Statement during a Suspension Event noticed to such Investor by Pubco in accordance with Section 2(f)(ii) hereof; provided that the obligation to indemnify shall be individual, not joint and several, for each holder and shall be limited to the net amount of proceeds actually received by such holder from the sale of Registrable Securities pursuant to such Registration Statement.</w:t>
      </w:r>
    </w:p>
    <w:p>
      <w:pPr>
        <w:spacing w:after="0" w:line="171" w:lineRule="exact"/>
        <w:rPr>
          <w:rFonts w:ascii="Times New Roman" w:cs="Times New Roman" w:eastAsia="Times New Roman" w:hAnsi="Times New Roman"/>
          <w:sz w:val="16"/>
          <w:szCs w:val="16"/>
          <w:color w:val="auto"/>
        </w:rPr>
      </w:pPr>
    </w:p>
    <w:p>
      <w:pPr>
        <w:jc w:val="both"/>
        <w:ind w:firstLine="1143"/>
        <w:spacing w:after="0" w:line="251" w:lineRule="auto"/>
        <w:tabs>
          <w:tab w:leader="none" w:pos="1366" w:val="left"/>
        </w:tabs>
        <w:numPr>
          <w:ilvl w:val="0"/>
          <w:numId w:val="2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Person entitled to indemnification hereunder shall (i) give prompt written notice to the indemnifying party of any claim with respect to which it seeks indemnification (provided that the failure to give prompt notice shall not impair any Person’s right to indemnification hereunder to the extent such failure has not materially prejudiced the indemnifying party in defending such claim)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conditioned or delayed). An indemnifying party who is not entitled to, or elects not to, assume the defense of a claim shall not be obligated to pay the fees and expenses of more than one counsel (as well as one local counsel for each applicable jurisdiction) for all parties indemnified by such indemnifying party with respect to such claim, unless in the reasonable judgment of any indemnified party a conflict of interest may exist between such indemnified party and any other of such indemnified parties with respect to such claim. In such instance, the conflicted indemnified parties shall have a right to retain one separate counsel, chosen by the holders of a majority of the Registrable Securities included in the registration, at the expense of the indemnifying party. Notwithstanding anything to the contrary contained herein, Pubco shall not, without the prior written consent of the Person entitled to indemnification, consent to entry of any judgment or enter into any settlement or other compromise with respect to any claim in respect of which indemnification or contribution may be or has been sought hereunder (whether or not any such indemnified Person is an actual or potential party to such action or claim) which does not include as an unconditional term thereof the giving by the claimant or plaintiff to the indemnified Persons of a full release from all liability with respect to such claim or which includes any admission as to fault or culpability or failure to act on the part of any indemnified Person.</w:t>
      </w:r>
    </w:p>
    <w:p>
      <w:pPr>
        <w:spacing w:after="0" w:line="174" w:lineRule="exact"/>
        <w:rPr>
          <w:rFonts w:ascii="Times New Roman" w:cs="Times New Roman" w:eastAsia="Times New Roman" w:hAnsi="Times New Roman"/>
          <w:sz w:val="16"/>
          <w:szCs w:val="16"/>
          <w:color w:val="auto"/>
        </w:rPr>
      </w:pPr>
    </w:p>
    <w:p>
      <w:pPr>
        <w:jc w:val="both"/>
        <w:ind w:firstLine="1143"/>
        <w:spacing w:after="0" w:line="251" w:lineRule="auto"/>
        <w:tabs>
          <w:tab w:leader="none" w:pos="1381" w:val="left"/>
        </w:tabs>
        <w:numPr>
          <w:ilvl w:val="0"/>
          <w:numId w:val="2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party hereto agrees that, if for any reason the indemnification provisions contemplated by </w:t>
      </w:r>
      <w:r>
        <w:rPr>
          <w:rFonts w:ascii="Times New Roman" w:cs="Times New Roman" w:eastAsia="Times New Roman" w:hAnsi="Times New Roman"/>
          <w:sz w:val="16"/>
          <w:szCs w:val="16"/>
          <w:u w:val="single" w:color="auto"/>
          <w:color w:val="auto"/>
        </w:rPr>
        <w:t>Sections 8(a)</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8(b)</w:t>
      </w:r>
      <w:r>
        <w:rPr>
          <w:rFonts w:ascii="Times New Roman" w:cs="Times New Roman" w:eastAsia="Times New Roman" w:hAnsi="Times New Roman"/>
          <w:sz w:val="16"/>
          <w:szCs w:val="16"/>
          <w:color w:val="auto"/>
        </w:rPr>
        <w:t xml:space="preserve"> are unavailable to or insufficient to hold harmless an indemnified party in respect of any losses, claims, damages, liabilities or expenses (or actions in respect thereof) referred to therein, then each indemnifying party, in lieu of indemnifying such indemnified party, shall contribute to the amount paid or payable by such indemnified party as a result of such losses, claims, damages, liabilities or expenses (or actions in respect thereof) in such proportion as is appropriate to reflect the relative fault of the indemnifying party and the indemnified party in connection with the actions which resulted in such losses, claims, damages, liabilities or expenses,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to state a material fact, relates to information supplied by or on behalf of such indemnifying party or indemnified party, and the parties’ relative intent, knowledge, access to information and opportunity to correct or prevent such statement or omission. The parties hereto agree that it would not be just or equitable if contribution pursuant to this </w:t>
      </w:r>
      <w:r>
        <w:rPr>
          <w:rFonts w:ascii="Times New Roman" w:cs="Times New Roman" w:eastAsia="Times New Roman" w:hAnsi="Times New Roman"/>
          <w:sz w:val="16"/>
          <w:szCs w:val="16"/>
          <w:u w:val="single" w:color="auto"/>
          <w:color w:val="auto"/>
        </w:rPr>
        <w:t>Section 8(d)</w:t>
      </w:r>
      <w:r>
        <w:rPr>
          <w:rFonts w:ascii="Times New Roman" w:cs="Times New Roman" w:eastAsia="Times New Roman" w:hAnsi="Times New Roman"/>
          <w:sz w:val="16"/>
          <w:szCs w:val="16"/>
          <w:color w:val="auto"/>
        </w:rPr>
        <w:t xml:space="preserve"> were determined by pro rata allocation (even if the holders or any underwriters or all of them were treated as one entity for such purpose) or by any other method of allocation which does not take account of the equitable considerations referred to in this </w:t>
      </w:r>
      <w:r>
        <w:rPr>
          <w:rFonts w:ascii="Times New Roman" w:cs="Times New Roman" w:eastAsia="Times New Roman" w:hAnsi="Times New Roman"/>
          <w:sz w:val="16"/>
          <w:szCs w:val="16"/>
          <w:u w:val="single" w:color="auto"/>
          <w:color w:val="auto"/>
        </w:rPr>
        <w:t>Section 8(d)</w:t>
      </w:r>
      <w:r>
        <w:rPr>
          <w:rFonts w:ascii="Times New Roman" w:cs="Times New Roman" w:eastAsia="Times New Roman" w:hAnsi="Times New Roman"/>
          <w:sz w:val="16"/>
          <w:szCs w:val="16"/>
          <w:color w:val="auto"/>
        </w:rPr>
        <w:t xml:space="preserve">. The amount paid or payable by an indemnified party as a result of the losses, claims, damages, liabilities or expenses (or actions in respect thereof) referred to above shall be deemed to include any legal or other fees or expenses reasonably incurred by such indemnified party in connection with investigating or, except as provided in </w:t>
      </w:r>
      <w:r>
        <w:rPr>
          <w:rFonts w:ascii="Times New Roman" w:cs="Times New Roman" w:eastAsia="Times New Roman" w:hAnsi="Times New Roman"/>
          <w:sz w:val="16"/>
          <w:szCs w:val="16"/>
          <w:u w:val="single" w:color="auto"/>
          <w:color w:val="auto"/>
        </w:rPr>
        <w:t>Section 8(c)</w:t>
      </w:r>
      <w:r>
        <w:rPr>
          <w:rFonts w:ascii="Times New Roman" w:cs="Times New Roman" w:eastAsia="Times New Roman" w:hAnsi="Times New Roman"/>
          <w:sz w:val="16"/>
          <w:szCs w:val="16"/>
          <w:color w:val="auto"/>
        </w:rPr>
        <w:t xml:space="preserve">, defending any such action or claim. No Person guilty of fraudulent misrepresentation (within the meaning of Section 11(f) of the Securities Act) shall be entitled to contribution from any Person who was not guilty of such fraudulent misrepresentation. The sellers’ obligations in this </w:t>
      </w:r>
      <w:r>
        <w:rPr>
          <w:rFonts w:ascii="Times New Roman" w:cs="Times New Roman" w:eastAsia="Times New Roman" w:hAnsi="Times New Roman"/>
          <w:sz w:val="16"/>
          <w:szCs w:val="16"/>
          <w:u w:val="single" w:color="auto"/>
          <w:color w:val="auto"/>
        </w:rPr>
        <w:t>Section 8(d)</w:t>
      </w:r>
      <w:r>
        <w:rPr>
          <w:rFonts w:ascii="Times New Roman" w:cs="Times New Roman" w:eastAsia="Times New Roman" w:hAnsi="Times New Roman"/>
          <w:sz w:val="16"/>
          <w:szCs w:val="16"/>
          <w:color w:val="auto"/>
        </w:rPr>
        <w:t xml:space="preserve"> to contribute shall be several in proportion to the amount of securities registered by them and not joint and shall be limited to an amount equal to the net proceeds actually received by such seller from the sale of Registrable Securities effected pursuant to such registration (less the aggregate amount of any damages or other amounts such Investor has otherwise been required to pay (pursuant to </w:t>
      </w:r>
      <w:r>
        <w:rPr>
          <w:rFonts w:ascii="Times New Roman" w:cs="Times New Roman" w:eastAsia="Times New Roman" w:hAnsi="Times New Roman"/>
          <w:sz w:val="16"/>
          <w:szCs w:val="16"/>
          <w:u w:val="single" w:color="auto"/>
          <w:color w:val="auto"/>
        </w:rPr>
        <w:t>Section 8(b)</w:t>
      </w:r>
      <w:r>
        <w:rPr>
          <w:rFonts w:ascii="Times New Roman" w:cs="Times New Roman" w:eastAsia="Times New Roman" w:hAnsi="Times New Roman"/>
          <w:sz w:val="16"/>
          <w:szCs w:val="16"/>
          <w:color w:val="auto"/>
        </w:rPr>
        <w:t xml:space="preserve"> or otherwise) as a result of any untrue statements, alleged untrue statements, omissions or alleged omissions in connection with such registration).</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08" w:name="page209"/>
    <w:bookmarkEnd w:id="208"/>
    <w:p>
      <w:pPr>
        <w:jc w:val="both"/>
        <w:ind w:right="20" w:firstLine="1143"/>
        <w:spacing w:after="0" w:line="265" w:lineRule="auto"/>
        <w:tabs>
          <w:tab w:leader="none" w:pos="1365" w:val="left"/>
        </w:tabs>
        <w:numPr>
          <w:ilvl w:val="1"/>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indemnification and contribution provided for under this Agreement shall remain in full force and effect regardless of any investigation made by or on behalf of the indemnified party or any officer, director, manager, agent, representative or controlling Person of such indemnified party and shall survive the transfer of Registrable Securities and the termination or expiration of this Agreement.</w:t>
      </w:r>
    </w:p>
    <w:p>
      <w:pPr>
        <w:spacing w:after="0" w:line="155" w:lineRule="exact"/>
        <w:rPr>
          <w:rFonts w:ascii="Times New Roman" w:cs="Times New Roman" w:eastAsia="Times New Roman" w:hAnsi="Times New Roman"/>
          <w:sz w:val="16"/>
          <w:szCs w:val="16"/>
          <w:color w:val="auto"/>
        </w:rPr>
      </w:pPr>
    </w:p>
    <w:p>
      <w:pPr>
        <w:jc w:val="both"/>
        <w:ind w:firstLine="378"/>
        <w:spacing w:after="0" w:line="252" w:lineRule="auto"/>
        <w:tabs>
          <w:tab w:leader="none" w:pos="542"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Participation in Underwritten Registrations</w:t>
      </w:r>
      <w:r>
        <w:rPr>
          <w:rFonts w:ascii="Times New Roman" w:cs="Times New Roman" w:eastAsia="Times New Roman" w:hAnsi="Times New Roman"/>
          <w:sz w:val="16"/>
          <w:szCs w:val="16"/>
          <w:color w:val="auto"/>
        </w:rPr>
        <w:t xml:space="preserve">. No Person may participate in any registration hereunder which is underwritten unless such Person (a) agrees to sell such Person’s securities on the basis provided in any underwriting arrangements approved by the Person or Persons entitled hereunder to approve such arrangements (including, without limitation, pursuant to any over-allotment or “green shoe” option requested by the underwriters; provided that no holder of Registrable Securities shall be required to sell more than the number of Registrable Securities such holder has requested to include) and (b) completes and executes all questionnaires, powers of attorney, custody agreements, stock powers, indemnities, underwriting agreements and other documents required under the terms of such underwriting arrangements; provided that no holder of Registrable Securities included in any underwritten registration shall be required to make any representations or warranties to Pubco or the underwriters (other than representations and warranties regarding such holder, such holder’s title to the securities, such Person’s authority to sell such securities and such holder’s intended method of distribution) or to undertake any indemnification obligations to Pubco or the underwriters with respect thereto that are materially more burdensome than those provided in </w:t>
      </w:r>
      <w:r>
        <w:rPr>
          <w:rFonts w:ascii="Times New Roman" w:cs="Times New Roman" w:eastAsia="Times New Roman" w:hAnsi="Times New Roman"/>
          <w:sz w:val="16"/>
          <w:szCs w:val="16"/>
          <w:u w:val="single" w:color="auto"/>
          <w:color w:val="auto"/>
        </w:rPr>
        <w:t>Section 8</w:t>
      </w:r>
      <w:r>
        <w:rPr>
          <w:rFonts w:ascii="Times New Roman" w:cs="Times New Roman" w:eastAsia="Times New Roman" w:hAnsi="Times New Roman"/>
          <w:sz w:val="16"/>
          <w:szCs w:val="16"/>
          <w:color w:val="auto"/>
        </w:rPr>
        <w:t xml:space="preserve">. Each holder of Registrable Securities shall execute and deliver such other agreements as may be reasonably requested by Pubco and the lead managing underwriter(s) that are consistent with such holder’s obligations under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5</w:t>
      </w:r>
      <w:r>
        <w:rPr>
          <w:rFonts w:ascii="Times New Roman" w:cs="Times New Roman" w:eastAsia="Times New Roman" w:hAnsi="Times New Roman"/>
          <w:sz w:val="16"/>
          <w:szCs w:val="16"/>
          <w:color w:val="auto"/>
        </w:rPr>
        <w:t xml:space="preserve"> and this </w:t>
      </w:r>
      <w:r>
        <w:rPr>
          <w:rFonts w:ascii="Times New Roman" w:cs="Times New Roman" w:eastAsia="Times New Roman" w:hAnsi="Times New Roman"/>
          <w:sz w:val="16"/>
          <w:szCs w:val="16"/>
          <w:u w:val="single" w:color="auto"/>
          <w:color w:val="auto"/>
        </w:rPr>
        <w:t>Section 9</w:t>
      </w:r>
      <w:r>
        <w:rPr>
          <w:rFonts w:ascii="Times New Roman" w:cs="Times New Roman" w:eastAsia="Times New Roman" w:hAnsi="Times New Roman"/>
          <w:sz w:val="16"/>
          <w:szCs w:val="16"/>
          <w:color w:val="auto"/>
        </w:rPr>
        <w:t xml:space="preserve"> or that are necessary to give further effect thereto, and Pubco shall execute and deliver such other agreements as may be reasonably requested by the lead managing underwriter(s) (if applicable) in order to effect any registration required hereunder. To the extent that any such agreement is entered into pursuant to, and consistent with,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xml:space="preserve"> and this </w:t>
      </w:r>
      <w:r>
        <w:rPr>
          <w:rFonts w:ascii="Times New Roman" w:cs="Times New Roman" w:eastAsia="Times New Roman" w:hAnsi="Times New Roman"/>
          <w:sz w:val="16"/>
          <w:szCs w:val="16"/>
          <w:u w:val="single" w:color="auto"/>
          <w:color w:val="auto"/>
        </w:rPr>
        <w:t>Section 9</w:t>
      </w:r>
      <w:r>
        <w:rPr>
          <w:rFonts w:ascii="Times New Roman" w:cs="Times New Roman" w:eastAsia="Times New Roman" w:hAnsi="Times New Roman"/>
          <w:sz w:val="16"/>
          <w:szCs w:val="16"/>
          <w:color w:val="auto"/>
        </w:rPr>
        <w:t xml:space="preserve">, the respective rights and obligations created under such agreement shall supersede the respective rights and obligations of the holders, Pubco and the underwriters created pursuant to this </w:t>
      </w:r>
      <w:r>
        <w:rPr>
          <w:rFonts w:ascii="Times New Roman" w:cs="Times New Roman" w:eastAsia="Times New Roman" w:hAnsi="Times New Roman"/>
          <w:sz w:val="16"/>
          <w:szCs w:val="16"/>
          <w:u w:val="single" w:color="auto"/>
          <w:color w:val="auto"/>
        </w:rPr>
        <w:t>Section 9</w:t>
      </w:r>
      <w:r>
        <w:rPr>
          <w:rFonts w:ascii="Times New Roman" w:cs="Times New Roman" w:eastAsia="Times New Roman" w:hAnsi="Times New Roman"/>
          <w:sz w:val="16"/>
          <w:szCs w:val="16"/>
          <w:color w:val="auto"/>
        </w:rPr>
        <w:t>.</w:t>
      </w:r>
    </w:p>
    <w:p>
      <w:pPr>
        <w:spacing w:after="0" w:line="165" w:lineRule="exact"/>
        <w:rPr>
          <w:rFonts w:ascii="Times New Roman" w:cs="Times New Roman" w:eastAsia="Times New Roman" w:hAnsi="Times New Roman"/>
          <w:sz w:val="16"/>
          <w:szCs w:val="16"/>
          <w:color w:val="auto"/>
        </w:rPr>
      </w:pPr>
    </w:p>
    <w:p>
      <w:pPr>
        <w:ind w:left="620" w:hanging="242"/>
        <w:spacing w:after="0"/>
        <w:tabs>
          <w:tab w:leader="none" w:pos="620"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Other Agreements</w:t>
      </w:r>
      <w:r>
        <w:rPr>
          <w:rFonts w:ascii="Times New Roman" w:cs="Times New Roman" w:eastAsia="Times New Roman" w:hAnsi="Times New Roman"/>
          <w:sz w:val="16"/>
          <w:szCs w:val="16"/>
          <w:color w:val="auto"/>
        </w:rPr>
        <w:t>.</w:t>
      </w:r>
    </w:p>
    <w:p>
      <w:pPr>
        <w:spacing w:after="0" w:line="198" w:lineRule="exact"/>
        <w:rPr>
          <w:rFonts w:ascii="Times New Roman" w:cs="Times New Roman" w:eastAsia="Times New Roman" w:hAnsi="Times New Roman"/>
          <w:sz w:val="16"/>
          <w:szCs w:val="16"/>
          <w:color w:val="auto"/>
        </w:rPr>
      </w:pPr>
    </w:p>
    <w:p>
      <w:pPr>
        <w:jc w:val="both"/>
        <w:ind w:firstLine="1143"/>
        <w:spacing w:after="0" w:line="254" w:lineRule="auto"/>
        <w:tabs>
          <w:tab w:leader="none" w:pos="1379" w:val="left"/>
        </w:tabs>
        <w:numPr>
          <w:ilvl w:val="1"/>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so long as any Investor holds Registrable Securities that may be sold pursuant to Rule 144 only if Pubco is in compliance with the current public information requirement under Rule 144(c)(1) (or Rule 144(i)(2), if applicable), Pubco will use its commercially reasonable efforts to make and keep public information available, as those terms are understood and defined in Rule 144 and, in furtherance thereof, (i) remain subject to the reporting requirements of Section 13 or 15(d) of the Exchange Act; and (ii) timely (without giving effect to any extensions pursuant to Rule 12b-25 under the Exchange Act, as applicable) file all reports and other materials required to be filed by Section 13 or 15(d) of the Exchange Act, as applicable (provided, that the failure to file Current Reports on Form 8-K, other than the Form 8-K filed on the Form 10 Disclosure Filing Date, shall not be deemed to violate this Section 10(b) to the extent that Rule 144 remains available for the resale of Registrable Securities). Upon reasonable prior written request, Pubco shall deliver to the Investors a customary written statement as to whether it has complied with such requirements.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09" w:name="page210"/>
    <w:bookmarkEnd w:id="209"/>
    <w:p>
      <w:pPr>
        <w:jc w:val="both"/>
        <w:ind w:firstLine="1143"/>
        <w:spacing w:after="0" w:line="252" w:lineRule="auto"/>
        <w:tabs>
          <w:tab w:leader="none" w:pos="1390" w:val="left"/>
        </w:tabs>
        <w:numPr>
          <w:ilvl w:val="0"/>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in this Agreement to the contrary, and subject to (and without limiting) Section 8(s) of the Subscription Agreements, in the event that Pubco believes that a notice or communication required by this Agreement to be delivered to any Investor contains material, nonpublic information relating to Pubco, its securities, any of its affiliates or any other Person, Pubco shall so indicate to such Investor prior to delivery of such notice or communication, and such indication shall provide such Investor the means to refuse to receive such notice or communication; and in the absence of any such indication, the Investors and their respective affiliates, agents and representatives shall be allowed to presume that all matters relating to such notice or communication do not constitute material, nonpublic information relating to Pubco, its securities, any of its affiliates or any other Person. In the event of a breach of any of the foregoing covenants by Pubco, any of its affiliates, or any of its or their respective officers, directors (or equivalent persons), employees, attorneys, agents or representatives, in addition to any other remedies otherwise available at law or in equity, each of the Investors shall have the right to make a public disclosure in the form of a press release or otherwise, of the applicable material nonpublic information without the prior approval by Pubco or any of its affiliates, officers, directors (or equivalent persons), employees, stockholders, attorneys, agents or representatives, and no Investor (nor any of its affiliates, agents or representatives) shall have any liability to Pubco, any of its affiliates or any of its or their respective officers, directors (or equivalent persons), employees, stockholders, attorneys, agents or representatives for any such disclosure.</w:t>
      </w:r>
    </w:p>
    <w:p>
      <w:pPr>
        <w:spacing w:after="0" w:line="169" w:lineRule="exact"/>
        <w:rPr>
          <w:rFonts w:ascii="Times New Roman" w:cs="Times New Roman" w:eastAsia="Times New Roman" w:hAnsi="Times New Roman"/>
          <w:sz w:val="16"/>
          <w:szCs w:val="16"/>
          <w:color w:val="auto"/>
        </w:rPr>
      </w:pPr>
    </w:p>
    <w:p>
      <w:pPr>
        <w:jc w:val="both"/>
        <w:ind w:firstLine="1143"/>
        <w:spacing w:after="0" w:line="252" w:lineRule="auto"/>
        <w:tabs>
          <w:tab w:leader="none" w:pos="1379" w:val="left"/>
        </w:tabs>
        <w:numPr>
          <w:ilvl w:val="0"/>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the foregoing and Section 8(s) of the Subscription Agreements, to the extent Pubco reasonably and in good faith determines that it is necessary to disclose material non-public information to an Investor in order to comply with its obligations hereunder (a “</w:t>
      </w:r>
      <w:r>
        <w:rPr>
          <w:rFonts w:ascii="Times New Roman" w:cs="Times New Roman" w:eastAsia="Times New Roman" w:hAnsi="Times New Roman"/>
          <w:sz w:val="16"/>
          <w:szCs w:val="16"/>
          <w:u w:val="single" w:color="auto"/>
          <w:color w:val="auto"/>
        </w:rPr>
        <w:t>Necessary Disclosure</w:t>
      </w:r>
      <w:r>
        <w:rPr>
          <w:rFonts w:ascii="Times New Roman" w:cs="Times New Roman" w:eastAsia="Times New Roman" w:hAnsi="Times New Roman"/>
          <w:sz w:val="16"/>
          <w:szCs w:val="16"/>
          <w:color w:val="auto"/>
        </w:rPr>
        <w:t>”), Pubco shall inform counsel to such Investor of such determination without disclosing the applicable material non-public information, and Pubco and such counsel on behalf of the applicable Investor shall endeavor to agree upon a process for making such Necessary Disclosure to the applicable Investor or its representatives that is mutually acceptable to such Investor and Pubco (an “</w:t>
      </w:r>
      <w:r>
        <w:rPr>
          <w:rFonts w:ascii="Times New Roman" w:cs="Times New Roman" w:eastAsia="Times New Roman" w:hAnsi="Times New Roman"/>
          <w:sz w:val="16"/>
          <w:szCs w:val="16"/>
          <w:u w:val="single" w:color="auto"/>
          <w:color w:val="auto"/>
        </w:rPr>
        <w:t>Agreed Disclosure Process</w:t>
      </w:r>
      <w:r>
        <w:rPr>
          <w:rFonts w:ascii="Times New Roman" w:cs="Times New Roman" w:eastAsia="Times New Roman" w:hAnsi="Times New Roman"/>
          <w:sz w:val="16"/>
          <w:szCs w:val="16"/>
          <w:color w:val="auto"/>
        </w:rPr>
        <w:t>”). Thereafter, Pubco shall be permitted to make such Necessary Disclosure (only) in accordance with the Agreed Disclosure Process. In furtherance of (but without limiting) the foregoing or Section 8(s) of the Subscription Agreements, at any time on or after the effective date of the Resale Shelf Registration Statement, any Investor may deliver written notice (an “</w:t>
      </w:r>
      <w:r>
        <w:rPr>
          <w:rFonts w:ascii="Times New Roman" w:cs="Times New Roman" w:eastAsia="Times New Roman" w:hAnsi="Times New Roman"/>
          <w:sz w:val="16"/>
          <w:szCs w:val="16"/>
          <w:u w:val="single" w:color="auto"/>
          <w:color w:val="auto"/>
        </w:rPr>
        <w:t>Opt-Out Notice</w:t>
      </w:r>
      <w:r>
        <w:rPr>
          <w:rFonts w:ascii="Times New Roman" w:cs="Times New Roman" w:eastAsia="Times New Roman" w:hAnsi="Times New Roman"/>
          <w:sz w:val="16"/>
          <w:szCs w:val="16"/>
          <w:color w:val="auto"/>
        </w:rPr>
        <w:t>”) to Pubco requesting that such Investor thereafter not receive notices from Pubco otherwise required by Section 10 of this Agreement, other than Suspension Notices to the extent applicable to such Investor; provided, however, that such Investor may later revoke any such Opt-Out Notice in writing. Following receipt of an Opt-Out Notice from any Investor (unless such Opt-Out Notice is subsequently revoked), Pubco shall not deliver any such notices to such Investor, and such Investor shall no longer be entitled to the rights associated with any such notice or conditioned upon the receipt of or response to any such notice.</w:t>
      </w:r>
    </w:p>
    <w:p>
      <w:pPr>
        <w:spacing w:after="0" w:line="169" w:lineRule="exact"/>
        <w:rPr>
          <w:rFonts w:ascii="Times New Roman" w:cs="Times New Roman" w:eastAsia="Times New Roman" w:hAnsi="Times New Roman"/>
          <w:sz w:val="16"/>
          <w:szCs w:val="16"/>
          <w:color w:val="auto"/>
        </w:rPr>
      </w:pPr>
    </w:p>
    <w:p>
      <w:pPr>
        <w:jc w:val="both"/>
        <w:ind w:firstLine="1143"/>
        <w:spacing w:after="0" w:line="251" w:lineRule="auto"/>
        <w:tabs>
          <w:tab w:leader="none" w:pos="1385" w:val="left"/>
        </w:tabs>
        <w:numPr>
          <w:ilvl w:val="0"/>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stock certificates evidencing the Registrable Securities (and/or book entries representing the Registrable Securities) held by each Investor shall not contain or be subject to any legend restricting the transfer thereof (and the Registrable Securities shall not be subject to any stop transfer or similar instructions or notations) and no Investor shall be required to delivery any documentation affixed with a medallion guarantee in connection therewith: (A) while a Registration Statement covering the sale or resale of such securities is effective under the Securities Act, or (B) if such Investor provides customary paperwork to the effect that it has sold such shares pursuant to Rule 144, or (C) if such Registrable Securities are eligible for sale under Rule 144(b)(1) as set forth in customary non-affiliate paperwork provided by such Investor, or (D) if at any time on or after the date that is one year after the Form 10 Disclosure Filing Date such Investor certifies that it is not an affiliate of Pubco and that such Investor’s holding period for purposes of Rule 144 in respect of such Registrable Securities is at least six months, or (E) if such legend is not required under applicable requirements of the Securities Act (including judicial interpretations and pronouncements issued by the staff of the Commission) as determined in good faith by counsel to Pubco or set forth in a legal opinion delivered by nationally recognized counsel to the Initiating Holder (collectively, the “</w:t>
      </w:r>
      <w:r>
        <w:rPr>
          <w:rFonts w:ascii="Times New Roman" w:cs="Times New Roman" w:eastAsia="Times New Roman" w:hAnsi="Times New Roman"/>
          <w:sz w:val="16"/>
          <w:szCs w:val="16"/>
          <w:u w:val="single" w:color="auto"/>
          <w:color w:val="auto"/>
        </w:rPr>
        <w:t>Unrestricted Conditions</w:t>
      </w:r>
      <w:r>
        <w:rPr>
          <w:rFonts w:ascii="Times New Roman" w:cs="Times New Roman" w:eastAsia="Times New Roman" w:hAnsi="Times New Roman"/>
          <w:sz w:val="16"/>
          <w:szCs w:val="16"/>
          <w:color w:val="auto"/>
        </w:rPr>
        <w:t>”). Pubco agrees that following the Registration Date or at such time as any of the Unrestricted Conditions is met or such legend is otherwise no longer required it will, no later than two Business Days following the delivery by an Investor to Pubco or Pubco’s transfer agent of a certificate representing any Registrable Securities, issued with a restrictive legend, (or, in the case of Registrable Securities represented by book entries, delivery by an Investor to Pubco or Pubco’s transfer agent of a legend removal request) deliver or cause to be delivered to such Investor a certificate or, at the request of such Investor, deliver or cause to be delivered such Registrable Securities to such Investor by crediting the account of such Investor’s prime broker with DTC through its Deposit/Withdrawal at Custodian (DWAC) system, in each case, free from all restrictive and other legends and stop transfer or similar instructions or notations and without the requirement for any Investor to deliver any documentation affixed with a medallion guarantee. For purposes hereof, “</w:t>
      </w:r>
      <w:r>
        <w:rPr>
          <w:rFonts w:ascii="Times New Roman" w:cs="Times New Roman" w:eastAsia="Times New Roman" w:hAnsi="Times New Roman"/>
          <w:sz w:val="16"/>
          <w:szCs w:val="16"/>
          <w:u w:val="single" w:color="auto"/>
          <w:color w:val="auto"/>
        </w:rPr>
        <w:t>Registration Date</w:t>
      </w:r>
      <w:r>
        <w:rPr>
          <w:rFonts w:ascii="Times New Roman" w:cs="Times New Roman" w:eastAsia="Times New Roman" w:hAnsi="Times New Roman"/>
          <w:sz w:val="16"/>
          <w:szCs w:val="16"/>
          <w:color w:val="auto"/>
        </w:rPr>
        <w:t>” shall mean the date that the Resale Shelf Registration Statement covering the Registration Statement has been declared effective by the Commission. If any of the Unrestricted Conditions is met at the time of issuance of any Registrable Securities (e.g., upon exercise of warrants), then such securities shall be issued free of all legends. Each Investor shall have the right to pursue any remedies available to it hereunder, or otherwise at law or in equity, including a decree of specific performance and/or injunctive relief, with respect to Pubco’s failure to timely deliver shares of Common Stock without legend as required pursuant to the terms hereof.</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10" w:name="page211"/>
    <w:bookmarkEnd w:id="210"/>
    <w:p>
      <w:pPr>
        <w:ind w:left="624" w:hanging="242"/>
        <w:spacing w:after="0"/>
        <w:tabs>
          <w:tab w:leader="none" w:pos="624" w:val="left"/>
        </w:tabs>
        <w:numPr>
          <w:ilvl w:val="0"/>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Definitions</w:t>
      </w:r>
      <w:r>
        <w:rPr>
          <w:rFonts w:ascii="Times New Roman" w:cs="Times New Roman" w:eastAsia="Times New Roman" w:hAnsi="Times New Roman"/>
          <w:sz w:val="16"/>
          <w:szCs w:val="16"/>
          <w:color w:val="auto"/>
        </w:rPr>
        <w:t>.</w:t>
      </w:r>
    </w:p>
    <w:p>
      <w:pPr>
        <w:spacing w:after="0" w:line="198" w:lineRule="exact"/>
        <w:rPr>
          <w:rFonts w:ascii="Times New Roman" w:cs="Times New Roman" w:eastAsia="Times New Roman" w:hAnsi="Times New Roman"/>
          <w:sz w:val="16"/>
          <w:szCs w:val="16"/>
          <w:color w:val="auto"/>
        </w:rPr>
      </w:pPr>
    </w:p>
    <w:p>
      <w:pPr>
        <w:ind w:left="4" w:right="20" w:firstLine="1143"/>
        <w:spacing w:after="0" w:line="280" w:lineRule="auto"/>
        <w:tabs>
          <w:tab w:leader="none" w:pos="1380" w:val="left"/>
        </w:tabs>
        <w:numPr>
          <w:ilvl w:val="1"/>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Applicable Approving Party</w:t>
      </w:r>
      <w:r>
        <w:rPr>
          <w:rFonts w:ascii="Times New Roman" w:cs="Times New Roman" w:eastAsia="Times New Roman" w:hAnsi="Times New Roman"/>
          <w:sz w:val="16"/>
          <w:szCs w:val="16"/>
          <w:color w:val="auto"/>
        </w:rPr>
        <w:t xml:space="preserve">” means the holders of a majority of the Registrable Securities participating in the applicable offering or, in the case of a Short-Form Registration effected pursuant to </w:t>
      </w:r>
      <w:r>
        <w:rPr>
          <w:rFonts w:ascii="Times New Roman" w:cs="Times New Roman" w:eastAsia="Times New Roman" w:hAnsi="Times New Roman"/>
          <w:sz w:val="16"/>
          <w:szCs w:val="16"/>
          <w:u w:val="single" w:color="auto"/>
          <w:color w:val="auto"/>
        </w:rPr>
        <w:t>Section 2(c)</w:t>
      </w:r>
      <w:r>
        <w:rPr>
          <w:rFonts w:ascii="Times New Roman" w:cs="Times New Roman" w:eastAsia="Times New Roman" w:hAnsi="Times New Roman"/>
          <w:sz w:val="16"/>
          <w:szCs w:val="16"/>
          <w:color w:val="auto"/>
        </w:rPr>
        <w:t>, the holders of a majority of the type of Registrable Securities that initiated such Short-Form Registration.</w:t>
      </w:r>
    </w:p>
    <w:p>
      <w:pPr>
        <w:spacing w:after="0" w:line="144" w:lineRule="exact"/>
        <w:rPr>
          <w:rFonts w:ascii="Times New Roman" w:cs="Times New Roman" w:eastAsia="Times New Roman" w:hAnsi="Times New Roman"/>
          <w:sz w:val="16"/>
          <w:szCs w:val="16"/>
          <w:color w:val="auto"/>
        </w:rPr>
      </w:pPr>
    </w:p>
    <w:p>
      <w:pPr>
        <w:ind w:left="1364" w:hanging="217"/>
        <w:spacing w:after="0"/>
        <w:tabs>
          <w:tab w:leader="none" w:pos="1364" w:val="left"/>
        </w:tabs>
        <w:numPr>
          <w:ilvl w:val="1"/>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Block Trade</w:t>
      </w:r>
      <w:r>
        <w:rPr>
          <w:rFonts w:ascii="Times New Roman" w:cs="Times New Roman" w:eastAsia="Times New Roman" w:hAnsi="Times New Roman"/>
          <w:sz w:val="16"/>
          <w:szCs w:val="16"/>
          <w:color w:val="auto"/>
        </w:rPr>
        <w:t>” means any non-marketed underwritten takedown offering taking the form of a bought deal or block sale to a financial institution.</w:t>
      </w:r>
    </w:p>
    <w:p>
      <w:pPr>
        <w:spacing w:after="0" w:line="198" w:lineRule="exact"/>
        <w:rPr>
          <w:rFonts w:ascii="Times New Roman" w:cs="Times New Roman" w:eastAsia="Times New Roman" w:hAnsi="Times New Roman"/>
          <w:sz w:val="16"/>
          <w:szCs w:val="16"/>
          <w:color w:val="auto"/>
        </w:rPr>
      </w:pPr>
    </w:p>
    <w:p>
      <w:pPr>
        <w:ind w:left="1364" w:hanging="217"/>
        <w:spacing w:after="0"/>
        <w:tabs>
          <w:tab w:leader="none" w:pos="1364" w:val="left"/>
        </w:tabs>
        <w:numPr>
          <w:ilvl w:val="1"/>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Business Day</w:t>
      </w:r>
      <w:r>
        <w:rPr>
          <w:rFonts w:ascii="Times New Roman" w:cs="Times New Roman" w:eastAsia="Times New Roman" w:hAnsi="Times New Roman"/>
          <w:sz w:val="16"/>
          <w:szCs w:val="16"/>
          <w:color w:val="auto"/>
        </w:rPr>
        <w:t>” means any day that is not a Saturday or Sunday or a legal holiday in the state in which Pubco’s chief executive office is located or in New</w:t>
      </w:r>
    </w:p>
    <w:p>
      <w:pPr>
        <w:spacing w:after="0" w:line="23" w:lineRule="exact"/>
        <w:rPr>
          <w:rFonts w:ascii="Times New Roman" w:cs="Times New Roman" w:eastAsia="Times New Roman" w:hAnsi="Times New Roman"/>
          <w:sz w:val="16"/>
          <w:szCs w:val="16"/>
          <w:color w:val="auto"/>
        </w:rPr>
      </w:pPr>
    </w:p>
    <w:p>
      <w:pPr>
        <w:ind w:left="4"/>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York, NY.</w:t>
      </w:r>
    </w:p>
    <w:p>
      <w:pPr>
        <w:spacing w:after="0" w:line="181" w:lineRule="exact"/>
        <w:rPr>
          <w:rFonts w:ascii="Times New Roman" w:cs="Times New Roman" w:eastAsia="Times New Roman" w:hAnsi="Times New Roman"/>
          <w:sz w:val="16"/>
          <w:szCs w:val="16"/>
          <w:color w:val="auto"/>
        </w:rPr>
      </w:pPr>
    </w:p>
    <w:p>
      <w:pPr>
        <w:ind w:left="1364" w:hanging="217"/>
        <w:spacing w:after="0"/>
        <w:tabs>
          <w:tab w:leader="none" w:pos="1364" w:val="left"/>
        </w:tabs>
        <w:numPr>
          <w:ilvl w:val="1"/>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Commission</w:t>
      </w:r>
      <w:r>
        <w:rPr>
          <w:rFonts w:ascii="Times New Roman" w:cs="Times New Roman" w:eastAsia="Times New Roman" w:hAnsi="Times New Roman"/>
          <w:sz w:val="16"/>
          <w:szCs w:val="16"/>
          <w:color w:val="auto"/>
        </w:rPr>
        <w:t>” means the U.S. Securities and Exchange Commission.</w:t>
      </w:r>
    </w:p>
    <w:p>
      <w:pPr>
        <w:spacing w:after="0" w:line="198" w:lineRule="exact"/>
        <w:rPr>
          <w:rFonts w:ascii="Times New Roman" w:cs="Times New Roman" w:eastAsia="Times New Roman" w:hAnsi="Times New Roman"/>
          <w:sz w:val="16"/>
          <w:szCs w:val="16"/>
          <w:color w:val="auto"/>
        </w:rPr>
      </w:pPr>
    </w:p>
    <w:p>
      <w:pPr>
        <w:ind w:left="1364" w:hanging="217"/>
        <w:spacing w:after="0"/>
        <w:tabs>
          <w:tab w:leader="none" w:pos="1364" w:val="left"/>
        </w:tabs>
        <w:numPr>
          <w:ilvl w:val="1"/>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Common Stock</w:t>
      </w:r>
      <w:r>
        <w:rPr>
          <w:rFonts w:ascii="Times New Roman" w:cs="Times New Roman" w:eastAsia="Times New Roman" w:hAnsi="Times New Roman"/>
          <w:sz w:val="16"/>
          <w:szCs w:val="16"/>
          <w:color w:val="auto"/>
        </w:rPr>
        <w:t>” means the Common Stock of Pubco, par value $0.0001 per share.</w:t>
      </w:r>
    </w:p>
    <w:p>
      <w:pPr>
        <w:spacing w:after="0" w:line="198" w:lineRule="exact"/>
        <w:rPr>
          <w:rFonts w:ascii="Times New Roman" w:cs="Times New Roman" w:eastAsia="Times New Roman" w:hAnsi="Times New Roman"/>
          <w:sz w:val="16"/>
          <w:szCs w:val="16"/>
          <w:color w:val="auto"/>
        </w:rPr>
      </w:pPr>
    </w:p>
    <w:p>
      <w:pPr>
        <w:ind w:left="4" w:firstLine="1143"/>
        <w:spacing w:after="0" w:line="280" w:lineRule="auto"/>
        <w:tabs>
          <w:tab w:leader="none" w:pos="1351" w:val="left"/>
        </w:tabs>
        <w:numPr>
          <w:ilvl w:val="1"/>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Exchange Act</w:t>
      </w:r>
      <w:r>
        <w:rPr>
          <w:rFonts w:ascii="Times New Roman" w:cs="Times New Roman" w:eastAsia="Times New Roman" w:hAnsi="Times New Roman"/>
          <w:sz w:val="16"/>
          <w:szCs w:val="16"/>
          <w:color w:val="auto"/>
        </w:rPr>
        <w:t>” means the Securities Exchange Act of 1934, as amended from time to time, or any successor federal law then in force, together with all rules and regulations promulgated thereunder.</w:t>
      </w:r>
    </w:p>
    <w:p>
      <w:pPr>
        <w:spacing w:after="0" w:line="144" w:lineRule="exact"/>
        <w:rPr>
          <w:rFonts w:ascii="Times New Roman" w:cs="Times New Roman" w:eastAsia="Times New Roman" w:hAnsi="Times New Roman"/>
          <w:sz w:val="16"/>
          <w:szCs w:val="16"/>
          <w:color w:val="auto"/>
        </w:rPr>
      </w:pPr>
    </w:p>
    <w:p>
      <w:pPr>
        <w:ind w:left="1364" w:hanging="217"/>
        <w:spacing w:after="0"/>
        <w:tabs>
          <w:tab w:leader="none" w:pos="1364" w:val="left"/>
        </w:tabs>
        <w:numPr>
          <w:ilvl w:val="1"/>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FINRA</w:t>
      </w:r>
      <w:r>
        <w:rPr>
          <w:rFonts w:ascii="Times New Roman" w:cs="Times New Roman" w:eastAsia="Times New Roman" w:hAnsi="Times New Roman"/>
          <w:sz w:val="16"/>
          <w:szCs w:val="16"/>
          <w:color w:val="auto"/>
        </w:rPr>
        <w:t>” means the Financial Industry Regulatory Authority or any successor thereto.</w:t>
      </w:r>
    </w:p>
    <w:p>
      <w:pPr>
        <w:spacing w:after="0" w:line="198" w:lineRule="exact"/>
        <w:rPr>
          <w:rFonts w:ascii="Times New Roman" w:cs="Times New Roman" w:eastAsia="Times New Roman" w:hAnsi="Times New Roman"/>
          <w:sz w:val="16"/>
          <w:szCs w:val="16"/>
          <w:color w:val="auto"/>
        </w:rPr>
      </w:pPr>
    </w:p>
    <w:p>
      <w:pPr>
        <w:ind w:left="1364" w:hanging="217"/>
        <w:spacing w:after="0"/>
        <w:tabs>
          <w:tab w:leader="none" w:pos="1364" w:val="left"/>
        </w:tabs>
        <w:numPr>
          <w:ilvl w:val="1"/>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Free-Writing Prospectus</w:t>
      </w:r>
      <w:r>
        <w:rPr>
          <w:rFonts w:ascii="Times New Roman" w:cs="Times New Roman" w:eastAsia="Times New Roman" w:hAnsi="Times New Roman"/>
          <w:sz w:val="16"/>
          <w:szCs w:val="16"/>
          <w:color w:val="auto"/>
        </w:rPr>
        <w:t>” means a free-writing prospectus, as defined in Rule 405 of the Securities Act.</w:t>
      </w:r>
    </w:p>
    <w:p>
      <w:pPr>
        <w:spacing w:after="0" w:line="198" w:lineRule="exact"/>
        <w:rPr>
          <w:rFonts w:ascii="Times New Roman" w:cs="Times New Roman" w:eastAsia="Times New Roman" w:hAnsi="Times New Roman"/>
          <w:sz w:val="16"/>
          <w:szCs w:val="16"/>
          <w:color w:val="auto"/>
        </w:rPr>
      </w:pPr>
    </w:p>
    <w:p>
      <w:pPr>
        <w:jc w:val="both"/>
        <w:ind w:left="4" w:firstLine="1143"/>
        <w:spacing w:after="0" w:line="265" w:lineRule="auto"/>
        <w:tabs>
          <w:tab w:leader="none" w:pos="1354" w:val="left"/>
        </w:tabs>
        <w:numPr>
          <w:ilvl w:val="1"/>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Form 10 Disclosure Filing Date</w:t>
      </w:r>
      <w:r>
        <w:rPr>
          <w:rFonts w:ascii="Times New Roman" w:cs="Times New Roman" w:eastAsia="Times New Roman" w:hAnsi="Times New Roman"/>
          <w:sz w:val="16"/>
          <w:szCs w:val="16"/>
          <w:color w:val="auto"/>
        </w:rPr>
        <w:t>” means the date on which Pubco shall file with the Commission a Current Report on Form 8-K that includes current “Form 10 information” (within the meaning of Rule 144) reflecting Pubco’s status as an entity that is no longer an issuer described in paragraph (i)(1)(i) of Rule 144, which in no event shall occur later than four business days following the consummation of the Mergers.</w:t>
      </w:r>
    </w:p>
    <w:p>
      <w:pPr>
        <w:spacing w:after="0" w:line="155" w:lineRule="exact"/>
        <w:rPr>
          <w:rFonts w:ascii="Times New Roman" w:cs="Times New Roman" w:eastAsia="Times New Roman" w:hAnsi="Times New Roman"/>
          <w:sz w:val="16"/>
          <w:szCs w:val="16"/>
          <w:color w:val="auto"/>
        </w:rPr>
      </w:pPr>
    </w:p>
    <w:p>
      <w:pPr>
        <w:ind w:left="4" w:right="20" w:firstLine="1143"/>
        <w:spacing w:after="0" w:line="280" w:lineRule="auto"/>
        <w:tabs>
          <w:tab w:leader="none" w:pos="1342" w:val="left"/>
        </w:tabs>
        <w:numPr>
          <w:ilvl w:val="1"/>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Majority Presto Investors</w:t>
      </w:r>
      <w:r>
        <w:rPr>
          <w:rFonts w:ascii="Times New Roman" w:cs="Times New Roman" w:eastAsia="Times New Roman" w:hAnsi="Times New Roman"/>
          <w:sz w:val="16"/>
          <w:szCs w:val="16"/>
          <w:color w:val="auto"/>
        </w:rPr>
        <w:t>” means, as of any date of determination, the holders of a majority of the Registrable Securities held by the Presto Investors and their successors and assigns.</w:t>
      </w:r>
    </w:p>
    <w:p>
      <w:pPr>
        <w:spacing w:after="0" w:line="144" w:lineRule="exact"/>
        <w:rPr>
          <w:rFonts w:ascii="Times New Roman" w:cs="Times New Roman" w:eastAsia="Times New Roman" w:hAnsi="Times New Roman"/>
          <w:sz w:val="16"/>
          <w:szCs w:val="16"/>
          <w:color w:val="auto"/>
        </w:rPr>
      </w:pPr>
    </w:p>
    <w:p>
      <w:pPr>
        <w:ind w:left="4" w:right="20" w:firstLine="1143"/>
        <w:spacing w:after="0" w:line="280" w:lineRule="auto"/>
        <w:tabs>
          <w:tab w:leader="none" w:pos="1377" w:val="left"/>
        </w:tabs>
        <w:numPr>
          <w:ilvl w:val="1"/>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Majority Silver Rock Investors”</w:t>
      </w:r>
      <w:r>
        <w:rPr>
          <w:rFonts w:ascii="Times New Roman" w:cs="Times New Roman" w:eastAsia="Times New Roman" w:hAnsi="Times New Roman"/>
          <w:sz w:val="16"/>
          <w:szCs w:val="16"/>
          <w:color w:val="auto"/>
        </w:rPr>
        <w:t xml:space="preserve"> means, as of any date of determination, the holders of a majority of the Registrable Securities held by the Silver Rock Investors as of such date.</w:t>
      </w:r>
    </w:p>
    <w:p>
      <w:pPr>
        <w:spacing w:after="0" w:line="144" w:lineRule="exact"/>
        <w:rPr>
          <w:rFonts w:ascii="Times New Roman" w:cs="Times New Roman" w:eastAsia="Times New Roman" w:hAnsi="Times New Roman"/>
          <w:sz w:val="16"/>
          <w:szCs w:val="16"/>
          <w:color w:val="auto"/>
        </w:rPr>
      </w:pPr>
    </w:p>
    <w:p>
      <w:pPr>
        <w:ind w:left="1344" w:hanging="197"/>
        <w:spacing w:after="0"/>
        <w:tabs>
          <w:tab w:leader="none" w:pos="1344" w:val="left"/>
        </w:tabs>
        <w:numPr>
          <w:ilvl w:val="1"/>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New Registration Statement Filing Deadline</w:t>
      </w:r>
      <w:r>
        <w:rPr>
          <w:rFonts w:ascii="Times New Roman" w:cs="Times New Roman" w:eastAsia="Times New Roman" w:hAnsi="Times New Roman"/>
          <w:sz w:val="16"/>
          <w:szCs w:val="16"/>
          <w:color w:val="auto"/>
        </w:rPr>
        <w:t>” means, with respect to any New Registration Statements that may be required pursuant to Section 1(b), (i)</w:t>
      </w:r>
    </w:p>
    <w:p>
      <w:pPr>
        <w:spacing w:after="0" w:line="24" w:lineRule="exact"/>
        <w:rPr>
          <w:sz w:val="20"/>
          <w:szCs w:val="20"/>
          <w:color w:val="auto"/>
        </w:rPr>
      </w:pPr>
    </w:p>
    <w:p>
      <w:pPr>
        <w:ind w:left="4"/>
        <w:spacing w:after="0" w:line="207" w:lineRule="auto"/>
        <w:rPr>
          <w:sz w:val="20"/>
          <w:szCs w:val="20"/>
          <w:color w:val="auto"/>
        </w:rPr>
      </w:pPr>
      <w:r>
        <w:rPr>
          <w:rFonts w:ascii="Times New Roman" w:cs="Times New Roman" w:eastAsia="Times New Roman" w:hAnsi="Times New Roman"/>
          <w:sz w:val="16"/>
          <w:szCs w:val="16"/>
          <w:color w:val="auto"/>
        </w:rPr>
        <w:t>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day following the first date on which such Registrable Securities may then be included in a Registration Statement if such Registration Statement is required to be filed because the Commission shall have informed Pubco that certain Registrable Securities were not eligible for inclusion in a previously filed Registration Statement, or</w:t>
      </w:r>
    </w:p>
    <w:p>
      <w:pPr>
        <w:spacing w:after="0" w:line="2" w:lineRule="exact"/>
        <w:rPr>
          <w:sz w:val="20"/>
          <w:szCs w:val="20"/>
          <w:color w:val="auto"/>
        </w:rPr>
      </w:pPr>
    </w:p>
    <w:p>
      <w:pPr>
        <w:ind w:left="4" w:right="20" w:hanging="4"/>
        <w:spacing w:after="0" w:line="207" w:lineRule="auto"/>
        <w:tabs>
          <w:tab w:leader="none" w:pos="258" w:val="left"/>
        </w:tabs>
        <w:numPr>
          <w:ilvl w:val="0"/>
          <w:numId w:val="2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such New Registration Statement is required for a reason other than as described in clause (i) of this definition, the fifteenth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day following the date on which Pubco first knows that such New Registration Statement is required.</w:t>
      </w:r>
    </w:p>
    <w:p>
      <w:pPr>
        <w:spacing w:after="0" w:line="176" w:lineRule="exact"/>
        <w:rPr>
          <w:rFonts w:ascii="Times New Roman" w:cs="Times New Roman" w:eastAsia="Times New Roman" w:hAnsi="Times New Roman"/>
          <w:sz w:val="16"/>
          <w:szCs w:val="16"/>
          <w:color w:val="auto"/>
        </w:rPr>
      </w:pPr>
    </w:p>
    <w:p>
      <w:pPr>
        <w:jc w:val="both"/>
        <w:ind w:left="4" w:right="20" w:firstLine="1143"/>
        <w:spacing w:after="0" w:line="259" w:lineRule="auto"/>
        <w:tabs>
          <w:tab w:leader="none" w:pos="1421" w:val="left"/>
        </w:tabs>
        <w:numPr>
          <w:ilvl w:val="1"/>
          <w:numId w:val="2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Permitted Transferees</w:t>
      </w:r>
      <w:r>
        <w:rPr>
          <w:rFonts w:ascii="Times New Roman" w:cs="Times New Roman" w:eastAsia="Times New Roman" w:hAnsi="Times New Roman"/>
          <w:sz w:val="16"/>
          <w:szCs w:val="16"/>
          <w:color w:val="auto"/>
        </w:rPr>
        <w:t>” means any Person to whom an Investor transfers Registrable Securities; provided, however, that, with respect to any transfer of Registrable Securities that constitute Lock-up Shares (as defined in the Bylaws), during the applicable Lock-up Period (as defined in the Bylaws and the Support Agreements), the transferee thereof shall only constitute a Permitted Transferee if such transferee is a Person to whom such Registrable Securities are permitted to be transferred by the transferring Investor during the applicable Lock-up Period (as defined in per Bylaws and the Support Agreements) under the Bylaws and the Support Agreements.</w:t>
      </w:r>
    </w:p>
    <w:p>
      <w:pPr>
        <w:spacing w:after="0" w:line="34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8195" cy="152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211" w:name="page212"/>
    <w:bookmarkEnd w:id="211"/>
    <w:p>
      <w:pPr>
        <w:ind w:right="20" w:firstLine="1143"/>
        <w:spacing w:after="0" w:line="280" w:lineRule="auto"/>
        <w:tabs>
          <w:tab w:leader="none" w:pos="1373" w:val="left"/>
        </w:tabs>
        <w:numPr>
          <w:ilvl w:val="0"/>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Person</w:t>
      </w:r>
      <w:r>
        <w:rPr>
          <w:rFonts w:ascii="Times New Roman" w:cs="Times New Roman" w:eastAsia="Times New Roman" w:hAnsi="Times New Roman"/>
          <w:sz w:val="16"/>
          <w:szCs w:val="16"/>
          <w:color w:val="auto"/>
        </w:rPr>
        <w:t>” means an individual, a partnership, a corporation, a limited liability company, an association, a joint stock company, a trust, a joint venture, an unincorporated organization, any other legal entity or business organization and a governmental entity or any department, agency or political subdivision thereof.</w:t>
      </w:r>
    </w:p>
    <w:p>
      <w:pPr>
        <w:spacing w:after="0" w:line="144" w:lineRule="exact"/>
        <w:rPr>
          <w:rFonts w:ascii="Times New Roman" w:cs="Times New Roman" w:eastAsia="Times New Roman" w:hAnsi="Times New Roman"/>
          <w:sz w:val="16"/>
          <w:szCs w:val="16"/>
          <w:color w:val="auto"/>
        </w:rPr>
      </w:pPr>
    </w:p>
    <w:p>
      <w:pPr>
        <w:ind w:right="20" w:firstLine="1143"/>
        <w:spacing w:after="0" w:line="280" w:lineRule="auto"/>
        <w:tabs>
          <w:tab w:leader="none" w:pos="1385" w:val="left"/>
        </w:tabs>
        <w:numPr>
          <w:ilvl w:val="0"/>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Presto Investors</w:t>
      </w:r>
      <w:r>
        <w:rPr>
          <w:rFonts w:ascii="Times New Roman" w:cs="Times New Roman" w:eastAsia="Times New Roman" w:hAnsi="Times New Roman"/>
          <w:sz w:val="16"/>
          <w:szCs w:val="16"/>
          <w:color w:val="auto"/>
        </w:rPr>
        <w:t xml:space="preserve">” means the Investors set forth on the Schedule of Investors as of the date hereof and their direct and indirect transferees, if any, who become a party to this Agreement pursuant to </w:t>
      </w:r>
      <w:r>
        <w:rPr>
          <w:rFonts w:ascii="Times New Roman" w:cs="Times New Roman" w:eastAsia="Times New Roman" w:hAnsi="Times New Roman"/>
          <w:sz w:val="16"/>
          <w:szCs w:val="16"/>
          <w:u w:val="single" w:color="auto"/>
          <w:color w:val="auto"/>
        </w:rPr>
        <w:t>Section 12(f)</w:t>
      </w:r>
      <w:r>
        <w:rPr>
          <w:rFonts w:ascii="Times New Roman" w:cs="Times New Roman" w:eastAsia="Times New Roman" w:hAnsi="Times New Roman"/>
          <w:sz w:val="16"/>
          <w:szCs w:val="16"/>
          <w:color w:val="auto"/>
        </w:rPr>
        <w:t xml:space="preserve"> of this Agreement.</w:t>
      </w:r>
    </w:p>
    <w:p>
      <w:pPr>
        <w:spacing w:after="0" w:line="144"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73" w:val="left"/>
        </w:tabs>
        <w:numPr>
          <w:ilvl w:val="0"/>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Prospectus</w:t>
      </w:r>
      <w:r>
        <w:rPr>
          <w:rFonts w:ascii="Times New Roman" w:cs="Times New Roman" w:eastAsia="Times New Roman" w:hAnsi="Times New Roman"/>
          <w:sz w:val="16"/>
          <w:szCs w:val="16"/>
          <w:color w:val="auto"/>
        </w:rPr>
        <w:t>” means (i) the prospectus included in any Registration Statement, as supplemented by any and all prospectus supplements and as amended by any and all post-effective amendments and including all material incorporated by reference in such prospectus and (ii) any free writing prospectus (within the meaning of Rule 405 under the Securities Act) relating to any offering of Registrable Securities pursuant to a Registration Statement.</w:t>
      </w:r>
    </w:p>
    <w:p>
      <w:pPr>
        <w:spacing w:after="0" w:line="155" w:lineRule="exact"/>
        <w:rPr>
          <w:rFonts w:ascii="Times New Roman" w:cs="Times New Roman" w:eastAsia="Times New Roman" w:hAnsi="Times New Roman"/>
          <w:sz w:val="16"/>
          <w:szCs w:val="16"/>
          <w:color w:val="auto"/>
        </w:rPr>
      </w:pPr>
    </w:p>
    <w:p>
      <w:pPr>
        <w:ind w:right="20" w:firstLine="1143"/>
        <w:spacing w:after="0" w:line="280" w:lineRule="auto"/>
        <w:tabs>
          <w:tab w:leader="none" w:pos="1373" w:val="left"/>
        </w:tabs>
        <w:numPr>
          <w:ilvl w:val="0"/>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Public Offering</w:t>
      </w:r>
      <w:r>
        <w:rPr>
          <w:rFonts w:ascii="Times New Roman" w:cs="Times New Roman" w:eastAsia="Times New Roman" w:hAnsi="Times New Roman"/>
          <w:sz w:val="16"/>
          <w:szCs w:val="16"/>
          <w:color w:val="auto"/>
        </w:rPr>
        <w:t>” means any sale or distribution by Pubco and/or holders of Registrable Securities to the public of Common Stock pursuant to an offering registered under the Securities Act.</w:t>
      </w:r>
    </w:p>
    <w:p>
      <w:pPr>
        <w:spacing w:after="0" w:line="144" w:lineRule="exact"/>
        <w:rPr>
          <w:rFonts w:ascii="Times New Roman" w:cs="Times New Roman" w:eastAsia="Times New Roman" w:hAnsi="Times New Roman"/>
          <w:sz w:val="16"/>
          <w:szCs w:val="16"/>
          <w:color w:val="auto"/>
        </w:rPr>
      </w:pPr>
    </w:p>
    <w:p>
      <w:pPr>
        <w:ind w:right="20" w:firstLine="1143"/>
        <w:spacing w:after="0" w:line="280" w:lineRule="auto"/>
        <w:tabs>
          <w:tab w:leader="none" w:pos="1382" w:val="left"/>
        </w:tabs>
        <w:numPr>
          <w:ilvl w:val="0"/>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Register</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u w:val="single" w:color="auto"/>
          <w:color w:val="auto"/>
        </w:rPr>
        <w:t>Registered</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u w:val="single" w:color="auto"/>
          <w:color w:val="auto"/>
        </w:rPr>
        <w:t>Registration</w:t>
      </w:r>
      <w:r>
        <w:rPr>
          <w:rFonts w:ascii="Times New Roman" w:cs="Times New Roman" w:eastAsia="Times New Roman" w:hAnsi="Times New Roman"/>
          <w:sz w:val="16"/>
          <w:szCs w:val="16"/>
          <w:color w:val="auto"/>
        </w:rPr>
        <w:t>”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44" w:lineRule="exact"/>
        <w:rPr>
          <w:rFonts w:ascii="Times New Roman" w:cs="Times New Roman" w:eastAsia="Times New Roman" w:hAnsi="Times New Roman"/>
          <w:sz w:val="16"/>
          <w:szCs w:val="16"/>
          <w:color w:val="auto"/>
        </w:rPr>
      </w:pPr>
    </w:p>
    <w:p>
      <w:pPr>
        <w:jc w:val="both"/>
        <w:ind w:firstLine="1143"/>
        <w:spacing w:after="0" w:line="251" w:lineRule="auto"/>
        <w:tabs>
          <w:tab w:leader="none" w:pos="1367" w:val="left"/>
        </w:tabs>
        <w:numPr>
          <w:ilvl w:val="0"/>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Registrable Securities</w:t>
      </w:r>
      <w:r>
        <w:rPr>
          <w:rFonts w:ascii="Times New Roman" w:cs="Times New Roman" w:eastAsia="Times New Roman" w:hAnsi="Times New Roman"/>
          <w:sz w:val="16"/>
          <w:szCs w:val="16"/>
          <w:color w:val="auto"/>
        </w:rPr>
        <w:t>” means (i) any Founder Shares held by the Investors, (ii) any shares of Common Stock issued to an Investor, or issuable upon exercise of warrants issued to an Investor, in Pubco’s initial public offering, (iii) any Private Placement Warrants (or underlying securities) held by the Investors, (iv) any shares of Common Stock issued to an Investor pursuant to the terms of the Merger Agreement, (v) any Subscribed Notes, Subscribed Shares, Subscribed Warrants and Underlying Securities (as defined in the Subscription Agreements), (vi) any other shares of Common Stock or warrants to purchase shares of Common Stock held or later acquired by an Investor, (vii) any shares of Common Stock issued or issuable upon the exercise, conversion or exchange of, or pursuant to anti-dilution provisions applicable to, securities hereafter issued in exchange or substitution for, or otherwise with respect to, securities referred to in clauses (i) through (v) by way of reclassification, exchange or otherwise, and (viii) any Common Stock issued or issuable with respect to the securities referred to in the preceding clauses (i) through (vii) by way of a stock dividend or stock split or in connection with a combination of shares, recapitalization, merger, consolidation or other reorganization. As to any particular Registrable Securities, such securities shall cease to be Registrable Securities when they have been sold or distributed to the public pursuant to an offering registered under the Securities Act or sold to the public through a broker, dealer or market maker in compliance with Rule 144 following the consummation of the Mergers or repurchased by Pubco or any of its subsidiaries. For purposes of this Agreement, a Person shall be deemed to be a holder of Registrable Securities, and the Registrable Securities shall be deemed to be in existence, whenever such Person holds such Registrable Securities of record or in “street name” or has the right to acquire directly or indirectly such Registrable Securities (upon conversion or exercise in connection with a transfer of securities or otherwise, but disregarding any restrictions or limitations upon the exercise of such right and, in the case of Registrable Securities issuable upon exercise of warrants, assuming the exercise thereof for cash), whether or not such acquisition has actually been effected, and such Person shall be entitled to exercise the rights of a holder of Registrable Securities hereunder.</w:t>
      </w:r>
    </w:p>
    <w:p>
      <w:pPr>
        <w:spacing w:after="0" w:line="172" w:lineRule="exact"/>
        <w:rPr>
          <w:rFonts w:ascii="Times New Roman" w:cs="Times New Roman" w:eastAsia="Times New Roman" w:hAnsi="Times New Roman"/>
          <w:sz w:val="16"/>
          <w:szCs w:val="16"/>
          <w:color w:val="auto"/>
        </w:rPr>
      </w:pPr>
    </w:p>
    <w:p>
      <w:pPr>
        <w:jc w:val="both"/>
        <w:ind w:firstLine="1143"/>
        <w:spacing w:after="0" w:line="259" w:lineRule="auto"/>
        <w:tabs>
          <w:tab w:leader="none" w:pos="1349" w:val="left"/>
        </w:tabs>
        <w:numPr>
          <w:ilvl w:val="0"/>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Registration Statement</w:t>
      </w:r>
      <w:r>
        <w:rPr>
          <w:rFonts w:ascii="Times New Roman" w:cs="Times New Roman" w:eastAsia="Times New Roman" w:hAnsi="Times New Roman"/>
          <w:sz w:val="16"/>
          <w:szCs w:val="16"/>
          <w:color w:val="auto"/>
        </w:rPr>
        <w:t>” means any registration statement filed by Pubco with the Commission in compliance with the Securities Act and the rules and regulations promulgated thereunder for a public offering and sale of Common Stock or Registrable Securities, including the Prospectus included in such registration statement, amendments (including post-effective amendments) and supplements to such registration statement, and all exhibits to and all material incorporated by reference in such registration statement.</w:t>
      </w:r>
    </w:p>
    <w:p>
      <w:pPr>
        <w:spacing w:after="0" w:line="161" w:lineRule="exact"/>
        <w:rPr>
          <w:rFonts w:ascii="Times New Roman" w:cs="Times New Roman" w:eastAsia="Times New Roman" w:hAnsi="Times New Roman"/>
          <w:sz w:val="16"/>
          <w:szCs w:val="16"/>
          <w:color w:val="auto"/>
        </w:rPr>
      </w:pPr>
    </w:p>
    <w:p>
      <w:pPr>
        <w:ind w:right="20" w:firstLine="1143"/>
        <w:spacing w:after="0" w:line="280" w:lineRule="auto"/>
        <w:tabs>
          <w:tab w:leader="none" w:pos="1397" w:val="left"/>
        </w:tabs>
        <w:numPr>
          <w:ilvl w:val="0"/>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Rule 144</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u w:val="single" w:color="auto"/>
          <w:color w:val="auto"/>
        </w:rPr>
        <w:t>Rule 405</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u w:val="single" w:color="auto"/>
          <w:color w:val="auto"/>
        </w:rPr>
        <w:t>Rule 415</w:t>
      </w:r>
      <w:r>
        <w:rPr>
          <w:rFonts w:ascii="Times New Roman" w:cs="Times New Roman" w:eastAsia="Times New Roman" w:hAnsi="Times New Roman"/>
          <w:sz w:val="16"/>
          <w:szCs w:val="16"/>
          <w:color w:val="auto"/>
        </w:rPr>
        <w:t>” mean, in each case, such rule promulgated under the Securities Act (or any successor provision) by the Commission, as the same shall be amended from time to time, or any successor rule then in force.</w:t>
      </w:r>
    </w:p>
    <w:p>
      <w:pPr>
        <w:spacing w:after="0" w:line="144" w:lineRule="exact"/>
        <w:rPr>
          <w:rFonts w:ascii="Times New Roman" w:cs="Times New Roman" w:eastAsia="Times New Roman" w:hAnsi="Times New Roman"/>
          <w:sz w:val="16"/>
          <w:szCs w:val="16"/>
          <w:color w:val="auto"/>
        </w:rPr>
      </w:pPr>
    </w:p>
    <w:p>
      <w:pPr>
        <w:ind w:right="20" w:firstLine="1143"/>
        <w:spacing w:after="0" w:line="280" w:lineRule="auto"/>
        <w:tabs>
          <w:tab w:leader="none" w:pos="1373" w:val="left"/>
        </w:tabs>
        <w:numPr>
          <w:ilvl w:val="0"/>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Securities Act</w:t>
      </w:r>
      <w:r>
        <w:rPr>
          <w:rFonts w:ascii="Times New Roman" w:cs="Times New Roman" w:eastAsia="Times New Roman" w:hAnsi="Times New Roman"/>
          <w:sz w:val="16"/>
          <w:szCs w:val="16"/>
          <w:color w:val="auto"/>
        </w:rPr>
        <w:t>” means the Securities Act of 1933, as amended from time to time, or any successor federal law then in force, together with all rules and regulations promulgated thereunder.</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12" w:name="page213"/>
    <w:bookmarkEnd w:id="212"/>
    <w:p>
      <w:pPr>
        <w:jc w:val="both"/>
        <w:ind w:right="20" w:firstLine="1143"/>
        <w:spacing w:after="0" w:line="265" w:lineRule="auto"/>
        <w:tabs>
          <w:tab w:leader="none" w:pos="1408" w:val="left"/>
        </w:tabs>
        <w:numPr>
          <w:ilvl w:val="1"/>
          <w:numId w:val="2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Shelf Participant</w:t>
      </w:r>
      <w:r>
        <w:rPr>
          <w:rFonts w:ascii="Times New Roman" w:cs="Times New Roman" w:eastAsia="Times New Roman" w:hAnsi="Times New Roman"/>
          <w:sz w:val="16"/>
          <w:szCs w:val="16"/>
          <w:color w:val="auto"/>
        </w:rPr>
        <w:t>” means any holder of Registrable Securities listed as a potential selling stockholder in connection with the Resale Shelf Registration Statement or the Shelf Registration or any such holder that could be added to such Resale Shelf Registration Statement or Shelf Registration without the need for a post-effective amendment thereto or added by means of an automatic post-effective amendment thereto.</w:t>
      </w:r>
    </w:p>
    <w:p>
      <w:pPr>
        <w:spacing w:after="0" w:line="155"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1"/>
          <w:numId w:val="2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WKSI</w:t>
      </w:r>
      <w:r>
        <w:rPr>
          <w:rFonts w:ascii="Times New Roman" w:cs="Times New Roman" w:eastAsia="Times New Roman" w:hAnsi="Times New Roman"/>
          <w:sz w:val="16"/>
          <w:szCs w:val="16"/>
          <w:color w:val="auto"/>
        </w:rPr>
        <w:t>” means a “well-known seasoned issuer” as defined under Rule 405.</w:t>
      </w:r>
    </w:p>
    <w:p>
      <w:pPr>
        <w:spacing w:after="0" w:line="198" w:lineRule="exact"/>
        <w:rPr>
          <w:rFonts w:ascii="Times New Roman" w:cs="Times New Roman" w:eastAsia="Times New Roman" w:hAnsi="Times New Roman"/>
          <w:sz w:val="16"/>
          <w:szCs w:val="16"/>
          <w:color w:val="auto"/>
        </w:rPr>
      </w:pPr>
    </w:p>
    <w:p>
      <w:pPr>
        <w:ind w:left="620" w:hanging="242"/>
        <w:spacing w:after="0"/>
        <w:tabs>
          <w:tab w:leader="none" w:pos="620" w:val="left"/>
        </w:tabs>
        <w:numPr>
          <w:ilvl w:val="0"/>
          <w:numId w:val="2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Miscellaneous</w:t>
      </w:r>
      <w:r>
        <w:rPr>
          <w:rFonts w:ascii="Times New Roman" w:cs="Times New Roman" w:eastAsia="Times New Roman" w:hAnsi="Times New Roman"/>
          <w:sz w:val="16"/>
          <w:szCs w:val="16"/>
          <w:color w:val="auto"/>
        </w:rPr>
        <w:t>.</w:t>
      </w:r>
    </w:p>
    <w:p>
      <w:pPr>
        <w:spacing w:after="0" w:line="198" w:lineRule="exact"/>
        <w:rPr>
          <w:rFonts w:ascii="Times New Roman" w:cs="Times New Roman" w:eastAsia="Times New Roman" w:hAnsi="Times New Roman"/>
          <w:sz w:val="16"/>
          <w:szCs w:val="16"/>
          <w:color w:val="auto"/>
        </w:rPr>
      </w:pPr>
    </w:p>
    <w:p>
      <w:pPr>
        <w:ind w:right="20" w:firstLine="1143"/>
        <w:spacing w:after="0" w:line="280" w:lineRule="auto"/>
        <w:tabs>
          <w:tab w:leader="none" w:pos="1364" w:val="left"/>
        </w:tabs>
        <w:numPr>
          <w:ilvl w:val="1"/>
          <w:numId w:val="2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Inconsistent Agreements</w:t>
      </w:r>
      <w:r>
        <w:rPr>
          <w:rFonts w:ascii="Times New Roman" w:cs="Times New Roman" w:eastAsia="Times New Roman" w:hAnsi="Times New Roman"/>
          <w:sz w:val="16"/>
          <w:szCs w:val="16"/>
          <w:color w:val="auto"/>
        </w:rPr>
        <w:t>. Pubco shall not hereafter enter into any agreement with respect to its securities which is inconsistent with or violates or in any way impairs the rights granted to the Investors in this Agreement.</w:t>
      </w:r>
    </w:p>
    <w:p>
      <w:pPr>
        <w:spacing w:after="0" w:line="144"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73" w:val="left"/>
        </w:tabs>
        <w:numPr>
          <w:ilvl w:val="1"/>
          <w:numId w:val="2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This Agreement constitutes the entire agreement of the parties hereto with respect to the subject matter hereof and supersedes all prior agreements, understandings, negotiations and discussions among the parties hereto, written or oral, with respect to the subject matter hereof, and amends and restates the Prior Agreement its entirety.</w:t>
      </w:r>
    </w:p>
    <w:p>
      <w:pPr>
        <w:spacing w:after="0" w:line="155" w:lineRule="exact"/>
        <w:rPr>
          <w:rFonts w:ascii="Times New Roman" w:cs="Times New Roman" w:eastAsia="Times New Roman" w:hAnsi="Times New Roman"/>
          <w:sz w:val="16"/>
          <w:szCs w:val="16"/>
          <w:color w:val="auto"/>
        </w:rPr>
      </w:pPr>
    </w:p>
    <w:p>
      <w:pPr>
        <w:jc w:val="both"/>
        <w:ind w:right="20" w:firstLine="1143"/>
        <w:spacing w:after="0" w:line="257" w:lineRule="auto"/>
        <w:tabs>
          <w:tab w:leader="none" w:pos="1364" w:val="left"/>
        </w:tabs>
        <w:numPr>
          <w:ilvl w:val="1"/>
          <w:numId w:val="2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Remedies</w:t>
      </w:r>
      <w:r>
        <w:rPr>
          <w:rFonts w:ascii="Times New Roman" w:cs="Times New Roman" w:eastAsia="Times New Roman" w:hAnsi="Times New Roman"/>
          <w:sz w:val="16"/>
          <w:szCs w:val="16"/>
          <w:color w:val="auto"/>
        </w:rPr>
        <w:t>. Any Person having rights under any provision of this Agreement shall be entitled to enforce such rights specifically (without posting a bond or other security), to recover damages caused by reason of any breach of any provision of this Agreement and to exercise all other rights granted by law. The parties hereto agree and acknowledge that money damages would not be an adequate remedy for any breach of the provisions of this Agreement and that, in addition to any other rights and remedies existing in its favor, any party shall be entitled to specific performance and/or other injunctive relief from any court of law or equity of competent jurisdiction (without posting any bond or other security) in order to enforce or prevent violation of the provisions of this Agreement.</w:t>
      </w:r>
    </w:p>
    <w:p>
      <w:pPr>
        <w:spacing w:after="0" w:line="162" w:lineRule="exact"/>
        <w:rPr>
          <w:rFonts w:ascii="Times New Roman" w:cs="Times New Roman" w:eastAsia="Times New Roman" w:hAnsi="Times New Roman"/>
          <w:sz w:val="16"/>
          <w:szCs w:val="16"/>
          <w:color w:val="auto"/>
        </w:rPr>
      </w:pPr>
    </w:p>
    <w:p>
      <w:pPr>
        <w:jc w:val="both"/>
        <w:ind w:firstLine="1143"/>
        <w:spacing w:after="0" w:line="254" w:lineRule="auto"/>
        <w:tabs>
          <w:tab w:leader="none" w:pos="1373" w:val="left"/>
        </w:tabs>
        <w:numPr>
          <w:ilvl w:val="1"/>
          <w:numId w:val="2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Amendments and Waivers</w:t>
      </w:r>
      <w:r>
        <w:rPr>
          <w:rFonts w:ascii="Times New Roman" w:cs="Times New Roman" w:eastAsia="Times New Roman" w:hAnsi="Times New Roman"/>
          <w:sz w:val="16"/>
          <w:szCs w:val="16"/>
          <w:color w:val="auto"/>
        </w:rPr>
        <w:t xml:space="preserve">. Except as otherwise provided herein, the provisions of this Agreement may be amended or waived only with the prior written consent of Pubco and the holders of a majority of the Registrable Securities then outstanding; provided, that such majority shall include the Majority Presto Investors for so long as the Presto Investors hold at least 5% of the outstanding Common Stock on the date of such amendment or waiver,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xml:space="preserve">, that no amendment may materially and disproportionately adversely affect the rights of any holder of Registrable Securities compared to other holders of Registrable Securities without the consent of such adversely affected holder. Any amendment or waiver effected in accordance with this </w:t>
      </w:r>
      <w:r>
        <w:rPr>
          <w:rFonts w:ascii="Times New Roman" w:cs="Times New Roman" w:eastAsia="Times New Roman" w:hAnsi="Times New Roman"/>
          <w:sz w:val="16"/>
          <w:szCs w:val="16"/>
          <w:u w:val="single" w:color="auto"/>
          <w:color w:val="auto"/>
        </w:rPr>
        <w:t>Section 12(d)</w:t>
      </w:r>
      <w:r>
        <w:rPr>
          <w:rFonts w:ascii="Times New Roman" w:cs="Times New Roman" w:eastAsia="Times New Roman" w:hAnsi="Times New Roman"/>
          <w:sz w:val="16"/>
          <w:szCs w:val="16"/>
          <w:color w:val="auto"/>
        </w:rPr>
        <w:t xml:space="preserve"> shall be binding upon each Investor and Pubco. The failure of any party to enforce any of the provisions of this Agreement shall in no way be construed as a waiver of such provisions and shall not affect the right of such party thereafter to enforce each and every provision of this Agreement in accordance with its terms.</w:t>
      </w:r>
    </w:p>
    <w:p>
      <w:pPr>
        <w:spacing w:after="0" w:line="166" w:lineRule="exact"/>
        <w:rPr>
          <w:rFonts w:ascii="Times New Roman" w:cs="Times New Roman" w:eastAsia="Times New Roman" w:hAnsi="Times New Roman"/>
          <w:sz w:val="16"/>
          <w:szCs w:val="16"/>
          <w:color w:val="auto"/>
        </w:rPr>
      </w:pPr>
    </w:p>
    <w:p>
      <w:pPr>
        <w:jc w:val="both"/>
        <w:ind w:firstLine="1143"/>
        <w:spacing w:after="0" w:line="257" w:lineRule="auto"/>
        <w:tabs>
          <w:tab w:leader="none" w:pos="1364" w:val="left"/>
        </w:tabs>
        <w:numPr>
          <w:ilvl w:val="1"/>
          <w:numId w:val="2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Successors and Assigns</w:t>
      </w:r>
      <w:r>
        <w:rPr>
          <w:rFonts w:ascii="Times New Roman" w:cs="Times New Roman" w:eastAsia="Times New Roman" w:hAnsi="Times New Roman"/>
          <w:sz w:val="16"/>
          <w:szCs w:val="16"/>
          <w:color w:val="auto"/>
        </w:rPr>
        <w:t>. All covenants and agreements in this Agreement by or on behalf of any of the parties hereto shall bind and inure to the benefit of the respective successors and permitted assigns of the parties hereto whether so expressed or not. In addition, whether or not any express assignment has been made, the provisions of this Agreement which are for the benefit of purchasers or holders of Registrable Securities are also for the benefit of, and enforceable by, any subsequent holder of Registrable Securities and any subsequent holder of securities that are convertible into, or exercisable or exchangeable for, Registrable Securities. Pubco shall not assign its obligations hereunder without the prior written consent of the holders of a majority of the Registrable Securities then outstanding.</w:t>
      </w:r>
    </w:p>
    <w:p>
      <w:pPr>
        <w:spacing w:after="0" w:line="162" w:lineRule="exact"/>
        <w:rPr>
          <w:rFonts w:ascii="Times New Roman" w:cs="Times New Roman" w:eastAsia="Times New Roman" w:hAnsi="Times New Roman"/>
          <w:sz w:val="16"/>
          <w:szCs w:val="16"/>
          <w:color w:val="auto"/>
        </w:rPr>
      </w:pPr>
    </w:p>
    <w:p>
      <w:pPr>
        <w:jc w:val="both"/>
        <w:ind w:firstLine="1143"/>
        <w:spacing w:after="0" w:line="252" w:lineRule="auto"/>
        <w:tabs>
          <w:tab w:leader="none" w:pos="1370" w:val="left"/>
        </w:tabs>
        <w:numPr>
          <w:ilvl w:val="1"/>
          <w:numId w:val="2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Transfer of Rights</w:t>
      </w:r>
      <w:r>
        <w:rPr>
          <w:rFonts w:ascii="Times New Roman" w:cs="Times New Roman" w:eastAsia="Times New Roman" w:hAnsi="Times New Roman"/>
          <w:sz w:val="16"/>
          <w:szCs w:val="16"/>
          <w:color w:val="auto"/>
        </w:rPr>
        <w:t xml:space="preserve">. An Investor may transfer or assign, in whole or from time to time in part, to one or more Permitted Transferees, its rights and obligations under this Agreement and such rights will be transferred to such transferee effective upon receipt by Pubco of (A) written notice from such Investor stating the name and address of the transferee and identifying the number of Registrable Securities with respect to which rights under this Agreement are being transferred and the nature of the rights so transferred, and (B) except in the case of a transfer to an existing Investor, a written agreement from such transferee to be bound by the terms of this Agreement. A transferee of Registrable Securities who satisfies the conditions set forth in this </w:t>
      </w:r>
      <w:r>
        <w:rPr>
          <w:rFonts w:ascii="Times New Roman" w:cs="Times New Roman" w:eastAsia="Times New Roman" w:hAnsi="Times New Roman"/>
          <w:sz w:val="16"/>
          <w:szCs w:val="16"/>
          <w:u w:val="single" w:color="auto"/>
          <w:color w:val="auto"/>
        </w:rPr>
        <w:t>Section 12(f)</w:t>
      </w:r>
      <w:r>
        <w:rPr>
          <w:rFonts w:ascii="Times New Roman" w:cs="Times New Roman" w:eastAsia="Times New Roman" w:hAnsi="Times New Roman"/>
          <w:sz w:val="16"/>
          <w:szCs w:val="16"/>
          <w:color w:val="auto"/>
        </w:rPr>
        <w:t xml:space="preserve"> shall henceforth be an “Investor” for purposes of this Agreement and in the case of a transfer from a Presto Investor, Silver Rock Investor or the Sponsors, a transferee shall be considered a Presto Investor, a Silver Rock Investor or a Sponsor as shall be applicable. In the event a holder transfers Registrable Securities included on a Registration Statement and such Registrable Securities remain Registrable Securities following such transfer, at the request of such holder, Pubco shall use its reasonable best efforts to amend or supplement the Resale Shelf Registration Statement as may be necessary in order to enable such transferee to offer and sell such Registrable Securities pursuant to such Resale Shelf Registration Statement; provided that in no event shall Pubco be required to file a post-effective amendment to the Resale Shelf Registration Statement unless Pubco receives a written request from the subsequent transferee, requesting that its shares of Common Stock be included in the Resale Shelf Registration Statement, with all information reasonably requested by Pubco.</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13" w:name="page214"/>
    <w:bookmarkEnd w:id="213"/>
    <w:p>
      <w:pPr>
        <w:jc w:val="both"/>
        <w:ind w:left="-1120" w:firstLine="1143"/>
        <w:spacing w:after="0" w:line="265" w:lineRule="auto"/>
        <w:tabs>
          <w:tab w:leader="none" w:pos="253" w:val="left"/>
        </w:tabs>
        <w:numPr>
          <w:ilvl w:val="0"/>
          <w:numId w:val="2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Whenever possible, each provision of this Agreement shall be interpreted in such manner as to be effective and valid under applicable law, but if any provision of this Agreement is held to be prohibited by or invalid, illegal or unenforceable in any respect under any applicable law, such provision shall be ineffective only to the extent of such prohibition, invalidity, illegality or unenforceability, without invalidating the remainder of this Agreement.</w:t>
      </w:r>
    </w:p>
    <w:p>
      <w:pPr>
        <w:spacing w:after="0" w:line="155" w:lineRule="exact"/>
        <w:rPr>
          <w:rFonts w:ascii="Times New Roman" w:cs="Times New Roman" w:eastAsia="Times New Roman" w:hAnsi="Times New Roman"/>
          <w:sz w:val="16"/>
          <w:szCs w:val="16"/>
          <w:color w:val="auto"/>
        </w:rPr>
      </w:pPr>
    </w:p>
    <w:p>
      <w:pPr>
        <w:jc w:val="both"/>
        <w:ind w:left="-1120" w:right="20" w:firstLine="1143"/>
        <w:spacing w:after="0" w:line="265" w:lineRule="auto"/>
        <w:tabs>
          <w:tab w:leader="none" w:pos="265" w:val="left"/>
        </w:tabs>
        <w:numPr>
          <w:ilvl w:val="0"/>
          <w:numId w:val="2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This Agreement may be executed simultaneously in counterparts (including by means of facsimile, electronic mail, portable data format (PDF) or other electronic signature pages), any one of which need not contain the signatures of more than one party, but all such counterparts taken together shall constitute one and the same Agreement.</w:t>
      </w:r>
    </w:p>
    <w:p>
      <w:pPr>
        <w:spacing w:after="0" w:line="155" w:lineRule="exact"/>
        <w:rPr>
          <w:rFonts w:ascii="Times New Roman" w:cs="Times New Roman" w:eastAsia="Times New Roman" w:hAnsi="Times New Roman"/>
          <w:sz w:val="16"/>
          <w:szCs w:val="16"/>
          <w:color w:val="auto"/>
        </w:rPr>
      </w:pPr>
    </w:p>
    <w:p>
      <w:pPr>
        <w:jc w:val="both"/>
        <w:ind w:left="-1120" w:firstLine="1143"/>
        <w:spacing w:after="0" w:line="259" w:lineRule="auto"/>
        <w:tabs>
          <w:tab w:leader="none" w:pos="229" w:val="left"/>
        </w:tabs>
        <w:numPr>
          <w:ilvl w:val="0"/>
          <w:numId w:val="2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Descriptive Headings; Interpretation</w:t>
      </w:r>
      <w:r>
        <w:rPr>
          <w:rFonts w:ascii="Times New Roman" w:cs="Times New Roman" w:eastAsia="Times New Roman" w:hAnsi="Times New Roman"/>
          <w:sz w:val="16"/>
          <w:szCs w:val="16"/>
          <w:color w:val="auto"/>
        </w:rPr>
        <w:t>. The descriptive headings of this Agreement are inserted for convenience only and do not constitute a part of this Agreement. Unless the context otherwise required: (i) the use of the word “including” herein shall mean “including without limitation,” (ii) all references to Sections, Schedules or Exhibits are to Sections, Schedules or Exhibits contained in or attached to this Agreement, and (iii) words in the singular or plural include the singular and plural, and pronouns stated in either the masculine, the feminine or neuter gender shall include the masculine, feminine and neuter.</w:t>
      </w:r>
    </w:p>
    <w:p>
      <w:pPr>
        <w:spacing w:after="0" w:line="161" w:lineRule="exact"/>
        <w:rPr>
          <w:rFonts w:ascii="Times New Roman" w:cs="Times New Roman" w:eastAsia="Times New Roman" w:hAnsi="Times New Roman"/>
          <w:sz w:val="16"/>
          <w:szCs w:val="16"/>
          <w:color w:val="auto"/>
        </w:rPr>
      </w:pPr>
    </w:p>
    <w:p>
      <w:pPr>
        <w:jc w:val="both"/>
        <w:ind w:left="-1120" w:right="20" w:firstLine="1143"/>
        <w:spacing w:after="0" w:line="265" w:lineRule="auto"/>
        <w:tabs>
          <w:tab w:leader="none" w:pos="217" w:val="left"/>
        </w:tabs>
        <w:numPr>
          <w:ilvl w:val="0"/>
          <w:numId w:val="2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 Jurisdiction</w:t>
      </w:r>
      <w:r>
        <w:rPr>
          <w:rFonts w:ascii="Times New Roman" w:cs="Times New Roman" w:eastAsia="Times New Roman" w:hAnsi="Times New Roman"/>
          <w:sz w:val="16"/>
          <w:szCs w:val="16"/>
          <w:color w:val="auto"/>
        </w:rPr>
        <w:t>. This Agreement, and all claims or causes of action based upon, arising out of, or related to this Agreement or the transactions contemplated hereby, shall be governed by, and construed in accordance with, the Laws of the State of Delaware, without giving effect to principles or rules of conflict of laws to the extent such principles or rules would require or permit the application of Laws of another jurisdiction.</w:t>
      </w:r>
    </w:p>
    <w:p>
      <w:pPr>
        <w:spacing w:after="0" w:line="155" w:lineRule="exact"/>
        <w:rPr>
          <w:rFonts w:ascii="Times New Roman" w:cs="Times New Roman" w:eastAsia="Times New Roman" w:hAnsi="Times New Roman"/>
          <w:sz w:val="16"/>
          <w:szCs w:val="16"/>
          <w:color w:val="auto"/>
        </w:rPr>
      </w:pPr>
    </w:p>
    <w:p>
      <w:pPr>
        <w:jc w:val="both"/>
        <w:ind w:left="-1120" w:firstLine="1143"/>
        <w:spacing w:after="0" w:line="259" w:lineRule="auto"/>
        <w:tabs>
          <w:tab w:leader="none" w:pos="253" w:val="left"/>
        </w:tabs>
        <w:numPr>
          <w:ilvl w:val="0"/>
          <w:numId w:val="2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xml:space="preserve">. All notices, demands or other communications to be given or delivered under or by reason of the provisions of this Agreement shall be in writing and shall be given (and shall be deemed to have been duly given upon receipt) by delivery in person, by or email or by registered or certified mail (postage prepaid, return receipt requested) to each Investor at the address indicated on the Schedule of Investors attached hereto and to Pubco at the address indicated below (or at such other address as shall be specified in a notice given in accordance with this </w:t>
      </w:r>
      <w:r>
        <w:rPr>
          <w:rFonts w:ascii="Times New Roman" w:cs="Times New Roman" w:eastAsia="Times New Roman" w:hAnsi="Times New Roman"/>
          <w:sz w:val="16"/>
          <w:szCs w:val="16"/>
          <w:u w:val="single" w:color="auto"/>
          <w:color w:val="auto"/>
        </w:rPr>
        <w:t>Section 12(k)</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Annex J- E La Carte, Inc. d/b/a Presto</w:t>
      </w:r>
    </w:p>
    <w:p>
      <w:pPr>
        <w:spacing w:after="0" w:line="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810 Hamilton St.</w:t>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Redwood City, CA 94063</w:t>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E-mail: raj@presto.com</w:t>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Attention: Rajat Suri</w:t>
      </w:r>
    </w:p>
    <w:p>
      <w:pPr>
        <w:spacing w:after="0" w:line="1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with a copy to:</w:t>
      </w:r>
    </w:p>
    <w:p>
      <w:pPr>
        <w:spacing w:after="0" w:line="19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White &amp; Case LLP</w:t>
      </w:r>
    </w:p>
    <w:p>
      <w:pPr>
        <w:spacing w:after="0" w:line="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1221 Avenue of the Americas</w:t>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New York, NY 10020-1095</w:t>
      </w:r>
    </w:p>
    <w:p>
      <w:pPr>
        <w:spacing w:after="0" w:line="7" w:lineRule="exact"/>
        <w:rPr>
          <w:sz w:val="20"/>
          <w:szCs w:val="20"/>
          <w:color w:val="auto"/>
        </w:rPr>
      </w:pPr>
    </w:p>
    <w:p>
      <w:pPr>
        <w:ind w:left="580"/>
        <w:spacing w:after="0"/>
        <w:tabs>
          <w:tab w:leader="none" w:pos="1680" w:val="left"/>
        </w:tabs>
        <w:rPr>
          <w:sz w:val="20"/>
          <w:szCs w:val="20"/>
          <w:color w:val="auto"/>
        </w:rPr>
      </w:pPr>
      <w:r>
        <w:rPr>
          <w:rFonts w:ascii="Times New Roman" w:cs="Times New Roman" w:eastAsia="Times New Roman" w:hAnsi="Times New Roman"/>
          <w:sz w:val="16"/>
          <w:szCs w:val="16"/>
          <w:color w:val="auto"/>
        </w:rPr>
        <w:t>Email:</w:t>
      </w:r>
      <w:r>
        <w:rPr>
          <w:sz w:val="20"/>
          <w:szCs w:val="20"/>
          <w:color w:val="auto"/>
        </w:rPr>
        <w:tab/>
      </w:r>
      <w:r>
        <w:rPr>
          <w:rFonts w:ascii="Times New Roman" w:cs="Times New Roman" w:eastAsia="Times New Roman" w:hAnsi="Times New Roman"/>
          <w:sz w:val="16"/>
          <w:szCs w:val="16"/>
          <w:color w:val="auto"/>
        </w:rPr>
        <w:t>cdiamond@whitecase.com</w:t>
      </w:r>
    </w:p>
    <w:p>
      <w:pPr>
        <w:spacing w:after="0" w:line="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6"/>
          <w:szCs w:val="16"/>
          <w:color w:val="auto"/>
        </w:rPr>
        <w:t>laurakatherine.mann@whitecase.com</w:t>
      </w:r>
    </w:p>
    <w:p>
      <w:pPr>
        <w:spacing w:after="0" w:line="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6"/>
          <w:szCs w:val="16"/>
          <w:color w:val="auto"/>
        </w:rPr>
        <w:t>emery.choi@whitecase.com</w:t>
      </w:r>
    </w:p>
    <w:p>
      <w:pPr>
        <w:sectPr>
          <w:pgSz w:w="11900" w:h="16838" w:orient="portrait"/>
          <w:cols w:equalWidth="0" w:num="1">
            <w:col w:w="10140"/>
          </w:cols>
          <w:pgMar w:left="1440" w:top="816" w:right="319" w:bottom="1440" w:gutter="0" w:footer="0" w:header="0"/>
        </w:sectPr>
      </w:pP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Colin Diamond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Laura Katherine Mann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Emery Choi</w:t>
      </w:r>
    </w:p>
    <w:p>
      <w:pPr>
        <w:spacing w:after="0" w:line="200" w:lineRule="exact"/>
        <w:rPr>
          <w:sz w:val="20"/>
          <w:szCs w:val="20"/>
          <w:color w:val="auto"/>
        </w:rPr>
      </w:pPr>
    </w:p>
    <w:p>
      <w:pPr>
        <w:sectPr>
          <w:pgSz w:w="11900" w:h="16838" w:orient="portrait"/>
          <w:cols w:equalWidth="0" w:num="2">
            <w:col w:w="1220" w:space="480"/>
            <w:col w:w="8440"/>
          </w:cols>
          <w:pgMar w:left="1440" w:top="816" w:right="319" w:bottom="1440" w:gutter="0" w:footer="0" w:header="0"/>
          <w:type w:val="continuous"/>
        </w:sectPr>
      </w:pPr>
    </w:p>
    <w:p>
      <w:pPr>
        <w:spacing w:after="0" w:line="16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13970</wp:posOffset>
            </wp:positionV>
            <wp:extent cx="7148195" cy="152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0"/>
          </w:cols>
          <w:pgMar w:left="1440" w:top="816" w:right="319" w:bottom="1440" w:gutter="0" w:footer="0" w:header="0"/>
          <w:type w:val="continuous"/>
        </w:sectPr>
      </w:pPr>
    </w:p>
    <w:bookmarkStart w:id="214" w:name="page215"/>
    <w:bookmarkEnd w:id="214"/>
    <w:p>
      <w:pPr>
        <w:jc w:val="both"/>
        <w:ind w:firstLine="1143"/>
        <w:spacing w:after="0" w:line="259" w:lineRule="auto"/>
        <w:tabs>
          <w:tab w:leader="none" w:pos="1349"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Mutual Waiver of Jury Trial</w:t>
      </w:r>
      <w:r>
        <w:rPr>
          <w:rFonts w:ascii="Times New Roman" w:cs="Times New Roman" w:eastAsia="Times New Roman" w:hAnsi="Times New Roman"/>
          <w:sz w:val="16"/>
          <w:szCs w:val="16"/>
          <w:color w:val="auto"/>
        </w:rPr>
        <w:t>. As a specifically bargained inducement for each of the parties to enter into this Agreement (with each party having had opportunity to consult counsel), each party hereto expressly and irrevocably waives the right to trial by jury in any lawsuit or legal proceeding relating to or arising in any way from this Agreement or the transactions contemplated herein, and any lawsuit or legal proceeding relating to or arising in any way to this Agreement or the transactions contemplated herein shall be tried in a court of competent jurisdiction by a judge sitting without a jury.</w:t>
      </w:r>
    </w:p>
    <w:p>
      <w:pPr>
        <w:spacing w:after="0" w:line="161" w:lineRule="exact"/>
        <w:rPr>
          <w:rFonts w:ascii="Times New Roman" w:cs="Times New Roman" w:eastAsia="Times New Roman" w:hAnsi="Times New Roman"/>
          <w:sz w:val="16"/>
          <w:szCs w:val="16"/>
          <w:color w:val="auto"/>
        </w:rPr>
      </w:pPr>
    </w:p>
    <w:p>
      <w:pPr>
        <w:jc w:val="both"/>
        <w:ind w:firstLine="1143"/>
        <w:spacing w:after="0" w:line="265" w:lineRule="auto"/>
        <w:tabs>
          <w:tab w:leader="none" w:pos="1429"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Strict Construction</w:t>
      </w:r>
      <w:r>
        <w:rPr>
          <w:rFonts w:ascii="Times New Roman" w:cs="Times New Roman" w:eastAsia="Times New Roman" w:hAnsi="Times New Roman"/>
          <w:sz w:val="16"/>
          <w:szCs w:val="16"/>
          <w:color w:val="auto"/>
        </w:rPr>
        <w:t>.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of the provisions of this Agreement.</w:t>
      </w:r>
    </w:p>
    <w:p>
      <w:pPr>
        <w:spacing w:after="0" w:line="155" w:lineRule="exact"/>
        <w:rPr>
          <w:rFonts w:ascii="Times New Roman" w:cs="Times New Roman" w:eastAsia="Times New Roman" w:hAnsi="Times New Roman"/>
          <w:sz w:val="16"/>
          <w:szCs w:val="16"/>
          <w:color w:val="auto"/>
        </w:rPr>
      </w:pPr>
    </w:p>
    <w:p>
      <w:pPr>
        <w:ind w:left="53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 * * *</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6"/>
          <w:szCs w:val="16"/>
          <w:color w:val="auto"/>
        </w:rPr>
        <w:t>IN WITNESS WHEREOF, the parties hereto have executed this Amended and Restated Registration Rights Agreement as of the date first written above.</w:t>
      </w:r>
    </w:p>
    <w:p>
      <w:pPr>
        <w:spacing w:after="0" w:line="198"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VENTOUX CCM ACQUISITION CORP.</w:t>
      </w:r>
    </w:p>
    <w:p>
      <w:pPr>
        <w:spacing w:after="0" w:line="270"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By:</w:t>
      </w:r>
    </w:p>
    <w:p>
      <w:pPr>
        <w:spacing w:after="0" w:line="31"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4407535</wp:posOffset>
            </wp:positionH>
            <wp:positionV relativeFrom="paragraph">
              <wp:posOffset>-113030</wp:posOffset>
            </wp:positionV>
            <wp:extent cx="2496820" cy="152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4"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Title:</w:t>
      </w:r>
    </w:p>
    <w:p>
      <w:pPr>
        <w:spacing w:after="0" w:line="194"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INVESTORS:</w:t>
      </w:r>
    </w:p>
    <w:p>
      <w:pPr>
        <w:spacing w:after="0" w:line="198"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VENTOUX ACQUISITION HOLDINGS LLC</w:t>
      </w:r>
    </w:p>
    <w:p>
      <w:pPr>
        <w:spacing w:after="0" w:line="198"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By:</w:t>
      </w:r>
    </w:p>
    <w:p>
      <w:pPr>
        <w:spacing w:after="0" w:line="31"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4407535</wp:posOffset>
            </wp:positionH>
            <wp:positionV relativeFrom="paragraph">
              <wp:posOffset>-113030</wp:posOffset>
            </wp:positionV>
            <wp:extent cx="2496820" cy="152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4"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Title:</w:t>
      </w:r>
    </w:p>
    <w:p>
      <w:pPr>
        <w:spacing w:after="0" w:line="194"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5"/>
          <w:szCs w:val="15"/>
          <w:color w:val="auto"/>
        </w:rPr>
        <w:t>CHARDAN INTERNATIONAL INVESTMENTS, LLC</w:t>
      </w:r>
    </w:p>
    <w:p>
      <w:pPr>
        <w:spacing w:after="0" w:line="210"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By:</w:t>
      </w:r>
    </w:p>
    <w:p>
      <w:pPr>
        <w:spacing w:after="0" w:line="31"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4407535</wp:posOffset>
            </wp:positionH>
            <wp:positionV relativeFrom="paragraph">
              <wp:posOffset>-113030</wp:posOffset>
            </wp:positionV>
            <wp:extent cx="2496820" cy="152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4"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Title:</w:t>
      </w:r>
    </w:p>
    <w:p>
      <w:pPr>
        <w:spacing w:after="0" w:line="194"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SILVER ROCK CONTINGENT CREDIT FUND LP</w:t>
      </w:r>
    </w:p>
    <w:p>
      <w:pPr>
        <w:spacing w:after="0" w:line="198"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By:</w:t>
      </w:r>
    </w:p>
    <w:p>
      <w:pPr>
        <w:spacing w:after="0" w:line="31"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4407535</wp:posOffset>
            </wp:positionH>
            <wp:positionV relativeFrom="paragraph">
              <wp:posOffset>-113030</wp:posOffset>
            </wp:positionV>
            <wp:extent cx="2496820" cy="152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4"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Title:</w:t>
      </w:r>
    </w:p>
    <w:p>
      <w:pPr>
        <w:spacing w:after="0" w:line="194"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5"/>
          <w:szCs w:val="15"/>
          <w:color w:val="auto"/>
        </w:rPr>
        <w:t>SILVER ROCK TACTICAL ALLOCATION FUND LP</w:t>
      </w:r>
    </w:p>
    <w:p>
      <w:pPr>
        <w:spacing w:after="0" w:line="210"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By:</w:t>
      </w:r>
    </w:p>
    <w:p>
      <w:pPr>
        <w:spacing w:after="0" w:line="31"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4407535</wp:posOffset>
            </wp:positionH>
            <wp:positionV relativeFrom="paragraph">
              <wp:posOffset>-113030</wp:posOffset>
            </wp:positionV>
            <wp:extent cx="2496820" cy="152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4"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Title:</w:t>
      </w:r>
    </w:p>
    <w:p>
      <w:pPr>
        <w:spacing w:after="0" w:line="194"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CINDAT USA LLC</w:t>
      </w:r>
    </w:p>
    <w:p>
      <w:pPr>
        <w:spacing w:after="0" w:line="198"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By:</w:t>
      </w:r>
    </w:p>
    <w:p>
      <w:pPr>
        <w:spacing w:after="0" w:line="31"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4407535</wp:posOffset>
            </wp:positionH>
            <wp:positionV relativeFrom="paragraph">
              <wp:posOffset>-113030</wp:posOffset>
            </wp:positionV>
            <wp:extent cx="2496820" cy="152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4"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Title:</w:t>
      </w:r>
    </w:p>
    <w:p>
      <w:pPr>
        <w:spacing w:after="0" w:line="194"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BLIND 1212, LLC</w:t>
      </w:r>
    </w:p>
    <w:p>
      <w:pPr>
        <w:spacing w:after="0" w:line="198"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By:</w:t>
      </w:r>
    </w:p>
    <w:p>
      <w:pPr>
        <w:spacing w:after="0" w:line="31"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4407535</wp:posOffset>
            </wp:positionH>
            <wp:positionV relativeFrom="paragraph">
              <wp:posOffset>-113030</wp:posOffset>
            </wp:positionV>
            <wp:extent cx="2496820" cy="152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4"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Title:</w:t>
      </w:r>
    </w:p>
    <w:p>
      <w:pPr>
        <w:spacing w:after="0" w:line="194"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JULIE ATKINSON</w:t>
      </w:r>
    </w:p>
    <w:p>
      <w:pPr>
        <w:spacing w:after="0" w:line="198"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By:</w:t>
      </w:r>
    </w:p>
    <w:p>
      <w:pPr>
        <w:spacing w:after="0" w:line="31"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4407535</wp:posOffset>
            </wp:positionH>
            <wp:positionV relativeFrom="paragraph">
              <wp:posOffset>-113030</wp:posOffset>
            </wp:positionV>
            <wp:extent cx="2496820" cy="152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190"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CHRISTIAN AHRENS</w:t>
      </w:r>
    </w:p>
    <w:p>
      <w:pPr>
        <w:spacing w:after="0" w:line="198"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By:</w:t>
      </w:r>
    </w:p>
    <w:p>
      <w:pPr>
        <w:spacing w:after="0" w:line="31"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4407535</wp:posOffset>
            </wp:positionH>
            <wp:positionV relativeFrom="paragraph">
              <wp:posOffset>-113030</wp:posOffset>
            </wp:positionV>
            <wp:extent cx="2496820" cy="152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190"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ROMULUS CAPITAL II, L.P.</w:t>
      </w:r>
    </w:p>
    <w:p>
      <w:pPr>
        <w:spacing w:after="0" w:line="198"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By:</w:t>
      </w:r>
    </w:p>
    <w:p>
      <w:pPr>
        <w:spacing w:after="0" w:line="31"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4407535</wp:posOffset>
            </wp:positionH>
            <wp:positionV relativeFrom="paragraph">
              <wp:posOffset>-113030</wp:posOffset>
            </wp:positionV>
            <wp:extent cx="2496820" cy="152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373"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9"/>
          <w:szCs w:val="19"/>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13970</wp:posOffset>
            </wp:positionV>
            <wp:extent cx="7148195" cy="152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000"/>
          </w:cols>
          <w:pgMar w:left="700" w:top="816" w:right="1199" w:bottom="1440" w:gutter="0" w:footer="0" w:header="0"/>
        </w:sectPr>
      </w:pPr>
    </w:p>
    <w:bookmarkStart w:id="216" w:name="page217"/>
    <w:bookmarkEnd w:id="216"/>
    <w:p>
      <w:pPr>
        <w:ind w:left="5640"/>
        <w:spacing w:after="0"/>
        <w:rPr>
          <w:sz w:val="20"/>
          <w:szCs w:val="20"/>
          <w:color w:val="auto"/>
        </w:rPr>
      </w:pPr>
      <w:r>
        <w:rPr>
          <w:rFonts w:ascii="Times New Roman" w:cs="Times New Roman" w:eastAsia="Times New Roman" w:hAnsi="Times New Roman"/>
          <w:sz w:val="16"/>
          <w:szCs w:val="16"/>
          <w:color w:val="auto"/>
        </w:rPr>
        <w:t>ROMULUS CAPITAL III, L.P.</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By:</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-113030</wp:posOffset>
            </wp:positionV>
            <wp:extent cx="2496820" cy="152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19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ROMULUS ELC B3 SPECIAL OPPORTUNITY, L.P.</w:t>
      </w:r>
    </w:p>
    <w:p>
      <w:pPr>
        <w:spacing w:after="0" w:line="21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By:</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-113030</wp:posOffset>
            </wp:positionV>
            <wp:extent cx="2496820" cy="152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19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RAJAT SURI</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By:</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-113030</wp:posOffset>
            </wp:positionV>
            <wp:extent cx="2496820" cy="152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19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ASHISH GUPTA</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By:</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-113030</wp:posOffset>
            </wp:positionV>
            <wp:extent cx="2496820" cy="152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19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DANIEL DREYMAN</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By:</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-113030</wp:posOffset>
            </wp:positionV>
            <wp:extent cx="2496820" cy="152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19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WILLIAM HEALEY</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By:</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-113030</wp:posOffset>
            </wp:positionV>
            <wp:extent cx="2496820" cy="152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19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DAN MOSHER</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By:</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-113030</wp:posOffset>
            </wp:positionV>
            <wp:extent cx="2496820" cy="152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19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KRISHNA GUPTA</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By:</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-113030</wp:posOffset>
            </wp:positionV>
            <wp:extent cx="2496820" cy="152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19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ILYA GOLUBOVICH</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By:</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-113030</wp:posOffset>
            </wp:positionV>
            <wp:extent cx="2496820" cy="152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19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KIM AXEL LOPDRUP</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By:</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-113030</wp:posOffset>
            </wp:positionV>
            <wp:extent cx="2496820" cy="152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19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BLYTHE MCGARVIE</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By:</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-113030</wp:posOffset>
            </wp:positionV>
            <wp:extent cx="2496820" cy="152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19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ED SCHEETZ</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By:</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-113030</wp:posOffset>
            </wp:positionV>
            <wp:extent cx="2496820" cy="152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19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GAIL ZAUDER</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By:</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-113030</wp:posOffset>
            </wp:positionV>
            <wp:extent cx="2496820" cy="152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37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9"/>
          <w:szCs w:val="19"/>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13970</wp:posOffset>
            </wp:positionV>
            <wp:extent cx="7148195" cy="152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120"/>
          </w:cols>
          <w:pgMar w:left="1440" w:top="816" w:right="1339" w:bottom="1440" w:gutter="0" w:footer="0" w:header="0"/>
        </w:sectPr>
      </w:pPr>
    </w:p>
    <w:bookmarkStart w:id="217" w:name="page218"/>
    <w:bookmarkEnd w:id="217"/>
    <w:tbl>
      <w:tblPr>
        <w:tblLayout w:type="fixed"/>
        <w:tblInd w:w="10" w:type="dxa"/>
        <w:tblCellMar>
          <w:top w:w="0" w:type="dxa"/>
          <w:left w:w="0" w:type="dxa"/>
          <w:bottom w:w="0" w:type="dxa"/>
          <w:right w:w="0" w:type="dxa"/>
        </w:tblCellMar>
      </w:tblPr>
      <w:tr>
        <w:trPr>
          <w:trHeight w:val="210"/>
        </w:trPr>
        <w:tc>
          <w:tcPr>
            <w:tcW w:w="3700" w:type="dxa"/>
            <w:vAlign w:val="bottom"/>
          </w:tcPr>
          <w:p>
            <w:pPr>
              <w:spacing w:after="0"/>
              <w:rPr>
                <w:sz w:val="18"/>
                <w:szCs w:val="18"/>
                <w:color w:val="auto"/>
              </w:rPr>
            </w:pPr>
          </w:p>
        </w:tc>
        <w:tc>
          <w:tcPr>
            <w:tcW w:w="7560" w:type="dxa"/>
            <w:vAlign w:val="bottom"/>
            <w:gridSpan w:val="2"/>
          </w:tcPr>
          <w:p>
            <w:pPr>
              <w:jc w:val="center"/>
              <w:ind w:right="3621"/>
              <w:spacing w:after="0"/>
              <w:rPr>
                <w:sz w:val="20"/>
                <w:szCs w:val="20"/>
                <w:color w:val="auto"/>
              </w:rPr>
            </w:pPr>
            <w:r>
              <w:rPr>
                <w:rFonts w:ascii="Times New Roman" w:cs="Times New Roman" w:eastAsia="Times New Roman" w:hAnsi="Times New Roman"/>
                <w:sz w:val="16"/>
                <w:szCs w:val="16"/>
                <w:b w:val="1"/>
                <w:bCs w:val="1"/>
                <w:color w:val="auto"/>
                <w:w w:val="99"/>
              </w:rPr>
              <w:t>SCHEDULE OF INVESTORS</w:t>
            </w:r>
          </w:p>
        </w:tc>
      </w:tr>
      <w:tr>
        <w:trPr>
          <w:trHeight w:val="191"/>
        </w:trPr>
        <w:tc>
          <w:tcPr>
            <w:tcW w:w="37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spacing w:after="0"/>
              <w:rPr>
                <w:sz w:val="16"/>
                <w:szCs w:val="16"/>
                <w:color w:val="auto"/>
              </w:rPr>
            </w:pPr>
          </w:p>
        </w:tc>
        <w:tc>
          <w:tcPr>
            <w:tcW w:w="5620" w:type="dxa"/>
            <w:vAlign w:val="bottom"/>
            <w:tcBorders>
              <w:bottom w:val="single" w:sz="8" w:color="auto"/>
            </w:tcBorders>
          </w:tcPr>
          <w:p>
            <w:pPr>
              <w:spacing w:after="0"/>
              <w:rPr>
                <w:sz w:val="16"/>
                <w:szCs w:val="16"/>
                <w:color w:val="auto"/>
              </w:rPr>
            </w:pPr>
          </w:p>
        </w:tc>
      </w:tr>
      <w:tr>
        <w:trPr>
          <w:trHeight w:val="183"/>
        </w:trPr>
        <w:tc>
          <w:tcPr>
            <w:tcW w:w="3700" w:type="dxa"/>
            <w:vAlign w:val="bottom"/>
            <w:tcBorders>
              <w:left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Investor</w:t>
            </w:r>
          </w:p>
        </w:tc>
        <w:tc>
          <w:tcPr>
            <w:tcW w:w="1940" w:type="dxa"/>
            <w:vAlign w:val="bottom"/>
            <w:tcBorders>
              <w:bottom w:val="single" w:sz="8" w:color="auto"/>
              <w:right w:val="single" w:sz="8" w:color="auto"/>
            </w:tcBorders>
          </w:tcPr>
          <w:p>
            <w:pPr>
              <w:spacing w:after="0"/>
              <w:rPr>
                <w:sz w:val="15"/>
                <w:szCs w:val="15"/>
                <w:color w:val="auto"/>
              </w:rPr>
            </w:pPr>
          </w:p>
        </w:tc>
        <w:tc>
          <w:tcPr>
            <w:tcW w:w="56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Address</w:t>
            </w:r>
          </w:p>
        </w:tc>
      </w:tr>
      <w:tr>
        <w:trPr>
          <w:trHeight w:val="167"/>
        </w:trPr>
        <w:tc>
          <w:tcPr>
            <w:tcW w:w="3700" w:type="dxa"/>
            <w:vAlign w:val="bottom"/>
            <w:tcBorders>
              <w:left w:val="single" w:sz="8" w:color="auto"/>
            </w:tcBorders>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Ventoux Acquisition Holdings LLC</w:t>
            </w:r>
          </w:p>
        </w:tc>
        <w:tc>
          <w:tcPr>
            <w:tcW w:w="1940" w:type="dxa"/>
            <w:vAlign w:val="bottom"/>
            <w:tcBorders>
              <w:right w:val="single" w:sz="8" w:color="auto"/>
            </w:tcBorders>
          </w:tcPr>
          <w:p>
            <w:pPr>
              <w:spacing w:after="0"/>
              <w:rPr>
                <w:sz w:val="14"/>
                <w:szCs w:val="14"/>
                <w:color w:val="auto"/>
              </w:rPr>
            </w:pPr>
          </w:p>
        </w:tc>
        <w:tc>
          <w:tcPr>
            <w:tcW w:w="5620" w:type="dxa"/>
            <w:vAlign w:val="bottom"/>
            <w:tcBorders>
              <w:right w:val="single" w:sz="8" w:color="auto"/>
            </w:tcBorders>
          </w:tcPr>
          <w:p>
            <w:pPr>
              <w:ind w:left="40"/>
              <w:spacing w:after="0" w:line="167" w:lineRule="exact"/>
              <w:rPr>
                <w:sz w:val="20"/>
                <w:szCs w:val="20"/>
                <w:color w:val="auto"/>
              </w:rPr>
            </w:pPr>
            <w:r>
              <w:rPr>
                <w:rFonts w:ascii="Times New Roman" w:cs="Times New Roman" w:eastAsia="Times New Roman" w:hAnsi="Times New Roman"/>
                <w:sz w:val="16"/>
                <w:szCs w:val="16"/>
                <w:color w:val="auto"/>
              </w:rPr>
              <w:t>Ventoux Acquisition Holdings LLC</w:t>
            </w:r>
          </w:p>
        </w:tc>
      </w:tr>
      <w:tr>
        <w:trPr>
          <w:trHeight w:val="191"/>
        </w:trPr>
        <w:tc>
          <w:tcPr>
            <w:tcW w:w="3700" w:type="dxa"/>
            <w:vAlign w:val="bottom"/>
            <w:tcBorders>
              <w:left w:val="single" w:sz="8" w:color="auto"/>
            </w:tcBorders>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211 North Street</w:t>
            </w:r>
          </w:p>
        </w:tc>
      </w:tr>
      <w:tr>
        <w:trPr>
          <w:trHeight w:val="191"/>
        </w:trPr>
        <w:tc>
          <w:tcPr>
            <w:tcW w:w="3700" w:type="dxa"/>
            <w:vAlign w:val="bottom"/>
            <w:tcBorders>
              <w:left w:val="single" w:sz="8" w:color="auto"/>
            </w:tcBorders>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Northampton, MA 01060</w:t>
            </w:r>
          </w:p>
        </w:tc>
      </w:tr>
      <w:tr>
        <w:trPr>
          <w:trHeight w:val="191"/>
        </w:trPr>
        <w:tc>
          <w:tcPr>
            <w:tcW w:w="3700" w:type="dxa"/>
            <w:vAlign w:val="bottom"/>
            <w:tcBorders>
              <w:left w:val="single" w:sz="8" w:color="auto"/>
            </w:tcBorders>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Ed Scheetz</w:t>
            </w:r>
          </w:p>
        </w:tc>
      </w:tr>
      <w:tr>
        <w:trPr>
          <w:trHeight w:val="208"/>
        </w:trPr>
        <w:tc>
          <w:tcPr>
            <w:tcW w:w="3700" w:type="dxa"/>
            <w:vAlign w:val="bottom"/>
            <w:tcBorders>
              <w:lef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ed@ventouxccm.com</w:t>
            </w:r>
          </w:p>
        </w:tc>
      </w:tr>
      <w:tr>
        <w:trPr>
          <w:trHeight w:val="382"/>
        </w:trPr>
        <w:tc>
          <w:tcPr>
            <w:tcW w:w="3700" w:type="dxa"/>
            <w:vAlign w:val="bottom"/>
            <w:tcBorders>
              <w:left w:val="single" w:sz="8" w:color="auto"/>
            </w:tcBorders>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with a copy (which shall not constitute notice) to:</w:t>
            </w:r>
          </w:p>
        </w:tc>
      </w:tr>
      <w:tr>
        <w:trPr>
          <w:trHeight w:val="366"/>
        </w:trPr>
        <w:tc>
          <w:tcPr>
            <w:tcW w:w="3700" w:type="dxa"/>
            <w:vAlign w:val="bottom"/>
            <w:tcBorders>
              <w:left w:val="single" w:sz="8" w:color="auto"/>
            </w:tcBorders>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Dentons LLP</w:t>
            </w:r>
          </w:p>
        </w:tc>
      </w:tr>
      <w:tr>
        <w:trPr>
          <w:trHeight w:val="191"/>
        </w:trPr>
        <w:tc>
          <w:tcPr>
            <w:tcW w:w="3700" w:type="dxa"/>
            <w:vAlign w:val="bottom"/>
            <w:tcBorders>
              <w:left w:val="single" w:sz="8" w:color="auto"/>
            </w:tcBorders>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1221 Avenue of the Americas</w:t>
            </w:r>
          </w:p>
        </w:tc>
      </w:tr>
      <w:tr>
        <w:trPr>
          <w:trHeight w:val="191"/>
        </w:trPr>
        <w:tc>
          <w:tcPr>
            <w:tcW w:w="3700" w:type="dxa"/>
            <w:vAlign w:val="bottom"/>
            <w:tcBorders>
              <w:left w:val="single" w:sz="8" w:color="auto"/>
            </w:tcBorders>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New York, NY 10020</w:t>
            </w:r>
          </w:p>
        </w:tc>
      </w:tr>
      <w:tr>
        <w:trPr>
          <w:trHeight w:val="191"/>
        </w:trPr>
        <w:tc>
          <w:tcPr>
            <w:tcW w:w="3700" w:type="dxa"/>
            <w:vAlign w:val="bottom"/>
            <w:tcBorders>
              <w:left w:val="single" w:sz="8" w:color="auto"/>
            </w:tcBorders>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Brian Lee</w:t>
            </w:r>
          </w:p>
        </w:tc>
      </w:tr>
      <w:tr>
        <w:trPr>
          <w:trHeight w:val="208"/>
        </w:trPr>
        <w:tc>
          <w:tcPr>
            <w:tcW w:w="3700" w:type="dxa"/>
            <w:vAlign w:val="bottom"/>
            <w:tcBorders>
              <w:lef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brian.lee@dentons.com</w:t>
            </w:r>
          </w:p>
        </w:tc>
      </w:tr>
      <w:tr>
        <w:trPr>
          <w:trHeight w:val="382"/>
        </w:trPr>
        <w:tc>
          <w:tcPr>
            <w:tcW w:w="3700" w:type="dxa"/>
            <w:vAlign w:val="bottom"/>
            <w:tcBorders>
              <w:left w:val="single" w:sz="8" w:color="auto"/>
            </w:tcBorders>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and</w:t>
            </w:r>
          </w:p>
        </w:tc>
      </w:tr>
      <w:tr>
        <w:trPr>
          <w:trHeight w:val="366"/>
        </w:trPr>
        <w:tc>
          <w:tcPr>
            <w:tcW w:w="3700" w:type="dxa"/>
            <w:vAlign w:val="bottom"/>
            <w:tcBorders>
              <w:left w:val="single" w:sz="8" w:color="auto"/>
            </w:tcBorders>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Woolery &amp; Co.</w:t>
            </w:r>
          </w:p>
        </w:tc>
      </w:tr>
      <w:tr>
        <w:trPr>
          <w:trHeight w:val="195"/>
        </w:trPr>
        <w:tc>
          <w:tcPr>
            <w:tcW w:w="3700" w:type="dxa"/>
            <w:vAlign w:val="bottom"/>
            <w:tcBorders>
              <w:left w:val="single" w:sz="8" w:color="auto"/>
            </w:tcBorders>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1 Pier 76</w:t>
            </w:r>
          </w:p>
        </w:tc>
      </w:tr>
      <w:tr>
        <w:trPr>
          <w:trHeight w:val="223"/>
        </w:trPr>
        <w:tc>
          <w:tcPr>
            <w:tcW w:w="3700" w:type="dxa"/>
            <w:vAlign w:val="bottom"/>
            <w:tcBorders>
              <w:lef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5620" w:type="dxa"/>
            <w:vAlign w:val="bottom"/>
            <w:tcBorders>
              <w:right w:val="single" w:sz="8" w:color="auto"/>
            </w:tcBorders>
          </w:tcPr>
          <w:p>
            <w:pPr>
              <w:ind w:left="40"/>
              <w:spacing w:after="0" w:line="223" w:lineRule="exact"/>
              <w:rPr>
                <w:sz w:val="20"/>
                <w:szCs w:val="20"/>
                <w:color w:val="auto"/>
              </w:rPr>
            </w:pPr>
            <w:r>
              <w:rPr>
                <w:rFonts w:ascii="Times New Roman" w:cs="Times New Roman" w:eastAsia="Times New Roman" w:hAnsi="Times New Roman"/>
                <w:sz w:val="15"/>
                <w:szCs w:val="15"/>
                <w:color w:val="auto"/>
              </w:rPr>
              <w:t>408 12</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5"/>
                <w:szCs w:val="15"/>
                <w:color w:val="auto"/>
              </w:rPr>
              <w:t xml:space="preserve"> Ave</w:t>
            </w:r>
          </w:p>
        </w:tc>
      </w:tr>
      <w:tr>
        <w:trPr>
          <w:trHeight w:val="191"/>
        </w:trPr>
        <w:tc>
          <w:tcPr>
            <w:tcW w:w="3700" w:type="dxa"/>
            <w:vAlign w:val="bottom"/>
            <w:tcBorders>
              <w:left w:val="single" w:sz="8" w:color="auto"/>
            </w:tcBorders>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New York, NY 10018</w:t>
            </w:r>
          </w:p>
        </w:tc>
      </w:tr>
      <w:tr>
        <w:trPr>
          <w:trHeight w:val="191"/>
        </w:trPr>
        <w:tc>
          <w:tcPr>
            <w:tcW w:w="3700" w:type="dxa"/>
            <w:vAlign w:val="bottom"/>
            <w:tcBorders>
              <w:left w:val="single" w:sz="8" w:color="auto"/>
            </w:tcBorders>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Matthew J. Saur</w:t>
            </w:r>
          </w:p>
        </w:tc>
      </w:tr>
      <w:tr>
        <w:trPr>
          <w:trHeight w:val="208"/>
        </w:trPr>
        <w:tc>
          <w:tcPr>
            <w:tcW w:w="3700" w:type="dxa"/>
            <w:vAlign w:val="bottom"/>
            <w:tcBorders>
              <w:lef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mathew@wooleryco.com</w:t>
            </w:r>
          </w:p>
        </w:tc>
      </w:tr>
      <w:tr>
        <w:trPr>
          <w:trHeight w:val="36"/>
        </w:trPr>
        <w:tc>
          <w:tcPr>
            <w:tcW w:w="3700" w:type="dxa"/>
            <w:vAlign w:val="bottom"/>
            <w:tcBorders>
              <w:left w:val="single" w:sz="8" w:color="auto"/>
              <w:bottom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5620" w:type="dxa"/>
            <w:vAlign w:val="bottom"/>
            <w:tcBorders>
              <w:bottom w:val="single" w:sz="8" w:color="auto"/>
              <w:right w:val="single" w:sz="8" w:color="auto"/>
            </w:tcBorders>
          </w:tcPr>
          <w:p>
            <w:pPr>
              <w:spacing w:after="0"/>
              <w:rPr>
                <w:sz w:val="3"/>
                <w:szCs w:val="3"/>
                <w:color w:val="auto"/>
              </w:rPr>
            </w:pPr>
          </w:p>
        </w:tc>
      </w:tr>
      <w:tr>
        <w:trPr>
          <w:trHeight w:val="170"/>
        </w:trPr>
        <w:tc>
          <w:tcPr>
            <w:tcW w:w="3700" w:type="dxa"/>
            <w:vAlign w:val="bottom"/>
            <w:tcBorders>
              <w:left w:val="single" w:sz="8" w:color="auto"/>
            </w:tcBorders>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Chardan International Investments, LLC</w:t>
            </w:r>
          </w:p>
        </w:tc>
        <w:tc>
          <w:tcPr>
            <w:tcW w:w="1940" w:type="dxa"/>
            <w:vAlign w:val="bottom"/>
            <w:tcBorders>
              <w:right w:val="single" w:sz="8" w:color="auto"/>
            </w:tcBorders>
          </w:tcPr>
          <w:p>
            <w:pPr>
              <w:spacing w:after="0"/>
              <w:rPr>
                <w:sz w:val="14"/>
                <w:szCs w:val="14"/>
                <w:color w:val="auto"/>
              </w:rPr>
            </w:pPr>
          </w:p>
        </w:tc>
        <w:tc>
          <w:tcPr>
            <w:tcW w:w="5620" w:type="dxa"/>
            <w:vAlign w:val="bottom"/>
            <w:tcBorders>
              <w:right w:val="single" w:sz="8" w:color="auto"/>
            </w:tcBorders>
          </w:tcPr>
          <w:p>
            <w:pPr>
              <w:ind w:left="40"/>
              <w:spacing w:after="0" w:line="171" w:lineRule="exact"/>
              <w:rPr>
                <w:sz w:val="20"/>
                <w:szCs w:val="20"/>
                <w:color w:val="auto"/>
              </w:rPr>
            </w:pPr>
            <w:r>
              <w:rPr>
                <w:rFonts w:ascii="Times New Roman" w:cs="Times New Roman" w:eastAsia="Times New Roman" w:hAnsi="Times New Roman"/>
                <w:sz w:val="16"/>
                <w:szCs w:val="16"/>
                <w:color w:val="auto"/>
              </w:rPr>
              <w:t>Chardan International Investments LLC</w:t>
            </w:r>
          </w:p>
        </w:tc>
      </w:tr>
      <w:tr>
        <w:trPr>
          <w:trHeight w:val="223"/>
        </w:trPr>
        <w:tc>
          <w:tcPr>
            <w:tcW w:w="3700" w:type="dxa"/>
            <w:vAlign w:val="bottom"/>
            <w:tcBorders>
              <w:lef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5620" w:type="dxa"/>
            <w:vAlign w:val="bottom"/>
            <w:tcBorders>
              <w:right w:val="single" w:sz="8" w:color="auto"/>
            </w:tcBorders>
          </w:tcPr>
          <w:p>
            <w:pPr>
              <w:ind w:left="40"/>
              <w:spacing w:after="0" w:line="223" w:lineRule="exact"/>
              <w:rPr>
                <w:sz w:val="20"/>
                <w:szCs w:val="20"/>
                <w:color w:val="auto"/>
              </w:rPr>
            </w:pPr>
            <w:r>
              <w:rPr>
                <w:rFonts w:ascii="Times New Roman" w:cs="Times New Roman" w:eastAsia="Times New Roman" w:hAnsi="Times New Roman"/>
                <w:sz w:val="15"/>
                <w:szCs w:val="15"/>
                <w:color w:val="auto"/>
              </w:rPr>
              <w:t>17 State Street 21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5"/>
                <w:szCs w:val="15"/>
                <w:color w:val="auto"/>
              </w:rPr>
              <w:t xml:space="preserve"> Floor</w:t>
            </w:r>
          </w:p>
        </w:tc>
      </w:tr>
      <w:tr>
        <w:trPr>
          <w:trHeight w:val="191"/>
        </w:trPr>
        <w:tc>
          <w:tcPr>
            <w:tcW w:w="3700" w:type="dxa"/>
            <w:vAlign w:val="bottom"/>
            <w:tcBorders>
              <w:left w:val="single" w:sz="8" w:color="auto"/>
            </w:tcBorders>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New York, NY 10004</w:t>
            </w:r>
          </w:p>
        </w:tc>
      </w:tr>
      <w:tr>
        <w:trPr>
          <w:trHeight w:val="191"/>
        </w:trPr>
        <w:tc>
          <w:tcPr>
            <w:tcW w:w="3700" w:type="dxa"/>
            <w:vAlign w:val="bottom"/>
            <w:tcBorders>
              <w:left w:val="single" w:sz="8" w:color="auto"/>
            </w:tcBorders>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w:t>
            </w:r>
          </w:p>
        </w:tc>
      </w:tr>
      <w:tr>
        <w:trPr>
          <w:trHeight w:val="208"/>
        </w:trPr>
        <w:tc>
          <w:tcPr>
            <w:tcW w:w="3700" w:type="dxa"/>
            <w:vAlign w:val="bottom"/>
            <w:tcBorders>
              <w:lef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w:t>
            </w:r>
          </w:p>
        </w:tc>
      </w:tr>
      <w:tr>
        <w:trPr>
          <w:trHeight w:val="382"/>
        </w:trPr>
        <w:tc>
          <w:tcPr>
            <w:tcW w:w="3700" w:type="dxa"/>
            <w:vAlign w:val="bottom"/>
            <w:tcBorders>
              <w:left w:val="single" w:sz="8" w:color="auto"/>
            </w:tcBorders>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with a copy (which shall not constitute notice) to:</w:t>
            </w:r>
          </w:p>
        </w:tc>
      </w:tr>
      <w:tr>
        <w:trPr>
          <w:trHeight w:val="366"/>
        </w:trPr>
        <w:tc>
          <w:tcPr>
            <w:tcW w:w="3700" w:type="dxa"/>
            <w:vAlign w:val="bottom"/>
            <w:tcBorders>
              <w:left w:val="single" w:sz="8" w:color="auto"/>
            </w:tcBorders>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Dentons LLP</w:t>
            </w:r>
          </w:p>
        </w:tc>
      </w:tr>
      <w:tr>
        <w:trPr>
          <w:trHeight w:val="191"/>
        </w:trPr>
        <w:tc>
          <w:tcPr>
            <w:tcW w:w="3700" w:type="dxa"/>
            <w:vAlign w:val="bottom"/>
            <w:tcBorders>
              <w:left w:val="single" w:sz="8" w:color="auto"/>
            </w:tcBorders>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1221 Avenue of the Americas</w:t>
            </w:r>
          </w:p>
        </w:tc>
      </w:tr>
      <w:tr>
        <w:trPr>
          <w:trHeight w:val="191"/>
        </w:trPr>
        <w:tc>
          <w:tcPr>
            <w:tcW w:w="3700" w:type="dxa"/>
            <w:vAlign w:val="bottom"/>
            <w:tcBorders>
              <w:left w:val="single" w:sz="8" w:color="auto"/>
            </w:tcBorders>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New York, NY 10020</w:t>
            </w:r>
          </w:p>
        </w:tc>
      </w:tr>
      <w:tr>
        <w:trPr>
          <w:trHeight w:val="191"/>
        </w:trPr>
        <w:tc>
          <w:tcPr>
            <w:tcW w:w="3700" w:type="dxa"/>
            <w:vAlign w:val="bottom"/>
            <w:tcBorders>
              <w:left w:val="single" w:sz="8" w:color="auto"/>
            </w:tcBorders>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Brian Lee</w:t>
            </w:r>
          </w:p>
        </w:tc>
      </w:tr>
      <w:tr>
        <w:trPr>
          <w:trHeight w:val="208"/>
        </w:trPr>
        <w:tc>
          <w:tcPr>
            <w:tcW w:w="3700" w:type="dxa"/>
            <w:vAlign w:val="bottom"/>
            <w:tcBorders>
              <w:lef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brian.lee@dentons.com</w:t>
            </w:r>
          </w:p>
        </w:tc>
      </w:tr>
      <w:tr>
        <w:trPr>
          <w:trHeight w:val="382"/>
        </w:trPr>
        <w:tc>
          <w:tcPr>
            <w:tcW w:w="3700" w:type="dxa"/>
            <w:vAlign w:val="bottom"/>
            <w:tcBorders>
              <w:left w:val="single" w:sz="8" w:color="auto"/>
            </w:tcBorders>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and</w:t>
            </w:r>
          </w:p>
        </w:tc>
      </w:tr>
      <w:tr>
        <w:trPr>
          <w:trHeight w:val="366"/>
        </w:trPr>
        <w:tc>
          <w:tcPr>
            <w:tcW w:w="3700" w:type="dxa"/>
            <w:vAlign w:val="bottom"/>
            <w:tcBorders>
              <w:left w:val="single" w:sz="8" w:color="auto"/>
            </w:tcBorders>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Woolery &amp; Co.</w:t>
            </w:r>
          </w:p>
        </w:tc>
      </w:tr>
      <w:tr>
        <w:trPr>
          <w:trHeight w:val="195"/>
        </w:trPr>
        <w:tc>
          <w:tcPr>
            <w:tcW w:w="3700" w:type="dxa"/>
            <w:vAlign w:val="bottom"/>
            <w:tcBorders>
              <w:left w:val="single" w:sz="8" w:color="auto"/>
            </w:tcBorders>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1 Pier 76</w:t>
            </w:r>
          </w:p>
        </w:tc>
      </w:tr>
      <w:tr>
        <w:trPr>
          <w:trHeight w:val="223"/>
        </w:trPr>
        <w:tc>
          <w:tcPr>
            <w:tcW w:w="3700" w:type="dxa"/>
            <w:vAlign w:val="bottom"/>
            <w:tcBorders>
              <w:lef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5620" w:type="dxa"/>
            <w:vAlign w:val="bottom"/>
            <w:tcBorders>
              <w:right w:val="single" w:sz="8" w:color="auto"/>
            </w:tcBorders>
          </w:tcPr>
          <w:p>
            <w:pPr>
              <w:ind w:left="40"/>
              <w:spacing w:after="0" w:line="223" w:lineRule="exact"/>
              <w:rPr>
                <w:sz w:val="20"/>
                <w:szCs w:val="20"/>
                <w:color w:val="auto"/>
              </w:rPr>
            </w:pPr>
            <w:r>
              <w:rPr>
                <w:rFonts w:ascii="Times New Roman" w:cs="Times New Roman" w:eastAsia="Times New Roman" w:hAnsi="Times New Roman"/>
                <w:sz w:val="15"/>
                <w:szCs w:val="15"/>
                <w:color w:val="auto"/>
              </w:rPr>
              <w:t>408 12</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5"/>
                <w:szCs w:val="15"/>
                <w:color w:val="auto"/>
              </w:rPr>
              <w:t xml:space="preserve"> Ave</w:t>
            </w:r>
          </w:p>
        </w:tc>
      </w:tr>
      <w:tr>
        <w:trPr>
          <w:trHeight w:val="191"/>
        </w:trPr>
        <w:tc>
          <w:tcPr>
            <w:tcW w:w="3700" w:type="dxa"/>
            <w:vAlign w:val="bottom"/>
            <w:tcBorders>
              <w:left w:val="single" w:sz="8" w:color="auto"/>
            </w:tcBorders>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New York, NY 10018</w:t>
            </w:r>
          </w:p>
        </w:tc>
      </w:tr>
      <w:tr>
        <w:trPr>
          <w:trHeight w:val="191"/>
        </w:trPr>
        <w:tc>
          <w:tcPr>
            <w:tcW w:w="3700" w:type="dxa"/>
            <w:vAlign w:val="bottom"/>
            <w:tcBorders>
              <w:left w:val="single" w:sz="8" w:color="auto"/>
            </w:tcBorders>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Matthew J. Saur</w:t>
            </w:r>
          </w:p>
        </w:tc>
      </w:tr>
      <w:tr>
        <w:trPr>
          <w:trHeight w:val="208"/>
        </w:trPr>
        <w:tc>
          <w:tcPr>
            <w:tcW w:w="3700" w:type="dxa"/>
            <w:vAlign w:val="bottom"/>
            <w:tcBorders>
              <w:lef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mathew@wooleryco.com</w:t>
            </w:r>
          </w:p>
        </w:tc>
      </w:tr>
      <w:tr>
        <w:trPr>
          <w:trHeight w:val="36"/>
        </w:trPr>
        <w:tc>
          <w:tcPr>
            <w:tcW w:w="3700" w:type="dxa"/>
            <w:vAlign w:val="bottom"/>
            <w:tcBorders>
              <w:left w:val="single" w:sz="8" w:color="auto"/>
              <w:bottom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5620" w:type="dxa"/>
            <w:vAlign w:val="bottom"/>
            <w:tcBorders>
              <w:bottom w:val="single" w:sz="8" w:color="auto"/>
              <w:right w:val="single" w:sz="8" w:color="auto"/>
            </w:tcBorders>
          </w:tcPr>
          <w:p>
            <w:pPr>
              <w:spacing w:after="0"/>
              <w:rPr>
                <w:sz w:val="3"/>
                <w:szCs w:val="3"/>
                <w:color w:val="auto"/>
              </w:rPr>
            </w:pPr>
          </w:p>
        </w:tc>
      </w:tr>
      <w:tr>
        <w:trPr>
          <w:trHeight w:val="593"/>
        </w:trPr>
        <w:tc>
          <w:tcPr>
            <w:tcW w:w="3700" w:type="dxa"/>
            <w:vAlign w:val="bottom"/>
            <w:tcBorders>
              <w:bottom w:val="single" w:sz="8" w:color="auto"/>
            </w:tcBorders>
          </w:tcPr>
          <w:p>
            <w:pPr>
              <w:spacing w:after="0"/>
              <w:rPr>
                <w:sz w:val="24"/>
                <w:szCs w:val="24"/>
                <w:color w:val="auto"/>
              </w:rPr>
            </w:pPr>
          </w:p>
        </w:tc>
        <w:tc>
          <w:tcPr>
            <w:tcW w:w="7560" w:type="dxa"/>
            <w:vAlign w:val="bottom"/>
            <w:tcBorders>
              <w:bottom w:val="single" w:sz="8" w:color="auto"/>
            </w:tcBorders>
            <w:gridSpan w:val="2"/>
          </w:tcPr>
          <w:p>
            <w:pPr>
              <w:jc w:val="right"/>
              <w:ind w:right="5461"/>
              <w:spacing w:after="0"/>
              <w:rPr>
                <w:sz w:val="20"/>
                <w:szCs w:val="20"/>
                <w:color w:val="auto"/>
              </w:rPr>
            </w:pPr>
            <w:r>
              <w:rPr>
                <w:rFonts w:ascii="Times New Roman" w:cs="Times New Roman" w:eastAsia="Times New Roman" w:hAnsi="Times New Roman"/>
                <w:sz w:val="19"/>
                <w:szCs w:val="19"/>
                <w:color w:val="auto"/>
              </w:rPr>
              <w:t>23</w:t>
            </w:r>
          </w:p>
        </w:tc>
      </w:tr>
    </w:tbl>
    <w:p>
      <w:pPr>
        <w:sectPr>
          <w:pgSz w:w="11900" w:h="16838" w:orient="portrait"/>
          <w:cols w:equalWidth="0" w:num="1">
            <w:col w:w="11260"/>
          </w:cols>
          <w:pgMar w:left="320" w:top="623" w:right="319" w:bottom="1440" w:gutter="0" w:footer="0" w:header="0"/>
        </w:sectPr>
      </w:pPr>
    </w:p>
    <w:bookmarkStart w:id="218" w:name="page219"/>
    <w:bookmarkEnd w:id="21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3600" w:type="dxa"/>
            <w:vAlign w:val="bottom"/>
            <w:tcBorders>
              <w:top w:val="single" w:sz="8" w:color="auto"/>
              <w:left w:val="single" w:sz="8" w:color="auto"/>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Cindat USA LLC</w:t>
            </w:r>
          </w:p>
        </w:tc>
        <w:tc>
          <w:tcPr>
            <w:tcW w:w="2040" w:type="dxa"/>
            <w:vAlign w:val="bottom"/>
            <w:tcBorders>
              <w:top w:val="single" w:sz="8" w:color="auto"/>
              <w:right w:val="single" w:sz="8" w:color="auto"/>
            </w:tcBorders>
          </w:tcPr>
          <w:p>
            <w:pPr>
              <w:spacing w:after="0"/>
              <w:rPr>
                <w:sz w:val="16"/>
                <w:szCs w:val="16"/>
                <w:color w:val="auto"/>
              </w:rPr>
            </w:pPr>
          </w:p>
        </w:tc>
        <w:tc>
          <w:tcPr>
            <w:tcW w:w="562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Cindat USA LLC</w:t>
            </w:r>
          </w:p>
        </w:tc>
        <w:tc>
          <w:tcPr>
            <w:tcW w:w="0" w:type="dxa"/>
            <w:vAlign w:val="bottom"/>
          </w:tcPr>
          <w:p>
            <w:pPr>
              <w:spacing w:after="0"/>
              <w:rPr>
                <w:sz w:val="1"/>
                <w:szCs w:val="1"/>
                <w:color w:val="auto"/>
              </w:rPr>
            </w:pPr>
          </w:p>
        </w:tc>
      </w:tr>
      <w:tr>
        <w:trPr>
          <w:trHeight w:val="191"/>
        </w:trPr>
        <w:tc>
          <w:tcPr>
            <w:tcW w:w="3600" w:type="dxa"/>
            <w:vAlign w:val="bottom"/>
            <w:tcBorders>
              <w:left w:val="single" w:sz="8" w:color="auto"/>
            </w:tcBorders>
            <w:vMerge w:val="continue"/>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Seagram Building, 375 Park Avenue #3703</w:t>
            </w:r>
          </w:p>
        </w:tc>
        <w:tc>
          <w:tcPr>
            <w:tcW w:w="0" w:type="dxa"/>
            <w:vAlign w:val="bottom"/>
          </w:tcPr>
          <w:p>
            <w:pPr>
              <w:spacing w:after="0"/>
              <w:rPr>
                <w:sz w:val="1"/>
                <w:szCs w:val="1"/>
                <w:color w:val="auto"/>
              </w:rPr>
            </w:pPr>
          </w:p>
        </w:tc>
      </w:tr>
      <w:tr>
        <w:trPr>
          <w:trHeight w:val="191"/>
        </w:trPr>
        <w:tc>
          <w:tcPr>
            <w:tcW w:w="3600" w:type="dxa"/>
            <w:vAlign w:val="bottom"/>
            <w:tcBorders>
              <w:left w:val="single" w:sz="8" w:color="auto"/>
            </w:tcBorders>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New York, NY 10152</w:t>
            </w:r>
          </w:p>
        </w:tc>
        <w:tc>
          <w:tcPr>
            <w:tcW w:w="0" w:type="dxa"/>
            <w:vAlign w:val="bottom"/>
          </w:tcPr>
          <w:p>
            <w:pPr>
              <w:spacing w:after="0"/>
              <w:rPr>
                <w:sz w:val="1"/>
                <w:szCs w:val="1"/>
                <w:color w:val="auto"/>
              </w:rPr>
            </w:pPr>
          </w:p>
        </w:tc>
      </w:tr>
      <w:tr>
        <w:trPr>
          <w:trHeight w:val="191"/>
        </w:trPr>
        <w:tc>
          <w:tcPr>
            <w:tcW w:w="3600" w:type="dxa"/>
            <w:vAlign w:val="bottom"/>
            <w:tcBorders>
              <w:left w:val="single" w:sz="8" w:color="auto"/>
            </w:tcBorders>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w:t>
            </w:r>
          </w:p>
        </w:tc>
        <w:tc>
          <w:tcPr>
            <w:tcW w:w="0" w:type="dxa"/>
            <w:vAlign w:val="bottom"/>
          </w:tcPr>
          <w:p>
            <w:pPr>
              <w:spacing w:after="0"/>
              <w:rPr>
                <w:sz w:val="1"/>
                <w:szCs w:val="1"/>
                <w:color w:val="auto"/>
              </w:rPr>
            </w:pPr>
          </w:p>
        </w:tc>
      </w:tr>
      <w:tr>
        <w:trPr>
          <w:trHeight w:val="208"/>
        </w:trPr>
        <w:tc>
          <w:tcPr>
            <w:tcW w:w="3600" w:type="dxa"/>
            <w:vAlign w:val="bottom"/>
            <w:tcBorders>
              <w:left w:val="single" w:sz="8" w:color="auto"/>
            </w:tcBorders>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w:t>
            </w:r>
          </w:p>
        </w:tc>
        <w:tc>
          <w:tcPr>
            <w:tcW w:w="0" w:type="dxa"/>
            <w:vAlign w:val="bottom"/>
          </w:tcPr>
          <w:p>
            <w:pPr>
              <w:spacing w:after="0"/>
              <w:rPr>
                <w:sz w:val="1"/>
                <w:szCs w:val="1"/>
                <w:color w:val="auto"/>
              </w:rPr>
            </w:pPr>
          </w:p>
        </w:tc>
      </w:tr>
      <w:tr>
        <w:trPr>
          <w:trHeight w:val="382"/>
        </w:trPr>
        <w:tc>
          <w:tcPr>
            <w:tcW w:w="3600" w:type="dxa"/>
            <w:vAlign w:val="bottom"/>
            <w:tcBorders>
              <w:left w:val="single" w:sz="8" w:color="auto"/>
            </w:tcBorders>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with a copy (which shall not constitute notice) to:</w:t>
            </w:r>
          </w:p>
        </w:tc>
        <w:tc>
          <w:tcPr>
            <w:tcW w:w="0" w:type="dxa"/>
            <w:vAlign w:val="bottom"/>
          </w:tcPr>
          <w:p>
            <w:pPr>
              <w:spacing w:after="0"/>
              <w:rPr>
                <w:sz w:val="1"/>
                <w:szCs w:val="1"/>
                <w:color w:val="auto"/>
              </w:rPr>
            </w:pPr>
          </w:p>
        </w:tc>
      </w:tr>
      <w:tr>
        <w:trPr>
          <w:trHeight w:val="366"/>
        </w:trPr>
        <w:tc>
          <w:tcPr>
            <w:tcW w:w="3600" w:type="dxa"/>
            <w:vAlign w:val="bottom"/>
            <w:tcBorders>
              <w:left w:val="single" w:sz="8" w:color="auto"/>
            </w:tcBorders>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3600" w:type="dxa"/>
            <w:vAlign w:val="bottom"/>
            <w:tcBorders>
              <w:left w:val="single" w:sz="8" w:color="auto"/>
            </w:tcBorders>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3600" w:type="dxa"/>
            <w:vAlign w:val="bottom"/>
            <w:tcBorders>
              <w:left w:val="single" w:sz="8" w:color="auto"/>
            </w:tcBorders>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w:t>
            </w:r>
          </w:p>
        </w:tc>
        <w:tc>
          <w:tcPr>
            <w:tcW w:w="0" w:type="dxa"/>
            <w:vAlign w:val="bottom"/>
          </w:tcPr>
          <w:p>
            <w:pPr>
              <w:spacing w:after="0"/>
              <w:rPr>
                <w:sz w:val="1"/>
                <w:szCs w:val="1"/>
                <w:color w:val="auto"/>
              </w:rPr>
            </w:pPr>
          </w:p>
        </w:tc>
      </w:tr>
      <w:tr>
        <w:trPr>
          <w:trHeight w:val="208"/>
        </w:trPr>
        <w:tc>
          <w:tcPr>
            <w:tcW w:w="3600" w:type="dxa"/>
            <w:vAlign w:val="bottom"/>
            <w:tcBorders>
              <w:left w:val="single" w:sz="8" w:color="auto"/>
            </w:tcBorders>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w:t>
            </w:r>
          </w:p>
        </w:tc>
        <w:tc>
          <w:tcPr>
            <w:tcW w:w="0" w:type="dxa"/>
            <w:vAlign w:val="bottom"/>
          </w:tcPr>
          <w:p>
            <w:pPr>
              <w:spacing w:after="0"/>
              <w:rPr>
                <w:sz w:val="1"/>
                <w:szCs w:val="1"/>
                <w:color w:val="auto"/>
              </w:rPr>
            </w:pPr>
          </w:p>
        </w:tc>
      </w:tr>
      <w:tr>
        <w:trPr>
          <w:trHeight w:val="36"/>
        </w:trPr>
        <w:tc>
          <w:tcPr>
            <w:tcW w:w="3600" w:type="dxa"/>
            <w:vAlign w:val="bottom"/>
            <w:tcBorders>
              <w:left w:val="single" w:sz="8" w:color="auto"/>
              <w:bottom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5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3600" w:type="dxa"/>
            <w:vAlign w:val="bottom"/>
            <w:tcBorders>
              <w:left w:val="single" w:sz="8" w:color="auto"/>
            </w:tcBorders>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Blind 1212, LLC</w:t>
            </w:r>
          </w:p>
        </w:tc>
        <w:tc>
          <w:tcPr>
            <w:tcW w:w="2040" w:type="dxa"/>
            <w:vAlign w:val="bottom"/>
            <w:tcBorders>
              <w:right w:val="single" w:sz="8" w:color="auto"/>
            </w:tcBorders>
          </w:tcPr>
          <w:p>
            <w:pPr>
              <w:spacing w:after="0"/>
              <w:rPr>
                <w:sz w:val="14"/>
                <w:szCs w:val="14"/>
                <w:color w:val="auto"/>
              </w:rPr>
            </w:pPr>
          </w:p>
        </w:tc>
        <w:tc>
          <w:tcPr>
            <w:tcW w:w="5620" w:type="dxa"/>
            <w:vAlign w:val="bottom"/>
            <w:tcBorders>
              <w:right w:val="single" w:sz="8" w:color="auto"/>
            </w:tcBorders>
          </w:tcPr>
          <w:p>
            <w:pPr>
              <w:ind w:left="40"/>
              <w:spacing w:after="0" w:line="167" w:lineRule="exact"/>
              <w:rPr>
                <w:sz w:val="20"/>
                <w:szCs w:val="20"/>
                <w:color w:val="auto"/>
              </w:rPr>
            </w:pPr>
            <w:r>
              <w:rPr>
                <w:rFonts w:ascii="Times New Roman" w:cs="Times New Roman" w:eastAsia="Times New Roman" w:hAnsi="Times New Roman"/>
                <w:sz w:val="16"/>
                <w:szCs w:val="16"/>
                <w:color w:val="auto"/>
              </w:rPr>
              <w:t>Blind 1212, LLC</w:t>
            </w:r>
          </w:p>
        </w:tc>
        <w:tc>
          <w:tcPr>
            <w:tcW w:w="0" w:type="dxa"/>
            <w:vAlign w:val="bottom"/>
          </w:tcPr>
          <w:p>
            <w:pPr>
              <w:spacing w:after="0"/>
              <w:rPr>
                <w:sz w:val="1"/>
                <w:szCs w:val="1"/>
                <w:color w:val="auto"/>
              </w:rPr>
            </w:pPr>
          </w:p>
        </w:tc>
      </w:tr>
      <w:tr>
        <w:trPr>
          <w:trHeight w:val="191"/>
        </w:trPr>
        <w:tc>
          <w:tcPr>
            <w:tcW w:w="3600" w:type="dxa"/>
            <w:vAlign w:val="bottom"/>
            <w:tcBorders>
              <w:left w:val="single" w:sz="8" w:color="auto"/>
            </w:tcBorders>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3600" w:type="dxa"/>
            <w:vAlign w:val="bottom"/>
            <w:tcBorders>
              <w:left w:val="single" w:sz="8" w:color="auto"/>
            </w:tcBorders>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w:t>
            </w:r>
          </w:p>
        </w:tc>
        <w:tc>
          <w:tcPr>
            <w:tcW w:w="0" w:type="dxa"/>
            <w:vAlign w:val="bottom"/>
          </w:tcPr>
          <w:p>
            <w:pPr>
              <w:spacing w:after="0"/>
              <w:rPr>
                <w:sz w:val="1"/>
                <w:szCs w:val="1"/>
                <w:color w:val="auto"/>
              </w:rPr>
            </w:pPr>
          </w:p>
        </w:tc>
      </w:tr>
      <w:tr>
        <w:trPr>
          <w:trHeight w:val="208"/>
        </w:trPr>
        <w:tc>
          <w:tcPr>
            <w:tcW w:w="3600" w:type="dxa"/>
            <w:vAlign w:val="bottom"/>
            <w:tcBorders>
              <w:left w:val="single" w:sz="8" w:color="auto"/>
            </w:tcBorders>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w:t>
            </w:r>
          </w:p>
        </w:tc>
        <w:tc>
          <w:tcPr>
            <w:tcW w:w="0" w:type="dxa"/>
            <w:vAlign w:val="bottom"/>
          </w:tcPr>
          <w:p>
            <w:pPr>
              <w:spacing w:after="0"/>
              <w:rPr>
                <w:sz w:val="1"/>
                <w:szCs w:val="1"/>
                <w:color w:val="auto"/>
              </w:rPr>
            </w:pPr>
          </w:p>
        </w:tc>
      </w:tr>
      <w:tr>
        <w:trPr>
          <w:trHeight w:val="382"/>
        </w:trPr>
        <w:tc>
          <w:tcPr>
            <w:tcW w:w="3600" w:type="dxa"/>
            <w:vAlign w:val="bottom"/>
            <w:tcBorders>
              <w:left w:val="single" w:sz="8" w:color="auto"/>
            </w:tcBorders>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with a copy (which shall not constitute notice) to:</w:t>
            </w:r>
          </w:p>
        </w:tc>
        <w:tc>
          <w:tcPr>
            <w:tcW w:w="0" w:type="dxa"/>
            <w:vAlign w:val="bottom"/>
          </w:tcPr>
          <w:p>
            <w:pPr>
              <w:spacing w:after="0"/>
              <w:rPr>
                <w:sz w:val="1"/>
                <w:szCs w:val="1"/>
                <w:color w:val="auto"/>
              </w:rPr>
            </w:pPr>
          </w:p>
        </w:tc>
      </w:tr>
      <w:tr>
        <w:trPr>
          <w:trHeight w:val="366"/>
        </w:trPr>
        <w:tc>
          <w:tcPr>
            <w:tcW w:w="3600" w:type="dxa"/>
            <w:vAlign w:val="bottom"/>
            <w:tcBorders>
              <w:left w:val="single" w:sz="8" w:color="auto"/>
            </w:tcBorders>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3600" w:type="dxa"/>
            <w:vAlign w:val="bottom"/>
            <w:tcBorders>
              <w:left w:val="single" w:sz="8" w:color="auto"/>
            </w:tcBorders>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3600" w:type="dxa"/>
            <w:vAlign w:val="bottom"/>
            <w:tcBorders>
              <w:left w:val="single" w:sz="8" w:color="auto"/>
            </w:tcBorders>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w:t>
            </w:r>
          </w:p>
        </w:tc>
        <w:tc>
          <w:tcPr>
            <w:tcW w:w="0" w:type="dxa"/>
            <w:vAlign w:val="bottom"/>
          </w:tcPr>
          <w:p>
            <w:pPr>
              <w:spacing w:after="0"/>
              <w:rPr>
                <w:sz w:val="1"/>
                <w:szCs w:val="1"/>
                <w:color w:val="auto"/>
              </w:rPr>
            </w:pPr>
          </w:p>
        </w:tc>
      </w:tr>
      <w:tr>
        <w:trPr>
          <w:trHeight w:val="208"/>
        </w:trPr>
        <w:tc>
          <w:tcPr>
            <w:tcW w:w="3600" w:type="dxa"/>
            <w:vAlign w:val="bottom"/>
            <w:tcBorders>
              <w:left w:val="single" w:sz="8" w:color="auto"/>
            </w:tcBorders>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w:t>
            </w:r>
          </w:p>
        </w:tc>
        <w:tc>
          <w:tcPr>
            <w:tcW w:w="0" w:type="dxa"/>
            <w:vAlign w:val="bottom"/>
          </w:tcPr>
          <w:p>
            <w:pPr>
              <w:spacing w:after="0"/>
              <w:rPr>
                <w:sz w:val="1"/>
                <w:szCs w:val="1"/>
                <w:color w:val="auto"/>
              </w:rPr>
            </w:pPr>
          </w:p>
        </w:tc>
      </w:tr>
      <w:tr>
        <w:trPr>
          <w:trHeight w:val="36"/>
        </w:trPr>
        <w:tc>
          <w:tcPr>
            <w:tcW w:w="3600" w:type="dxa"/>
            <w:vAlign w:val="bottom"/>
            <w:tcBorders>
              <w:left w:val="single" w:sz="8" w:color="auto"/>
              <w:bottom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5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3600" w:type="dxa"/>
            <w:vAlign w:val="bottom"/>
            <w:tcBorders>
              <w:left w:val="single" w:sz="8" w:color="auto"/>
            </w:tcBorders>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Julie Atkinson</w:t>
            </w:r>
          </w:p>
        </w:tc>
        <w:tc>
          <w:tcPr>
            <w:tcW w:w="2040" w:type="dxa"/>
            <w:vAlign w:val="bottom"/>
            <w:tcBorders>
              <w:right w:val="single" w:sz="8" w:color="auto"/>
            </w:tcBorders>
          </w:tcPr>
          <w:p>
            <w:pPr>
              <w:spacing w:after="0"/>
              <w:rPr>
                <w:sz w:val="14"/>
                <w:szCs w:val="14"/>
                <w:color w:val="auto"/>
              </w:rPr>
            </w:pPr>
          </w:p>
        </w:tc>
        <w:tc>
          <w:tcPr>
            <w:tcW w:w="5620" w:type="dxa"/>
            <w:vAlign w:val="bottom"/>
            <w:tcBorders>
              <w:right w:val="single" w:sz="8" w:color="auto"/>
            </w:tcBorders>
          </w:tcPr>
          <w:p>
            <w:pPr>
              <w:ind w:left="40"/>
              <w:spacing w:after="0" w:line="167"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3600" w:type="dxa"/>
            <w:vAlign w:val="bottom"/>
            <w:tcBorders>
              <w:left w:val="single" w:sz="8" w:color="auto"/>
            </w:tcBorders>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w:t>
            </w:r>
          </w:p>
        </w:tc>
        <w:tc>
          <w:tcPr>
            <w:tcW w:w="0" w:type="dxa"/>
            <w:vAlign w:val="bottom"/>
          </w:tcPr>
          <w:p>
            <w:pPr>
              <w:spacing w:after="0"/>
              <w:rPr>
                <w:sz w:val="1"/>
                <w:szCs w:val="1"/>
                <w:color w:val="auto"/>
              </w:rPr>
            </w:pPr>
          </w:p>
        </w:tc>
      </w:tr>
      <w:tr>
        <w:trPr>
          <w:trHeight w:val="208"/>
        </w:trPr>
        <w:tc>
          <w:tcPr>
            <w:tcW w:w="3600" w:type="dxa"/>
            <w:vAlign w:val="bottom"/>
            <w:tcBorders>
              <w:left w:val="single" w:sz="8" w:color="auto"/>
            </w:tcBorders>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w:t>
            </w:r>
          </w:p>
        </w:tc>
        <w:tc>
          <w:tcPr>
            <w:tcW w:w="0" w:type="dxa"/>
            <w:vAlign w:val="bottom"/>
          </w:tcPr>
          <w:p>
            <w:pPr>
              <w:spacing w:after="0"/>
              <w:rPr>
                <w:sz w:val="1"/>
                <w:szCs w:val="1"/>
                <w:color w:val="auto"/>
              </w:rPr>
            </w:pPr>
          </w:p>
        </w:tc>
      </w:tr>
      <w:tr>
        <w:trPr>
          <w:trHeight w:val="382"/>
        </w:trPr>
        <w:tc>
          <w:tcPr>
            <w:tcW w:w="3600" w:type="dxa"/>
            <w:vAlign w:val="bottom"/>
            <w:tcBorders>
              <w:left w:val="single" w:sz="8" w:color="auto"/>
            </w:tcBorders>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with a copy (which shall not constitute notice) to:</w:t>
            </w:r>
          </w:p>
        </w:tc>
        <w:tc>
          <w:tcPr>
            <w:tcW w:w="0" w:type="dxa"/>
            <w:vAlign w:val="bottom"/>
          </w:tcPr>
          <w:p>
            <w:pPr>
              <w:spacing w:after="0"/>
              <w:rPr>
                <w:sz w:val="1"/>
                <w:szCs w:val="1"/>
                <w:color w:val="auto"/>
              </w:rPr>
            </w:pPr>
          </w:p>
        </w:tc>
      </w:tr>
      <w:tr>
        <w:trPr>
          <w:trHeight w:val="366"/>
        </w:trPr>
        <w:tc>
          <w:tcPr>
            <w:tcW w:w="3600" w:type="dxa"/>
            <w:vAlign w:val="bottom"/>
            <w:tcBorders>
              <w:left w:val="single" w:sz="8" w:color="auto"/>
            </w:tcBorders>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3600" w:type="dxa"/>
            <w:vAlign w:val="bottom"/>
            <w:tcBorders>
              <w:left w:val="single" w:sz="8" w:color="auto"/>
            </w:tcBorders>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3600" w:type="dxa"/>
            <w:vAlign w:val="bottom"/>
            <w:tcBorders>
              <w:left w:val="single" w:sz="8" w:color="auto"/>
            </w:tcBorders>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w:t>
            </w:r>
          </w:p>
        </w:tc>
        <w:tc>
          <w:tcPr>
            <w:tcW w:w="0" w:type="dxa"/>
            <w:vAlign w:val="bottom"/>
          </w:tcPr>
          <w:p>
            <w:pPr>
              <w:spacing w:after="0"/>
              <w:rPr>
                <w:sz w:val="1"/>
                <w:szCs w:val="1"/>
                <w:color w:val="auto"/>
              </w:rPr>
            </w:pPr>
          </w:p>
        </w:tc>
      </w:tr>
      <w:tr>
        <w:trPr>
          <w:trHeight w:val="208"/>
        </w:trPr>
        <w:tc>
          <w:tcPr>
            <w:tcW w:w="3600" w:type="dxa"/>
            <w:vAlign w:val="bottom"/>
            <w:tcBorders>
              <w:left w:val="single" w:sz="8" w:color="auto"/>
            </w:tcBorders>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w:t>
            </w:r>
          </w:p>
        </w:tc>
        <w:tc>
          <w:tcPr>
            <w:tcW w:w="0" w:type="dxa"/>
            <w:vAlign w:val="bottom"/>
          </w:tcPr>
          <w:p>
            <w:pPr>
              <w:spacing w:after="0"/>
              <w:rPr>
                <w:sz w:val="1"/>
                <w:szCs w:val="1"/>
                <w:color w:val="auto"/>
              </w:rPr>
            </w:pPr>
          </w:p>
        </w:tc>
      </w:tr>
      <w:tr>
        <w:trPr>
          <w:trHeight w:val="36"/>
        </w:trPr>
        <w:tc>
          <w:tcPr>
            <w:tcW w:w="3600" w:type="dxa"/>
            <w:vAlign w:val="bottom"/>
            <w:tcBorders>
              <w:left w:val="single" w:sz="8" w:color="auto"/>
              <w:bottom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5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3600" w:type="dxa"/>
            <w:vAlign w:val="bottom"/>
            <w:tcBorders>
              <w:left w:val="single" w:sz="8" w:color="auto"/>
            </w:tcBorders>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Christian Ahrens</w:t>
            </w:r>
          </w:p>
        </w:tc>
        <w:tc>
          <w:tcPr>
            <w:tcW w:w="2040" w:type="dxa"/>
            <w:vAlign w:val="bottom"/>
            <w:tcBorders>
              <w:right w:val="single" w:sz="8" w:color="auto"/>
            </w:tcBorders>
          </w:tcPr>
          <w:p>
            <w:pPr>
              <w:spacing w:after="0"/>
              <w:rPr>
                <w:sz w:val="14"/>
                <w:szCs w:val="14"/>
                <w:color w:val="auto"/>
              </w:rPr>
            </w:pPr>
          </w:p>
        </w:tc>
        <w:tc>
          <w:tcPr>
            <w:tcW w:w="5620" w:type="dxa"/>
            <w:vAlign w:val="bottom"/>
            <w:tcBorders>
              <w:right w:val="single" w:sz="8" w:color="auto"/>
            </w:tcBorders>
          </w:tcPr>
          <w:p>
            <w:pPr>
              <w:ind w:left="40"/>
              <w:spacing w:after="0" w:line="167"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3600" w:type="dxa"/>
            <w:vAlign w:val="bottom"/>
            <w:tcBorders>
              <w:left w:val="single" w:sz="8" w:color="auto"/>
            </w:tcBorders>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w:t>
            </w:r>
          </w:p>
        </w:tc>
        <w:tc>
          <w:tcPr>
            <w:tcW w:w="0" w:type="dxa"/>
            <w:vAlign w:val="bottom"/>
          </w:tcPr>
          <w:p>
            <w:pPr>
              <w:spacing w:after="0"/>
              <w:rPr>
                <w:sz w:val="1"/>
                <w:szCs w:val="1"/>
                <w:color w:val="auto"/>
              </w:rPr>
            </w:pPr>
          </w:p>
        </w:tc>
      </w:tr>
      <w:tr>
        <w:trPr>
          <w:trHeight w:val="208"/>
        </w:trPr>
        <w:tc>
          <w:tcPr>
            <w:tcW w:w="3600" w:type="dxa"/>
            <w:vAlign w:val="bottom"/>
            <w:tcBorders>
              <w:left w:val="single" w:sz="8" w:color="auto"/>
            </w:tcBorders>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w:t>
            </w:r>
          </w:p>
        </w:tc>
        <w:tc>
          <w:tcPr>
            <w:tcW w:w="0" w:type="dxa"/>
            <w:vAlign w:val="bottom"/>
          </w:tcPr>
          <w:p>
            <w:pPr>
              <w:spacing w:after="0"/>
              <w:rPr>
                <w:sz w:val="1"/>
                <w:szCs w:val="1"/>
                <w:color w:val="auto"/>
              </w:rPr>
            </w:pPr>
          </w:p>
        </w:tc>
      </w:tr>
      <w:tr>
        <w:trPr>
          <w:trHeight w:val="382"/>
        </w:trPr>
        <w:tc>
          <w:tcPr>
            <w:tcW w:w="3600" w:type="dxa"/>
            <w:vAlign w:val="bottom"/>
            <w:tcBorders>
              <w:left w:val="single" w:sz="8" w:color="auto"/>
            </w:tcBorders>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with a copy (which shall not constitute notice) to:</w:t>
            </w:r>
          </w:p>
        </w:tc>
        <w:tc>
          <w:tcPr>
            <w:tcW w:w="0" w:type="dxa"/>
            <w:vAlign w:val="bottom"/>
          </w:tcPr>
          <w:p>
            <w:pPr>
              <w:spacing w:after="0"/>
              <w:rPr>
                <w:sz w:val="1"/>
                <w:szCs w:val="1"/>
                <w:color w:val="auto"/>
              </w:rPr>
            </w:pPr>
          </w:p>
        </w:tc>
      </w:tr>
      <w:tr>
        <w:trPr>
          <w:trHeight w:val="366"/>
        </w:trPr>
        <w:tc>
          <w:tcPr>
            <w:tcW w:w="3600" w:type="dxa"/>
            <w:vAlign w:val="bottom"/>
            <w:tcBorders>
              <w:left w:val="single" w:sz="8" w:color="auto"/>
            </w:tcBorders>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3600" w:type="dxa"/>
            <w:vAlign w:val="bottom"/>
            <w:tcBorders>
              <w:left w:val="single" w:sz="8" w:color="auto"/>
            </w:tcBorders>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3600" w:type="dxa"/>
            <w:vAlign w:val="bottom"/>
            <w:tcBorders>
              <w:left w:val="single" w:sz="8" w:color="auto"/>
            </w:tcBorders>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w:t>
            </w:r>
          </w:p>
        </w:tc>
        <w:tc>
          <w:tcPr>
            <w:tcW w:w="0" w:type="dxa"/>
            <w:vAlign w:val="bottom"/>
          </w:tcPr>
          <w:p>
            <w:pPr>
              <w:spacing w:after="0"/>
              <w:rPr>
                <w:sz w:val="1"/>
                <w:szCs w:val="1"/>
                <w:color w:val="auto"/>
              </w:rPr>
            </w:pPr>
          </w:p>
        </w:tc>
      </w:tr>
      <w:tr>
        <w:trPr>
          <w:trHeight w:val="208"/>
        </w:trPr>
        <w:tc>
          <w:tcPr>
            <w:tcW w:w="3600" w:type="dxa"/>
            <w:vAlign w:val="bottom"/>
            <w:tcBorders>
              <w:left w:val="single" w:sz="8" w:color="auto"/>
            </w:tcBorders>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w:t>
            </w:r>
          </w:p>
        </w:tc>
        <w:tc>
          <w:tcPr>
            <w:tcW w:w="0" w:type="dxa"/>
            <w:vAlign w:val="bottom"/>
          </w:tcPr>
          <w:p>
            <w:pPr>
              <w:spacing w:after="0"/>
              <w:rPr>
                <w:sz w:val="1"/>
                <w:szCs w:val="1"/>
                <w:color w:val="auto"/>
              </w:rPr>
            </w:pPr>
          </w:p>
        </w:tc>
      </w:tr>
      <w:tr>
        <w:trPr>
          <w:trHeight w:val="36"/>
        </w:trPr>
        <w:tc>
          <w:tcPr>
            <w:tcW w:w="3600" w:type="dxa"/>
            <w:vAlign w:val="bottom"/>
            <w:tcBorders>
              <w:left w:val="single" w:sz="8" w:color="auto"/>
              <w:bottom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5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3600" w:type="dxa"/>
            <w:vAlign w:val="bottom"/>
            <w:tcBorders>
              <w:left w:val="single" w:sz="8" w:color="auto"/>
            </w:tcBorders>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Romulus Capital II, L.P.</w:t>
            </w:r>
          </w:p>
        </w:tc>
        <w:tc>
          <w:tcPr>
            <w:tcW w:w="2040" w:type="dxa"/>
            <w:vAlign w:val="bottom"/>
            <w:tcBorders>
              <w:right w:val="single" w:sz="8" w:color="auto"/>
            </w:tcBorders>
          </w:tcPr>
          <w:p>
            <w:pPr>
              <w:spacing w:after="0"/>
              <w:rPr>
                <w:sz w:val="14"/>
                <w:szCs w:val="14"/>
                <w:color w:val="auto"/>
              </w:rPr>
            </w:pPr>
          </w:p>
        </w:tc>
        <w:tc>
          <w:tcPr>
            <w:tcW w:w="5620" w:type="dxa"/>
            <w:vAlign w:val="bottom"/>
            <w:tcBorders>
              <w:right w:val="single" w:sz="8" w:color="auto"/>
            </w:tcBorders>
          </w:tcPr>
          <w:p>
            <w:pPr>
              <w:ind w:left="40"/>
              <w:spacing w:after="0" w:line="167" w:lineRule="exact"/>
              <w:rPr>
                <w:sz w:val="20"/>
                <w:szCs w:val="20"/>
                <w:color w:val="auto"/>
              </w:rPr>
            </w:pPr>
            <w:r>
              <w:rPr>
                <w:rFonts w:ascii="Times New Roman" w:cs="Times New Roman" w:eastAsia="Times New Roman" w:hAnsi="Times New Roman"/>
                <w:sz w:val="16"/>
                <w:szCs w:val="16"/>
                <w:color w:val="auto"/>
              </w:rPr>
              <w:t>Romulus Capital II, L.P.</w:t>
            </w:r>
          </w:p>
        </w:tc>
        <w:tc>
          <w:tcPr>
            <w:tcW w:w="0" w:type="dxa"/>
            <w:vAlign w:val="bottom"/>
          </w:tcPr>
          <w:p>
            <w:pPr>
              <w:spacing w:after="0"/>
              <w:rPr>
                <w:sz w:val="1"/>
                <w:szCs w:val="1"/>
                <w:color w:val="auto"/>
              </w:rPr>
            </w:pPr>
          </w:p>
        </w:tc>
      </w:tr>
      <w:tr>
        <w:trPr>
          <w:trHeight w:val="191"/>
        </w:trPr>
        <w:tc>
          <w:tcPr>
            <w:tcW w:w="3600" w:type="dxa"/>
            <w:vAlign w:val="bottom"/>
            <w:tcBorders>
              <w:left w:val="single" w:sz="8" w:color="auto"/>
            </w:tcBorders>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307 Harvard Street</w:t>
            </w:r>
          </w:p>
        </w:tc>
        <w:tc>
          <w:tcPr>
            <w:tcW w:w="0" w:type="dxa"/>
            <w:vAlign w:val="bottom"/>
          </w:tcPr>
          <w:p>
            <w:pPr>
              <w:spacing w:after="0"/>
              <w:rPr>
                <w:sz w:val="1"/>
                <w:szCs w:val="1"/>
                <w:color w:val="auto"/>
              </w:rPr>
            </w:pPr>
          </w:p>
        </w:tc>
      </w:tr>
      <w:tr>
        <w:trPr>
          <w:trHeight w:val="191"/>
        </w:trPr>
        <w:tc>
          <w:tcPr>
            <w:tcW w:w="3600" w:type="dxa"/>
            <w:vAlign w:val="bottom"/>
            <w:tcBorders>
              <w:left w:val="single" w:sz="8" w:color="auto"/>
            </w:tcBorders>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Cambridge, MA 02139</w:t>
            </w:r>
          </w:p>
        </w:tc>
        <w:tc>
          <w:tcPr>
            <w:tcW w:w="0" w:type="dxa"/>
            <w:vAlign w:val="bottom"/>
          </w:tcPr>
          <w:p>
            <w:pPr>
              <w:spacing w:after="0"/>
              <w:rPr>
                <w:sz w:val="1"/>
                <w:szCs w:val="1"/>
                <w:color w:val="auto"/>
              </w:rPr>
            </w:pPr>
          </w:p>
        </w:tc>
      </w:tr>
      <w:tr>
        <w:trPr>
          <w:trHeight w:val="191"/>
        </w:trPr>
        <w:tc>
          <w:tcPr>
            <w:tcW w:w="3600" w:type="dxa"/>
            <w:vAlign w:val="bottom"/>
            <w:tcBorders>
              <w:left w:val="single" w:sz="8" w:color="auto"/>
            </w:tcBorders>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Krishna Gupta</w:t>
            </w:r>
          </w:p>
        </w:tc>
        <w:tc>
          <w:tcPr>
            <w:tcW w:w="0" w:type="dxa"/>
            <w:vAlign w:val="bottom"/>
          </w:tcPr>
          <w:p>
            <w:pPr>
              <w:spacing w:after="0"/>
              <w:rPr>
                <w:sz w:val="1"/>
                <w:szCs w:val="1"/>
                <w:color w:val="auto"/>
              </w:rPr>
            </w:pPr>
          </w:p>
        </w:tc>
      </w:tr>
      <w:tr>
        <w:trPr>
          <w:trHeight w:val="208"/>
        </w:trPr>
        <w:tc>
          <w:tcPr>
            <w:tcW w:w="3600" w:type="dxa"/>
            <w:vAlign w:val="bottom"/>
            <w:tcBorders>
              <w:left w:val="single" w:sz="8" w:color="auto"/>
            </w:tcBorders>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kkg@romulusgroup.com</w:t>
            </w:r>
          </w:p>
        </w:tc>
        <w:tc>
          <w:tcPr>
            <w:tcW w:w="0" w:type="dxa"/>
            <w:vAlign w:val="bottom"/>
          </w:tcPr>
          <w:p>
            <w:pPr>
              <w:spacing w:after="0"/>
              <w:rPr>
                <w:sz w:val="1"/>
                <w:szCs w:val="1"/>
                <w:color w:val="auto"/>
              </w:rPr>
            </w:pPr>
          </w:p>
        </w:tc>
      </w:tr>
      <w:tr>
        <w:trPr>
          <w:trHeight w:val="382"/>
        </w:trPr>
        <w:tc>
          <w:tcPr>
            <w:tcW w:w="3600" w:type="dxa"/>
            <w:vAlign w:val="bottom"/>
            <w:tcBorders>
              <w:left w:val="single" w:sz="8" w:color="auto"/>
            </w:tcBorders>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with a copy (which shall not constitute notice) to:</w:t>
            </w:r>
          </w:p>
        </w:tc>
        <w:tc>
          <w:tcPr>
            <w:tcW w:w="0" w:type="dxa"/>
            <w:vAlign w:val="bottom"/>
          </w:tcPr>
          <w:p>
            <w:pPr>
              <w:spacing w:after="0"/>
              <w:rPr>
                <w:sz w:val="1"/>
                <w:szCs w:val="1"/>
                <w:color w:val="auto"/>
              </w:rPr>
            </w:pPr>
          </w:p>
        </w:tc>
      </w:tr>
      <w:tr>
        <w:trPr>
          <w:trHeight w:val="366"/>
        </w:trPr>
        <w:tc>
          <w:tcPr>
            <w:tcW w:w="3600" w:type="dxa"/>
            <w:vAlign w:val="bottom"/>
            <w:tcBorders>
              <w:left w:val="single" w:sz="8" w:color="auto"/>
            </w:tcBorders>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Goodwin Procter LLP</w:t>
            </w:r>
          </w:p>
        </w:tc>
        <w:tc>
          <w:tcPr>
            <w:tcW w:w="0" w:type="dxa"/>
            <w:vAlign w:val="bottom"/>
          </w:tcPr>
          <w:p>
            <w:pPr>
              <w:spacing w:after="0"/>
              <w:rPr>
                <w:sz w:val="1"/>
                <w:szCs w:val="1"/>
                <w:color w:val="auto"/>
              </w:rPr>
            </w:pPr>
          </w:p>
        </w:tc>
      </w:tr>
      <w:tr>
        <w:trPr>
          <w:trHeight w:val="191"/>
        </w:trPr>
        <w:tc>
          <w:tcPr>
            <w:tcW w:w="3600" w:type="dxa"/>
            <w:vAlign w:val="bottom"/>
            <w:tcBorders>
              <w:left w:val="single" w:sz="8" w:color="auto"/>
            </w:tcBorders>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100 Northern Avenue</w:t>
            </w:r>
          </w:p>
        </w:tc>
        <w:tc>
          <w:tcPr>
            <w:tcW w:w="0" w:type="dxa"/>
            <w:vAlign w:val="bottom"/>
          </w:tcPr>
          <w:p>
            <w:pPr>
              <w:spacing w:after="0"/>
              <w:rPr>
                <w:sz w:val="1"/>
                <w:szCs w:val="1"/>
                <w:color w:val="auto"/>
              </w:rPr>
            </w:pPr>
          </w:p>
        </w:tc>
      </w:tr>
      <w:tr>
        <w:trPr>
          <w:trHeight w:val="191"/>
        </w:trPr>
        <w:tc>
          <w:tcPr>
            <w:tcW w:w="3600" w:type="dxa"/>
            <w:vAlign w:val="bottom"/>
            <w:tcBorders>
              <w:left w:val="single" w:sz="8" w:color="auto"/>
            </w:tcBorders>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Boston, MA 0221</w:t>
            </w:r>
          </w:p>
        </w:tc>
        <w:tc>
          <w:tcPr>
            <w:tcW w:w="0" w:type="dxa"/>
            <w:vAlign w:val="bottom"/>
          </w:tcPr>
          <w:p>
            <w:pPr>
              <w:spacing w:after="0"/>
              <w:rPr>
                <w:sz w:val="1"/>
                <w:szCs w:val="1"/>
                <w:color w:val="auto"/>
              </w:rPr>
            </w:pPr>
          </w:p>
        </w:tc>
      </w:tr>
      <w:tr>
        <w:trPr>
          <w:trHeight w:val="191"/>
        </w:trPr>
        <w:tc>
          <w:tcPr>
            <w:tcW w:w="3600" w:type="dxa"/>
            <w:vAlign w:val="bottom"/>
            <w:tcBorders>
              <w:left w:val="single" w:sz="8" w:color="auto"/>
            </w:tcBorders>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William Schnoor</w:t>
            </w:r>
          </w:p>
        </w:tc>
        <w:tc>
          <w:tcPr>
            <w:tcW w:w="0" w:type="dxa"/>
            <w:vAlign w:val="bottom"/>
          </w:tcPr>
          <w:p>
            <w:pPr>
              <w:spacing w:after="0"/>
              <w:rPr>
                <w:sz w:val="1"/>
                <w:szCs w:val="1"/>
                <w:color w:val="auto"/>
              </w:rPr>
            </w:pPr>
          </w:p>
        </w:tc>
      </w:tr>
      <w:tr>
        <w:trPr>
          <w:trHeight w:val="208"/>
        </w:trPr>
        <w:tc>
          <w:tcPr>
            <w:tcW w:w="3600" w:type="dxa"/>
            <w:vAlign w:val="bottom"/>
            <w:tcBorders>
              <w:left w:val="single" w:sz="8" w:color="auto"/>
            </w:tcBorders>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WSchnoor@goodwinlaw.com</w:t>
            </w:r>
          </w:p>
        </w:tc>
        <w:tc>
          <w:tcPr>
            <w:tcW w:w="0" w:type="dxa"/>
            <w:vAlign w:val="bottom"/>
          </w:tcPr>
          <w:p>
            <w:pPr>
              <w:spacing w:after="0"/>
              <w:rPr>
                <w:sz w:val="1"/>
                <w:szCs w:val="1"/>
                <w:color w:val="auto"/>
              </w:rPr>
            </w:pPr>
          </w:p>
        </w:tc>
      </w:tr>
      <w:tr>
        <w:trPr>
          <w:trHeight w:val="36"/>
        </w:trPr>
        <w:tc>
          <w:tcPr>
            <w:tcW w:w="3600" w:type="dxa"/>
            <w:vAlign w:val="bottom"/>
            <w:tcBorders>
              <w:left w:val="single" w:sz="8" w:color="auto"/>
              <w:bottom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5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593"/>
        </w:trPr>
        <w:tc>
          <w:tcPr>
            <w:tcW w:w="3600" w:type="dxa"/>
            <w:vAlign w:val="bottom"/>
            <w:tcBorders>
              <w:bottom w:val="single" w:sz="8" w:color="auto"/>
            </w:tcBorders>
          </w:tcPr>
          <w:p>
            <w:pPr>
              <w:spacing w:after="0"/>
              <w:rPr>
                <w:sz w:val="24"/>
                <w:szCs w:val="24"/>
                <w:color w:val="auto"/>
              </w:rPr>
            </w:pPr>
          </w:p>
        </w:tc>
        <w:tc>
          <w:tcPr>
            <w:tcW w:w="7660" w:type="dxa"/>
            <w:vAlign w:val="bottom"/>
            <w:tcBorders>
              <w:bottom w:val="single" w:sz="8" w:color="auto"/>
            </w:tcBorders>
            <w:gridSpan w:val="2"/>
          </w:tcPr>
          <w:p>
            <w:pPr>
              <w:jc w:val="right"/>
              <w:ind w:right="5460"/>
              <w:spacing w:after="0"/>
              <w:rPr>
                <w:sz w:val="20"/>
                <w:szCs w:val="20"/>
                <w:color w:val="auto"/>
              </w:rPr>
            </w:pPr>
            <w:r>
              <w:rPr>
                <w:rFonts w:ascii="Times New Roman" w:cs="Times New Roman" w:eastAsia="Times New Roman" w:hAnsi="Times New Roman"/>
                <w:sz w:val="19"/>
                <w:szCs w:val="19"/>
                <w:color w:val="auto"/>
              </w:rPr>
              <w:t>24</w:t>
            </w:r>
          </w:p>
        </w:tc>
        <w:tc>
          <w:tcPr>
            <w:tcW w:w="0" w:type="dxa"/>
            <w:vAlign w:val="bottom"/>
          </w:tcPr>
          <w:p>
            <w:pPr>
              <w:spacing w:after="0"/>
              <w:rPr>
                <w:sz w:val="1"/>
                <w:szCs w:val="1"/>
                <w:color w:val="auto"/>
              </w:rPr>
            </w:pPr>
          </w:p>
        </w:tc>
      </w:tr>
    </w:tbl>
    <w:p>
      <w:pPr>
        <w:sectPr>
          <w:pgSz w:w="11900" w:h="16838" w:orient="portrait"/>
          <w:cols w:equalWidth="0" w:num="1">
            <w:col w:w="11260"/>
          </w:cols>
          <w:pgMar w:left="320" w:top="812" w:right="319" w:bottom="1440" w:gutter="0" w:footer="0" w:header="0"/>
        </w:sectPr>
      </w:pPr>
    </w:p>
    <w:bookmarkStart w:id="219" w:name="page220"/>
    <w:bookmarkEnd w:id="21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4260" w:type="dxa"/>
            <w:vAlign w:val="bottom"/>
            <w:tcBorders>
              <w:top w:val="single" w:sz="8" w:color="auto"/>
              <w:left w:val="single" w:sz="8" w:color="auto"/>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Romulus Capital III, L.P.</w:t>
            </w:r>
          </w:p>
        </w:tc>
        <w:tc>
          <w:tcPr>
            <w:tcW w:w="1380" w:type="dxa"/>
            <w:vAlign w:val="bottom"/>
            <w:tcBorders>
              <w:top w:val="single" w:sz="8" w:color="auto"/>
              <w:right w:val="single" w:sz="8" w:color="auto"/>
            </w:tcBorders>
          </w:tcPr>
          <w:p>
            <w:pPr>
              <w:spacing w:after="0"/>
              <w:rPr>
                <w:sz w:val="16"/>
                <w:szCs w:val="16"/>
                <w:color w:val="auto"/>
              </w:rPr>
            </w:pPr>
          </w:p>
        </w:tc>
        <w:tc>
          <w:tcPr>
            <w:tcW w:w="562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Romulus Capital II, L.P.</w:t>
            </w:r>
          </w:p>
        </w:tc>
        <w:tc>
          <w:tcPr>
            <w:tcW w:w="0" w:type="dxa"/>
            <w:vAlign w:val="bottom"/>
          </w:tcPr>
          <w:p>
            <w:pPr>
              <w:spacing w:after="0"/>
              <w:rPr>
                <w:sz w:val="1"/>
                <w:szCs w:val="1"/>
                <w:color w:val="auto"/>
              </w:rPr>
            </w:pPr>
          </w:p>
        </w:tc>
      </w:tr>
      <w:tr>
        <w:trPr>
          <w:trHeight w:val="191"/>
        </w:trPr>
        <w:tc>
          <w:tcPr>
            <w:tcW w:w="4260" w:type="dxa"/>
            <w:vAlign w:val="bottom"/>
            <w:tcBorders>
              <w:left w:val="single" w:sz="8" w:color="auto"/>
            </w:tcBorders>
            <w:vMerge w:val="continue"/>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307 Harvard Street</w:t>
            </w:r>
          </w:p>
        </w:tc>
        <w:tc>
          <w:tcPr>
            <w:tcW w:w="0" w:type="dxa"/>
            <w:vAlign w:val="bottom"/>
          </w:tcPr>
          <w:p>
            <w:pPr>
              <w:spacing w:after="0"/>
              <w:rPr>
                <w:sz w:val="1"/>
                <w:szCs w:val="1"/>
                <w:color w:val="auto"/>
              </w:rPr>
            </w:pPr>
          </w:p>
        </w:tc>
      </w:tr>
      <w:tr>
        <w:trPr>
          <w:trHeight w:val="191"/>
        </w:trPr>
        <w:tc>
          <w:tcPr>
            <w:tcW w:w="4260" w:type="dxa"/>
            <w:vAlign w:val="bottom"/>
            <w:tcBorders>
              <w:lef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Cambridge, MA 02139</w:t>
            </w:r>
          </w:p>
        </w:tc>
        <w:tc>
          <w:tcPr>
            <w:tcW w:w="0" w:type="dxa"/>
            <w:vAlign w:val="bottom"/>
          </w:tcPr>
          <w:p>
            <w:pPr>
              <w:spacing w:after="0"/>
              <w:rPr>
                <w:sz w:val="1"/>
                <w:szCs w:val="1"/>
                <w:color w:val="auto"/>
              </w:rPr>
            </w:pPr>
          </w:p>
        </w:tc>
      </w:tr>
      <w:tr>
        <w:trPr>
          <w:trHeight w:val="191"/>
        </w:trPr>
        <w:tc>
          <w:tcPr>
            <w:tcW w:w="4260" w:type="dxa"/>
            <w:vAlign w:val="bottom"/>
            <w:tcBorders>
              <w:lef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Krishna Gupta</w:t>
            </w:r>
          </w:p>
        </w:tc>
        <w:tc>
          <w:tcPr>
            <w:tcW w:w="0" w:type="dxa"/>
            <w:vAlign w:val="bottom"/>
          </w:tcPr>
          <w:p>
            <w:pPr>
              <w:spacing w:after="0"/>
              <w:rPr>
                <w:sz w:val="1"/>
                <w:szCs w:val="1"/>
                <w:color w:val="auto"/>
              </w:rPr>
            </w:pPr>
          </w:p>
        </w:tc>
      </w:tr>
      <w:tr>
        <w:trPr>
          <w:trHeight w:val="208"/>
        </w:trPr>
        <w:tc>
          <w:tcPr>
            <w:tcW w:w="4260" w:type="dxa"/>
            <w:vAlign w:val="bottom"/>
            <w:tcBorders>
              <w:lef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kkg@romulusgroup.com</w:t>
            </w:r>
          </w:p>
        </w:tc>
        <w:tc>
          <w:tcPr>
            <w:tcW w:w="0" w:type="dxa"/>
            <w:vAlign w:val="bottom"/>
          </w:tcPr>
          <w:p>
            <w:pPr>
              <w:spacing w:after="0"/>
              <w:rPr>
                <w:sz w:val="1"/>
                <w:szCs w:val="1"/>
                <w:color w:val="auto"/>
              </w:rPr>
            </w:pPr>
          </w:p>
        </w:tc>
      </w:tr>
      <w:tr>
        <w:trPr>
          <w:trHeight w:val="382"/>
        </w:trPr>
        <w:tc>
          <w:tcPr>
            <w:tcW w:w="4260" w:type="dxa"/>
            <w:vAlign w:val="bottom"/>
            <w:tcBorders>
              <w:lef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with a copy (which shall not constitute notice) to:</w:t>
            </w:r>
          </w:p>
        </w:tc>
        <w:tc>
          <w:tcPr>
            <w:tcW w:w="0" w:type="dxa"/>
            <w:vAlign w:val="bottom"/>
          </w:tcPr>
          <w:p>
            <w:pPr>
              <w:spacing w:after="0"/>
              <w:rPr>
                <w:sz w:val="1"/>
                <w:szCs w:val="1"/>
                <w:color w:val="auto"/>
              </w:rPr>
            </w:pPr>
          </w:p>
        </w:tc>
      </w:tr>
      <w:tr>
        <w:trPr>
          <w:trHeight w:val="366"/>
        </w:trPr>
        <w:tc>
          <w:tcPr>
            <w:tcW w:w="4260" w:type="dxa"/>
            <w:vAlign w:val="bottom"/>
            <w:tcBorders>
              <w:lef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Goodwin Procter LLP</w:t>
            </w:r>
          </w:p>
        </w:tc>
        <w:tc>
          <w:tcPr>
            <w:tcW w:w="0" w:type="dxa"/>
            <w:vAlign w:val="bottom"/>
          </w:tcPr>
          <w:p>
            <w:pPr>
              <w:spacing w:after="0"/>
              <w:rPr>
                <w:sz w:val="1"/>
                <w:szCs w:val="1"/>
                <w:color w:val="auto"/>
              </w:rPr>
            </w:pPr>
          </w:p>
        </w:tc>
      </w:tr>
      <w:tr>
        <w:trPr>
          <w:trHeight w:val="191"/>
        </w:trPr>
        <w:tc>
          <w:tcPr>
            <w:tcW w:w="4260" w:type="dxa"/>
            <w:vAlign w:val="bottom"/>
            <w:tcBorders>
              <w:lef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100 Northern Avenue</w:t>
            </w:r>
          </w:p>
        </w:tc>
        <w:tc>
          <w:tcPr>
            <w:tcW w:w="0" w:type="dxa"/>
            <w:vAlign w:val="bottom"/>
          </w:tcPr>
          <w:p>
            <w:pPr>
              <w:spacing w:after="0"/>
              <w:rPr>
                <w:sz w:val="1"/>
                <w:szCs w:val="1"/>
                <w:color w:val="auto"/>
              </w:rPr>
            </w:pPr>
          </w:p>
        </w:tc>
      </w:tr>
      <w:tr>
        <w:trPr>
          <w:trHeight w:val="191"/>
        </w:trPr>
        <w:tc>
          <w:tcPr>
            <w:tcW w:w="4260" w:type="dxa"/>
            <w:vAlign w:val="bottom"/>
            <w:tcBorders>
              <w:lef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Boston, MA 0221</w:t>
            </w:r>
          </w:p>
        </w:tc>
        <w:tc>
          <w:tcPr>
            <w:tcW w:w="0" w:type="dxa"/>
            <w:vAlign w:val="bottom"/>
          </w:tcPr>
          <w:p>
            <w:pPr>
              <w:spacing w:after="0"/>
              <w:rPr>
                <w:sz w:val="1"/>
                <w:szCs w:val="1"/>
                <w:color w:val="auto"/>
              </w:rPr>
            </w:pPr>
          </w:p>
        </w:tc>
      </w:tr>
      <w:tr>
        <w:trPr>
          <w:trHeight w:val="191"/>
        </w:trPr>
        <w:tc>
          <w:tcPr>
            <w:tcW w:w="4260" w:type="dxa"/>
            <w:vAlign w:val="bottom"/>
            <w:tcBorders>
              <w:lef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William Schnoor</w:t>
            </w:r>
          </w:p>
        </w:tc>
        <w:tc>
          <w:tcPr>
            <w:tcW w:w="0" w:type="dxa"/>
            <w:vAlign w:val="bottom"/>
          </w:tcPr>
          <w:p>
            <w:pPr>
              <w:spacing w:after="0"/>
              <w:rPr>
                <w:sz w:val="1"/>
                <w:szCs w:val="1"/>
                <w:color w:val="auto"/>
              </w:rPr>
            </w:pPr>
          </w:p>
        </w:tc>
      </w:tr>
      <w:tr>
        <w:trPr>
          <w:trHeight w:val="208"/>
        </w:trPr>
        <w:tc>
          <w:tcPr>
            <w:tcW w:w="4260" w:type="dxa"/>
            <w:vAlign w:val="bottom"/>
            <w:tcBorders>
              <w:lef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WSchnoor@goodwinlaw.com</w:t>
            </w:r>
          </w:p>
        </w:tc>
        <w:tc>
          <w:tcPr>
            <w:tcW w:w="0" w:type="dxa"/>
            <w:vAlign w:val="bottom"/>
          </w:tcPr>
          <w:p>
            <w:pPr>
              <w:spacing w:after="0"/>
              <w:rPr>
                <w:sz w:val="1"/>
                <w:szCs w:val="1"/>
                <w:color w:val="auto"/>
              </w:rPr>
            </w:pPr>
          </w:p>
        </w:tc>
      </w:tr>
      <w:tr>
        <w:trPr>
          <w:trHeight w:val="36"/>
        </w:trPr>
        <w:tc>
          <w:tcPr>
            <w:tcW w:w="4260" w:type="dxa"/>
            <w:vAlign w:val="bottom"/>
            <w:tcBorders>
              <w:left w:val="single" w:sz="8" w:color="auto"/>
              <w:bottom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5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4260" w:type="dxa"/>
            <w:vAlign w:val="bottom"/>
            <w:tcBorders>
              <w:left w:val="single" w:sz="8" w:color="auto"/>
            </w:tcBorders>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Romulus ELC B3 Special Opportunity, L.P.</w:t>
            </w:r>
          </w:p>
        </w:tc>
        <w:tc>
          <w:tcPr>
            <w:tcW w:w="1380" w:type="dxa"/>
            <w:vAlign w:val="bottom"/>
            <w:tcBorders>
              <w:right w:val="single" w:sz="8" w:color="auto"/>
            </w:tcBorders>
          </w:tcPr>
          <w:p>
            <w:pPr>
              <w:spacing w:after="0"/>
              <w:rPr>
                <w:sz w:val="14"/>
                <w:szCs w:val="14"/>
                <w:color w:val="auto"/>
              </w:rPr>
            </w:pPr>
          </w:p>
        </w:tc>
        <w:tc>
          <w:tcPr>
            <w:tcW w:w="5620" w:type="dxa"/>
            <w:vAlign w:val="bottom"/>
            <w:tcBorders>
              <w:right w:val="single" w:sz="8" w:color="auto"/>
            </w:tcBorders>
          </w:tcPr>
          <w:p>
            <w:pPr>
              <w:ind w:left="40"/>
              <w:spacing w:after="0" w:line="167" w:lineRule="exact"/>
              <w:rPr>
                <w:sz w:val="20"/>
                <w:szCs w:val="20"/>
                <w:color w:val="auto"/>
              </w:rPr>
            </w:pPr>
            <w:r>
              <w:rPr>
                <w:rFonts w:ascii="Times New Roman" w:cs="Times New Roman" w:eastAsia="Times New Roman" w:hAnsi="Times New Roman"/>
                <w:sz w:val="16"/>
                <w:szCs w:val="16"/>
                <w:color w:val="auto"/>
              </w:rPr>
              <w:t>Romulus Capital II, L.P.</w:t>
            </w:r>
          </w:p>
        </w:tc>
        <w:tc>
          <w:tcPr>
            <w:tcW w:w="0" w:type="dxa"/>
            <w:vAlign w:val="bottom"/>
          </w:tcPr>
          <w:p>
            <w:pPr>
              <w:spacing w:after="0"/>
              <w:rPr>
                <w:sz w:val="1"/>
                <w:szCs w:val="1"/>
                <w:color w:val="auto"/>
              </w:rPr>
            </w:pPr>
          </w:p>
        </w:tc>
      </w:tr>
      <w:tr>
        <w:trPr>
          <w:trHeight w:val="191"/>
        </w:trPr>
        <w:tc>
          <w:tcPr>
            <w:tcW w:w="4260" w:type="dxa"/>
            <w:vAlign w:val="bottom"/>
            <w:tcBorders>
              <w:lef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307 Harvard Street</w:t>
            </w:r>
          </w:p>
        </w:tc>
        <w:tc>
          <w:tcPr>
            <w:tcW w:w="0" w:type="dxa"/>
            <w:vAlign w:val="bottom"/>
          </w:tcPr>
          <w:p>
            <w:pPr>
              <w:spacing w:after="0"/>
              <w:rPr>
                <w:sz w:val="1"/>
                <w:szCs w:val="1"/>
                <w:color w:val="auto"/>
              </w:rPr>
            </w:pPr>
          </w:p>
        </w:tc>
      </w:tr>
      <w:tr>
        <w:trPr>
          <w:trHeight w:val="191"/>
        </w:trPr>
        <w:tc>
          <w:tcPr>
            <w:tcW w:w="4260" w:type="dxa"/>
            <w:vAlign w:val="bottom"/>
            <w:tcBorders>
              <w:lef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Cambridge, MA 02139</w:t>
            </w:r>
          </w:p>
        </w:tc>
        <w:tc>
          <w:tcPr>
            <w:tcW w:w="0" w:type="dxa"/>
            <w:vAlign w:val="bottom"/>
          </w:tcPr>
          <w:p>
            <w:pPr>
              <w:spacing w:after="0"/>
              <w:rPr>
                <w:sz w:val="1"/>
                <w:szCs w:val="1"/>
                <w:color w:val="auto"/>
              </w:rPr>
            </w:pPr>
          </w:p>
        </w:tc>
      </w:tr>
      <w:tr>
        <w:trPr>
          <w:trHeight w:val="191"/>
        </w:trPr>
        <w:tc>
          <w:tcPr>
            <w:tcW w:w="4260" w:type="dxa"/>
            <w:vAlign w:val="bottom"/>
            <w:tcBorders>
              <w:lef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Krishna Gupta</w:t>
            </w:r>
          </w:p>
        </w:tc>
        <w:tc>
          <w:tcPr>
            <w:tcW w:w="0" w:type="dxa"/>
            <w:vAlign w:val="bottom"/>
          </w:tcPr>
          <w:p>
            <w:pPr>
              <w:spacing w:after="0"/>
              <w:rPr>
                <w:sz w:val="1"/>
                <w:szCs w:val="1"/>
                <w:color w:val="auto"/>
              </w:rPr>
            </w:pPr>
          </w:p>
        </w:tc>
      </w:tr>
      <w:tr>
        <w:trPr>
          <w:trHeight w:val="208"/>
        </w:trPr>
        <w:tc>
          <w:tcPr>
            <w:tcW w:w="4260" w:type="dxa"/>
            <w:vAlign w:val="bottom"/>
            <w:tcBorders>
              <w:lef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kkg@romulusgroup.com</w:t>
            </w:r>
          </w:p>
        </w:tc>
        <w:tc>
          <w:tcPr>
            <w:tcW w:w="0" w:type="dxa"/>
            <w:vAlign w:val="bottom"/>
          </w:tcPr>
          <w:p>
            <w:pPr>
              <w:spacing w:after="0"/>
              <w:rPr>
                <w:sz w:val="1"/>
                <w:szCs w:val="1"/>
                <w:color w:val="auto"/>
              </w:rPr>
            </w:pPr>
          </w:p>
        </w:tc>
      </w:tr>
      <w:tr>
        <w:trPr>
          <w:trHeight w:val="382"/>
        </w:trPr>
        <w:tc>
          <w:tcPr>
            <w:tcW w:w="4260" w:type="dxa"/>
            <w:vAlign w:val="bottom"/>
            <w:tcBorders>
              <w:lef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with a copy (which shall not constitute notice) to:</w:t>
            </w:r>
          </w:p>
        </w:tc>
        <w:tc>
          <w:tcPr>
            <w:tcW w:w="0" w:type="dxa"/>
            <w:vAlign w:val="bottom"/>
          </w:tcPr>
          <w:p>
            <w:pPr>
              <w:spacing w:after="0"/>
              <w:rPr>
                <w:sz w:val="1"/>
                <w:szCs w:val="1"/>
                <w:color w:val="auto"/>
              </w:rPr>
            </w:pPr>
          </w:p>
        </w:tc>
      </w:tr>
      <w:tr>
        <w:trPr>
          <w:trHeight w:val="366"/>
        </w:trPr>
        <w:tc>
          <w:tcPr>
            <w:tcW w:w="4260" w:type="dxa"/>
            <w:vAlign w:val="bottom"/>
            <w:tcBorders>
              <w:lef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Goodwin Procter LLP</w:t>
            </w:r>
          </w:p>
        </w:tc>
        <w:tc>
          <w:tcPr>
            <w:tcW w:w="0" w:type="dxa"/>
            <w:vAlign w:val="bottom"/>
          </w:tcPr>
          <w:p>
            <w:pPr>
              <w:spacing w:after="0"/>
              <w:rPr>
                <w:sz w:val="1"/>
                <w:szCs w:val="1"/>
                <w:color w:val="auto"/>
              </w:rPr>
            </w:pPr>
          </w:p>
        </w:tc>
      </w:tr>
      <w:tr>
        <w:trPr>
          <w:trHeight w:val="191"/>
        </w:trPr>
        <w:tc>
          <w:tcPr>
            <w:tcW w:w="4260" w:type="dxa"/>
            <w:vAlign w:val="bottom"/>
            <w:tcBorders>
              <w:lef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100 Northern Avenue</w:t>
            </w:r>
          </w:p>
        </w:tc>
        <w:tc>
          <w:tcPr>
            <w:tcW w:w="0" w:type="dxa"/>
            <w:vAlign w:val="bottom"/>
          </w:tcPr>
          <w:p>
            <w:pPr>
              <w:spacing w:after="0"/>
              <w:rPr>
                <w:sz w:val="1"/>
                <w:szCs w:val="1"/>
                <w:color w:val="auto"/>
              </w:rPr>
            </w:pPr>
          </w:p>
        </w:tc>
      </w:tr>
      <w:tr>
        <w:trPr>
          <w:trHeight w:val="191"/>
        </w:trPr>
        <w:tc>
          <w:tcPr>
            <w:tcW w:w="4260" w:type="dxa"/>
            <w:vAlign w:val="bottom"/>
            <w:tcBorders>
              <w:lef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Boston, MA 0221</w:t>
            </w:r>
          </w:p>
        </w:tc>
        <w:tc>
          <w:tcPr>
            <w:tcW w:w="0" w:type="dxa"/>
            <w:vAlign w:val="bottom"/>
          </w:tcPr>
          <w:p>
            <w:pPr>
              <w:spacing w:after="0"/>
              <w:rPr>
                <w:sz w:val="1"/>
                <w:szCs w:val="1"/>
                <w:color w:val="auto"/>
              </w:rPr>
            </w:pPr>
          </w:p>
        </w:tc>
      </w:tr>
      <w:tr>
        <w:trPr>
          <w:trHeight w:val="191"/>
        </w:trPr>
        <w:tc>
          <w:tcPr>
            <w:tcW w:w="4260" w:type="dxa"/>
            <w:vAlign w:val="bottom"/>
            <w:tcBorders>
              <w:lef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William Schnoor</w:t>
            </w:r>
          </w:p>
        </w:tc>
        <w:tc>
          <w:tcPr>
            <w:tcW w:w="0" w:type="dxa"/>
            <w:vAlign w:val="bottom"/>
          </w:tcPr>
          <w:p>
            <w:pPr>
              <w:spacing w:after="0"/>
              <w:rPr>
                <w:sz w:val="1"/>
                <w:szCs w:val="1"/>
                <w:color w:val="auto"/>
              </w:rPr>
            </w:pPr>
          </w:p>
        </w:tc>
      </w:tr>
      <w:tr>
        <w:trPr>
          <w:trHeight w:val="208"/>
        </w:trPr>
        <w:tc>
          <w:tcPr>
            <w:tcW w:w="4260" w:type="dxa"/>
            <w:vAlign w:val="bottom"/>
            <w:tcBorders>
              <w:lef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WSchnoor@goodwinlaw.com</w:t>
            </w:r>
          </w:p>
        </w:tc>
        <w:tc>
          <w:tcPr>
            <w:tcW w:w="0" w:type="dxa"/>
            <w:vAlign w:val="bottom"/>
          </w:tcPr>
          <w:p>
            <w:pPr>
              <w:spacing w:after="0"/>
              <w:rPr>
                <w:sz w:val="1"/>
                <w:szCs w:val="1"/>
                <w:color w:val="auto"/>
              </w:rPr>
            </w:pPr>
          </w:p>
        </w:tc>
      </w:tr>
      <w:tr>
        <w:trPr>
          <w:trHeight w:val="36"/>
        </w:trPr>
        <w:tc>
          <w:tcPr>
            <w:tcW w:w="4260" w:type="dxa"/>
            <w:vAlign w:val="bottom"/>
            <w:tcBorders>
              <w:left w:val="single" w:sz="8" w:color="auto"/>
              <w:bottom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5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4260" w:type="dxa"/>
            <w:vAlign w:val="bottom"/>
            <w:tcBorders>
              <w:left w:val="single" w:sz="8" w:color="auto"/>
            </w:tcBorders>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PRESTO CA LLC</w:t>
            </w:r>
          </w:p>
        </w:tc>
        <w:tc>
          <w:tcPr>
            <w:tcW w:w="1380" w:type="dxa"/>
            <w:vAlign w:val="bottom"/>
            <w:tcBorders>
              <w:right w:val="single" w:sz="8" w:color="auto"/>
            </w:tcBorders>
          </w:tcPr>
          <w:p>
            <w:pPr>
              <w:spacing w:after="0"/>
              <w:rPr>
                <w:sz w:val="14"/>
                <w:szCs w:val="14"/>
                <w:color w:val="auto"/>
              </w:rPr>
            </w:pPr>
          </w:p>
        </w:tc>
        <w:tc>
          <w:tcPr>
            <w:tcW w:w="5620" w:type="dxa"/>
            <w:vAlign w:val="bottom"/>
            <w:tcBorders>
              <w:right w:val="single" w:sz="8" w:color="auto"/>
            </w:tcBorders>
          </w:tcPr>
          <w:p>
            <w:pPr>
              <w:ind w:left="40"/>
              <w:spacing w:after="0" w:line="167"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4260" w:type="dxa"/>
            <w:vAlign w:val="bottom"/>
            <w:tcBorders>
              <w:lef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w:t>
            </w:r>
          </w:p>
        </w:tc>
        <w:tc>
          <w:tcPr>
            <w:tcW w:w="0" w:type="dxa"/>
            <w:vAlign w:val="bottom"/>
          </w:tcPr>
          <w:p>
            <w:pPr>
              <w:spacing w:after="0"/>
              <w:rPr>
                <w:sz w:val="1"/>
                <w:szCs w:val="1"/>
                <w:color w:val="auto"/>
              </w:rPr>
            </w:pPr>
          </w:p>
        </w:tc>
      </w:tr>
      <w:tr>
        <w:trPr>
          <w:trHeight w:val="208"/>
        </w:trPr>
        <w:tc>
          <w:tcPr>
            <w:tcW w:w="4260" w:type="dxa"/>
            <w:vAlign w:val="bottom"/>
            <w:tcBorders>
              <w:lef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w:t>
            </w:r>
          </w:p>
        </w:tc>
        <w:tc>
          <w:tcPr>
            <w:tcW w:w="0" w:type="dxa"/>
            <w:vAlign w:val="bottom"/>
          </w:tcPr>
          <w:p>
            <w:pPr>
              <w:spacing w:after="0"/>
              <w:rPr>
                <w:sz w:val="1"/>
                <w:szCs w:val="1"/>
                <w:color w:val="auto"/>
              </w:rPr>
            </w:pPr>
          </w:p>
        </w:tc>
      </w:tr>
      <w:tr>
        <w:trPr>
          <w:trHeight w:val="382"/>
        </w:trPr>
        <w:tc>
          <w:tcPr>
            <w:tcW w:w="4260" w:type="dxa"/>
            <w:vAlign w:val="bottom"/>
            <w:tcBorders>
              <w:lef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with a copy (which shall not constitute notice) to:</w:t>
            </w:r>
          </w:p>
        </w:tc>
        <w:tc>
          <w:tcPr>
            <w:tcW w:w="0" w:type="dxa"/>
            <w:vAlign w:val="bottom"/>
          </w:tcPr>
          <w:p>
            <w:pPr>
              <w:spacing w:after="0"/>
              <w:rPr>
                <w:sz w:val="1"/>
                <w:szCs w:val="1"/>
                <w:color w:val="auto"/>
              </w:rPr>
            </w:pPr>
          </w:p>
        </w:tc>
      </w:tr>
      <w:tr>
        <w:trPr>
          <w:trHeight w:val="366"/>
        </w:trPr>
        <w:tc>
          <w:tcPr>
            <w:tcW w:w="4260" w:type="dxa"/>
            <w:vAlign w:val="bottom"/>
            <w:tcBorders>
              <w:lef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4260" w:type="dxa"/>
            <w:vAlign w:val="bottom"/>
            <w:tcBorders>
              <w:lef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4260" w:type="dxa"/>
            <w:vAlign w:val="bottom"/>
            <w:tcBorders>
              <w:lef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w:t>
            </w:r>
          </w:p>
        </w:tc>
        <w:tc>
          <w:tcPr>
            <w:tcW w:w="0" w:type="dxa"/>
            <w:vAlign w:val="bottom"/>
          </w:tcPr>
          <w:p>
            <w:pPr>
              <w:spacing w:after="0"/>
              <w:rPr>
                <w:sz w:val="1"/>
                <w:szCs w:val="1"/>
                <w:color w:val="auto"/>
              </w:rPr>
            </w:pPr>
          </w:p>
        </w:tc>
      </w:tr>
      <w:tr>
        <w:trPr>
          <w:trHeight w:val="208"/>
        </w:trPr>
        <w:tc>
          <w:tcPr>
            <w:tcW w:w="4260" w:type="dxa"/>
            <w:vAlign w:val="bottom"/>
            <w:tcBorders>
              <w:lef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w:t>
            </w:r>
          </w:p>
        </w:tc>
        <w:tc>
          <w:tcPr>
            <w:tcW w:w="0" w:type="dxa"/>
            <w:vAlign w:val="bottom"/>
          </w:tcPr>
          <w:p>
            <w:pPr>
              <w:spacing w:after="0"/>
              <w:rPr>
                <w:sz w:val="1"/>
                <w:szCs w:val="1"/>
                <w:color w:val="auto"/>
              </w:rPr>
            </w:pPr>
          </w:p>
        </w:tc>
      </w:tr>
      <w:tr>
        <w:trPr>
          <w:trHeight w:val="36"/>
        </w:trPr>
        <w:tc>
          <w:tcPr>
            <w:tcW w:w="4260" w:type="dxa"/>
            <w:vAlign w:val="bottom"/>
            <w:tcBorders>
              <w:left w:val="single" w:sz="8" w:color="auto"/>
              <w:bottom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5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4260" w:type="dxa"/>
            <w:vAlign w:val="bottom"/>
            <w:tcBorders>
              <w:left w:val="single" w:sz="8" w:color="auto"/>
            </w:tcBorders>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Rajat Suri</w:t>
            </w:r>
          </w:p>
        </w:tc>
        <w:tc>
          <w:tcPr>
            <w:tcW w:w="1380" w:type="dxa"/>
            <w:vAlign w:val="bottom"/>
            <w:tcBorders>
              <w:right w:val="single" w:sz="8" w:color="auto"/>
            </w:tcBorders>
          </w:tcPr>
          <w:p>
            <w:pPr>
              <w:spacing w:after="0"/>
              <w:rPr>
                <w:sz w:val="14"/>
                <w:szCs w:val="14"/>
                <w:color w:val="auto"/>
              </w:rPr>
            </w:pPr>
          </w:p>
        </w:tc>
        <w:tc>
          <w:tcPr>
            <w:tcW w:w="5620" w:type="dxa"/>
            <w:vAlign w:val="bottom"/>
            <w:tcBorders>
              <w:right w:val="single" w:sz="8" w:color="auto"/>
            </w:tcBorders>
          </w:tcPr>
          <w:p>
            <w:pPr>
              <w:ind w:left="40"/>
              <w:spacing w:after="0" w:line="167"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4260" w:type="dxa"/>
            <w:vAlign w:val="bottom"/>
            <w:tcBorders>
              <w:lef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Rajat Suri</w:t>
            </w:r>
          </w:p>
        </w:tc>
        <w:tc>
          <w:tcPr>
            <w:tcW w:w="0" w:type="dxa"/>
            <w:vAlign w:val="bottom"/>
          </w:tcPr>
          <w:p>
            <w:pPr>
              <w:spacing w:after="0"/>
              <w:rPr>
                <w:sz w:val="1"/>
                <w:szCs w:val="1"/>
                <w:color w:val="auto"/>
              </w:rPr>
            </w:pPr>
          </w:p>
        </w:tc>
      </w:tr>
      <w:tr>
        <w:trPr>
          <w:trHeight w:val="208"/>
        </w:trPr>
        <w:tc>
          <w:tcPr>
            <w:tcW w:w="4260" w:type="dxa"/>
            <w:vAlign w:val="bottom"/>
            <w:tcBorders>
              <w:lef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raj@presto.com</w:t>
            </w:r>
          </w:p>
        </w:tc>
        <w:tc>
          <w:tcPr>
            <w:tcW w:w="0" w:type="dxa"/>
            <w:vAlign w:val="bottom"/>
          </w:tcPr>
          <w:p>
            <w:pPr>
              <w:spacing w:after="0"/>
              <w:rPr>
                <w:sz w:val="1"/>
                <w:szCs w:val="1"/>
                <w:color w:val="auto"/>
              </w:rPr>
            </w:pPr>
          </w:p>
        </w:tc>
      </w:tr>
      <w:tr>
        <w:trPr>
          <w:trHeight w:val="382"/>
        </w:trPr>
        <w:tc>
          <w:tcPr>
            <w:tcW w:w="4260" w:type="dxa"/>
            <w:vAlign w:val="bottom"/>
            <w:tcBorders>
              <w:lef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with a copy (which shall not constitute notice) to:</w:t>
            </w:r>
          </w:p>
        </w:tc>
        <w:tc>
          <w:tcPr>
            <w:tcW w:w="0" w:type="dxa"/>
            <w:vAlign w:val="bottom"/>
          </w:tcPr>
          <w:p>
            <w:pPr>
              <w:spacing w:after="0"/>
              <w:rPr>
                <w:sz w:val="1"/>
                <w:szCs w:val="1"/>
                <w:color w:val="auto"/>
              </w:rPr>
            </w:pPr>
          </w:p>
        </w:tc>
      </w:tr>
      <w:tr>
        <w:trPr>
          <w:trHeight w:val="366"/>
        </w:trPr>
        <w:tc>
          <w:tcPr>
            <w:tcW w:w="4260" w:type="dxa"/>
            <w:vAlign w:val="bottom"/>
            <w:tcBorders>
              <w:lef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4260" w:type="dxa"/>
            <w:vAlign w:val="bottom"/>
            <w:tcBorders>
              <w:lef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4260" w:type="dxa"/>
            <w:vAlign w:val="bottom"/>
            <w:tcBorders>
              <w:lef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w:t>
            </w:r>
          </w:p>
        </w:tc>
        <w:tc>
          <w:tcPr>
            <w:tcW w:w="0" w:type="dxa"/>
            <w:vAlign w:val="bottom"/>
          </w:tcPr>
          <w:p>
            <w:pPr>
              <w:spacing w:after="0"/>
              <w:rPr>
                <w:sz w:val="1"/>
                <w:szCs w:val="1"/>
                <w:color w:val="auto"/>
              </w:rPr>
            </w:pPr>
          </w:p>
        </w:tc>
      </w:tr>
      <w:tr>
        <w:trPr>
          <w:trHeight w:val="208"/>
        </w:trPr>
        <w:tc>
          <w:tcPr>
            <w:tcW w:w="4260" w:type="dxa"/>
            <w:vAlign w:val="bottom"/>
            <w:tcBorders>
              <w:lef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w:t>
            </w:r>
          </w:p>
        </w:tc>
        <w:tc>
          <w:tcPr>
            <w:tcW w:w="0" w:type="dxa"/>
            <w:vAlign w:val="bottom"/>
          </w:tcPr>
          <w:p>
            <w:pPr>
              <w:spacing w:after="0"/>
              <w:rPr>
                <w:sz w:val="1"/>
                <w:szCs w:val="1"/>
                <w:color w:val="auto"/>
              </w:rPr>
            </w:pPr>
          </w:p>
        </w:tc>
      </w:tr>
      <w:tr>
        <w:trPr>
          <w:trHeight w:val="36"/>
        </w:trPr>
        <w:tc>
          <w:tcPr>
            <w:tcW w:w="4260" w:type="dxa"/>
            <w:vAlign w:val="bottom"/>
            <w:tcBorders>
              <w:left w:val="single" w:sz="8" w:color="auto"/>
              <w:bottom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5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4260" w:type="dxa"/>
            <w:vAlign w:val="bottom"/>
            <w:tcBorders>
              <w:left w:val="single" w:sz="8" w:color="auto"/>
            </w:tcBorders>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Ashish Gupta</w:t>
            </w:r>
          </w:p>
        </w:tc>
        <w:tc>
          <w:tcPr>
            <w:tcW w:w="1380" w:type="dxa"/>
            <w:vAlign w:val="bottom"/>
            <w:tcBorders>
              <w:right w:val="single" w:sz="8" w:color="auto"/>
            </w:tcBorders>
          </w:tcPr>
          <w:p>
            <w:pPr>
              <w:spacing w:after="0"/>
              <w:rPr>
                <w:sz w:val="14"/>
                <w:szCs w:val="14"/>
                <w:color w:val="auto"/>
              </w:rPr>
            </w:pPr>
          </w:p>
        </w:tc>
        <w:tc>
          <w:tcPr>
            <w:tcW w:w="5620" w:type="dxa"/>
            <w:vAlign w:val="bottom"/>
            <w:tcBorders>
              <w:right w:val="single" w:sz="8" w:color="auto"/>
            </w:tcBorders>
          </w:tcPr>
          <w:p>
            <w:pPr>
              <w:ind w:left="40"/>
              <w:spacing w:after="0" w:line="167"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4260" w:type="dxa"/>
            <w:vAlign w:val="bottom"/>
            <w:tcBorders>
              <w:lef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Ashish Gupta</w:t>
            </w:r>
          </w:p>
        </w:tc>
        <w:tc>
          <w:tcPr>
            <w:tcW w:w="0" w:type="dxa"/>
            <w:vAlign w:val="bottom"/>
          </w:tcPr>
          <w:p>
            <w:pPr>
              <w:spacing w:after="0"/>
              <w:rPr>
                <w:sz w:val="1"/>
                <w:szCs w:val="1"/>
                <w:color w:val="auto"/>
              </w:rPr>
            </w:pPr>
          </w:p>
        </w:tc>
      </w:tr>
      <w:tr>
        <w:trPr>
          <w:trHeight w:val="382"/>
        </w:trPr>
        <w:tc>
          <w:tcPr>
            <w:tcW w:w="4260" w:type="dxa"/>
            <w:vAlign w:val="bottom"/>
            <w:tcBorders>
              <w:lef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ashish@presto.com</w:t>
            </w:r>
          </w:p>
        </w:tc>
        <w:tc>
          <w:tcPr>
            <w:tcW w:w="0" w:type="dxa"/>
            <w:vAlign w:val="bottom"/>
          </w:tcPr>
          <w:p>
            <w:pPr>
              <w:spacing w:after="0"/>
              <w:rPr>
                <w:sz w:val="1"/>
                <w:szCs w:val="1"/>
                <w:color w:val="auto"/>
              </w:rPr>
            </w:pPr>
          </w:p>
        </w:tc>
      </w:tr>
      <w:tr>
        <w:trPr>
          <w:trHeight w:val="366"/>
        </w:trPr>
        <w:tc>
          <w:tcPr>
            <w:tcW w:w="4260" w:type="dxa"/>
            <w:vAlign w:val="bottom"/>
            <w:tcBorders>
              <w:lef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with a copy (which shall not constitute notice) to:</w:t>
            </w:r>
          </w:p>
        </w:tc>
        <w:tc>
          <w:tcPr>
            <w:tcW w:w="0" w:type="dxa"/>
            <w:vAlign w:val="bottom"/>
          </w:tcPr>
          <w:p>
            <w:pPr>
              <w:spacing w:after="0"/>
              <w:rPr>
                <w:sz w:val="1"/>
                <w:szCs w:val="1"/>
                <w:color w:val="auto"/>
              </w:rPr>
            </w:pPr>
          </w:p>
        </w:tc>
      </w:tr>
      <w:tr>
        <w:trPr>
          <w:trHeight w:val="191"/>
        </w:trPr>
        <w:tc>
          <w:tcPr>
            <w:tcW w:w="4260" w:type="dxa"/>
            <w:vAlign w:val="bottom"/>
            <w:tcBorders>
              <w:lef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4260" w:type="dxa"/>
            <w:vAlign w:val="bottom"/>
            <w:tcBorders>
              <w:lef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4260" w:type="dxa"/>
            <w:vAlign w:val="bottom"/>
            <w:tcBorders>
              <w:lef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w:t>
            </w:r>
          </w:p>
        </w:tc>
        <w:tc>
          <w:tcPr>
            <w:tcW w:w="0" w:type="dxa"/>
            <w:vAlign w:val="bottom"/>
          </w:tcPr>
          <w:p>
            <w:pPr>
              <w:spacing w:after="0"/>
              <w:rPr>
                <w:sz w:val="1"/>
                <w:szCs w:val="1"/>
                <w:color w:val="auto"/>
              </w:rPr>
            </w:pPr>
          </w:p>
        </w:tc>
      </w:tr>
      <w:tr>
        <w:trPr>
          <w:trHeight w:val="208"/>
        </w:trPr>
        <w:tc>
          <w:tcPr>
            <w:tcW w:w="4260" w:type="dxa"/>
            <w:vAlign w:val="bottom"/>
            <w:tcBorders>
              <w:lef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w:t>
            </w:r>
          </w:p>
        </w:tc>
        <w:tc>
          <w:tcPr>
            <w:tcW w:w="0" w:type="dxa"/>
            <w:vAlign w:val="bottom"/>
          </w:tcPr>
          <w:p>
            <w:pPr>
              <w:spacing w:after="0"/>
              <w:rPr>
                <w:sz w:val="1"/>
                <w:szCs w:val="1"/>
                <w:color w:val="auto"/>
              </w:rPr>
            </w:pPr>
          </w:p>
        </w:tc>
      </w:tr>
      <w:tr>
        <w:trPr>
          <w:trHeight w:val="36"/>
        </w:trPr>
        <w:tc>
          <w:tcPr>
            <w:tcW w:w="4260" w:type="dxa"/>
            <w:vAlign w:val="bottom"/>
            <w:tcBorders>
              <w:left w:val="single" w:sz="8" w:color="auto"/>
              <w:bottom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5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593"/>
        </w:trPr>
        <w:tc>
          <w:tcPr>
            <w:tcW w:w="4260" w:type="dxa"/>
            <w:vAlign w:val="bottom"/>
            <w:tcBorders>
              <w:bottom w:val="single" w:sz="8" w:color="auto"/>
            </w:tcBorders>
          </w:tcPr>
          <w:p>
            <w:pPr>
              <w:spacing w:after="0"/>
              <w:rPr>
                <w:sz w:val="24"/>
                <w:szCs w:val="24"/>
                <w:color w:val="auto"/>
              </w:rPr>
            </w:pPr>
          </w:p>
        </w:tc>
        <w:tc>
          <w:tcPr>
            <w:tcW w:w="7000" w:type="dxa"/>
            <w:vAlign w:val="bottom"/>
            <w:tcBorders>
              <w:bottom w:val="single" w:sz="8" w:color="auto"/>
            </w:tcBorders>
            <w:gridSpan w:val="2"/>
          </w:tcPr>
          <w:p>
            <w:pPr>
              <w:jc w:val="right"/>
              <w:ind w:right="5460"/>
              <w:spacing w:after="0"/>
              <w:rPr>
                <w:sz w:val="20"/>
                <w:szCs w:val="20"/>
                <w:color w:val="auto"/>
              </w:rPr>
            </w:pPr>
            <w:r>
              <w:rPr>
                <w:rFonts w:ascii="Times New Roman" w:cs="Times New Roman" w:eastAsia="Times New Roman" w:hAnsi="Times New Roman"/>
                <w:sz w:val="19"/>
                <w:szCs w:val="19"/>
                <w:color w:val="auto"/>
              </w:rPr>
              <w:t>25</w:t>
            </w:r>
          </w:p>
        </w:tc>
        <w:tc>
          <w:tcPr>
            <w:tcW w:w="0" w:type="dxa"/>
            <w:vAlign w:val="bottom"/>
          </w:tcPr>
          <w:p>
            <w:pPr>
              <w:spacing w:after="0"/>
              <w:rPr>
                <w:sz w:val="1"/>
                <w:szCs w:val="1"/>
                <w:color w:val="auto"/>
              </w:rPr>
            </w:pPr>
          </w:p>
        </w:tc>
      </w:tr>
    </w:tbl>
    <w:p>
      <w:pPr>
        <w:sectPr>
          <w:pgSz w:w="11900" w:h="16838" w:orient="portrait"/>
          <w:cols w:equalWidth="0" w:num="1">
            <w:col w:w="11260"/>
          </w:cols>
          <w:pgMar w:left="320" w:top="813" w:right="319" w:bottom="1440" w:gutter="0" w:footer="0" w:header="0"/>
        </w:sectPr>
      </w:pPr>
    </w:p>
    <w:bookmarkStart w:id="220" w:name="page221"/>
    <w:bookmarkEnd w:id="22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3320" w:type="dxa"/>
            <w:vAlign w:val="bottom"/>
            <w:tcBorders>
              <w:top w:val="single" w:sz="8" w:color="auto"/>
              <w:left w:val="single" w:sz="8" w:color="auto"/>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Daniel Dreyman</w:t>
            </w:r>
          </w:p>
        </w:tc>
        <w:tc>
          <w:tcPr>
            <w:tcW w:w="2320" w:type="dxa"/>
            <w:vAlign w:val="bottom"/>
            <w:tcBorders>
              <w:top w:val="single" w:sz="8" w:color="auto"/>
              <w:right w:val="single" w:sz="8" w:color="auto"/>
            </w:tcBorders>
          </w:tcPr>
          <w:p>
            <w:pPr>
              <w:spacing w:after="0"/>
              <w:rPr>
                <w:sz w:val="16"/>
                <w:szCs w:val="16"/>
                <w:color w:val="auto"/>
              </w:rPr>
            </w:pPr>
          </w:p>
        </w:tc>
        <w:tc>
          <w:tcPr>
            <w:tcW w:w="562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3320" w:type="dxa"/>
            <w:vAlign w:val="bottom"/>
            <w:tcBorders>
              <w:left w:val="single" w:sz="8" w:color="auto"/>
            </w:tcBorders>
            <w:vMerge w:val="continue"/>
          </w:tcPr>
          <w:p>
            <w:pPr>
              <w:spacing w:after="0"/>
              <w:rPr>
                <w:sz w:val="16"/>
                <w:szCs w:val="16"/>
                <w:color w:val="auto"/>
              </w:rPr>
            </w:pPr>
          </w:p>
        </w:tc>
        <w:tc>
          <w:tcPr>
            <w:tcW w:w="232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w:t>
            </w:r>
          </w:p>
        </w:tc>
        <w:tc>
          <w:tcPr>
            <w:tcW w:w="0" w:type="dxa"/>
            <w:vAlign w:val="bottom"/>
          </w:tcPr>
          <w:p>
            <w:pPr>
              <w:spacing w:after="0"/>
              <w:rPr>
                <w:sz w:val="1"/>
                <w:szCs w:val="1"/>
                <w:color w:val="auto"/>
              </w:rPr>
            </w:pPr>
          </w:p>
        </w:tc>
      </w:tr>
      <w:tr>
        <w:trPr>
          <w:trHeight w:val="208"/>
        </w:trPr>
        <w:tc>
          <w:tcPr>
            <w:tcW w:w="3320" w:type="dxa"/>
            <w:vAlign w:val="bottom"/>
            <w:tcBorders>
              <w:lef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w:t>
            </w:r>
          </w:p>
        </w:tc>
        <w:tc>
          <w:tcPr>
            <w:tcW w:w="0" w:type="dxa"/>
            <w:vAlign w:val="bottom"/>
          </w:tcPr>
          <w:p>
            <w:pPr>
              <w:spacing w:after="0"/>
              <w:rPr>
                <w:sz w:val="1"/>
                <w:szCs w:val="1"/>
                <w:color w:val="auto"/>
              </w:rPr>
            </w:pPr>
          </w:p>
        </w:tc>
      </w:tr>
      <w:tr>
        <w:trPr>
          <w:trHeight w:val="382"/>
        </w:trPr>
        <w:tc>
          <w:tcPr>
            <w:tcW w:w="3320" w:type="dxa"/>
            <w:vAlign w:val="bottom"/>
            <w:tcBorders>
              <w:left w:val="single" w:sz="8" w:color="auto"/>
            </w:tcBorders>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with a copy (which shall not constitute notice) to:</w:t>
            </w:r>
          </w:p>
        </w:tc>
        <w:tc>
          <w:tcPr>
            <w:tcW w:w="0" w:type="dxa"/>
            <w:vAlign w:val="bottom"/>
          </w:tcPr>
          <w:p>
            <w:pPr>
              <w:spacing w:after="0"/>
              <w:rPr>
                <w:sz w:val="1"/>
                <w:szCs w:val="1"/>
                <w:color w:val="auto"/>
              </w:rPr>
            </w:pPr>
          </w:p>
        </w:tc>
      </w:tr>
      <w:tr>
        <w:trPr>
          <w:trHeight w:val="366"/>
        </w:trPr>
        <w:tc>
          <w:tcPr>
            <w:tcW w:w="3320" w:type="dxa"/>
            <w:vAlign w:val="bottom"/>
            <w:tcBorders>
              <w:left w:val="single" w:sz="8" w:color="auto"/>
            </w:tcBorders>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3320" w:type="dxa"/>
            <w:vAlign w:val="bottom"/>
            <w:tcBorders>
              <w:left w:val="single" w:sz="8" w:color="auto"/>
            </w:tcBorders>
          </w:tcPr>
          <w:p>
            <w:pPr>
              <w:spacing w:after="0"/>
              <w:rPr>
                <w:sz w:val="16"/>
                <w:szCs w:val="16"/>
                <w:color w:val="auto"/>
              </w:rPr>
            </w:pPr>
          </w:p>
        </w:tc>
        <w:tc>
          <w:tcPr>
            <w:tcW w:w="232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3320" w:type="dxa"/>
            <w:vAlign w:val="bottom"/>
            <w:tcBorders>
              <w:left w:val="single" w:sz="8" w:color="auto"/>
            </w:tcBorders>
          </w:tcPr>
          <w:p>
            <w:pPr>
              <w:spacing w:after="0"/>
              <w:rPr>
                <w:sz w:val="16"/>
                <w:szCs w:val="16"/>
                <w:color w:val="auto"/>
              </w:rPr>
            </w:pPr>
          </w:p>
        </w:tc>
        <w:tc>
          <w:tcPr>
            <w:tcW w:w="232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w:t>
            </w:r>
          </w:p>
        </w:tc>
        <w:tc>
          <w:tcPr>
            <w:tcW w:w="0" w:type="dxa"/>
            <w:vAlign w:val="bottom"/>
          </w:tcPr>
          <w:p>
            <w:pPr>
              <w:spacing w:after="0"/>
              <w:rPr>
                <w:sz w:val="1"/>
                <w:szCs w:val="1"/>
                <w:color w:val="auto"/>
              </w:rPr>
            </w:pPr>
          </w:p>
        </w:tc>
      </w:tr>
      <w:tr>
        <w:trPr>
          <w:trHeight w:val="208"/>
        </w:trPr>
        <w:tc>
          <w:tcPr>
            <w:tcW w:w="3320" w:type="dxa"/>
            <w:vAlign w:val="bottom"/>
            <w:tcBorders>
              <w:lef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w:t>
            </w:r>
          </w:p>
        </w:tc>
        <w:tc>
          <w:tcPr>
            <w:tcW w:w="0" w:type="dxa"/>
            <w:vAlign w:val="bottom"/>
          </w:tcPr>
          <w:p>
            <w:pPr>
              <w:spacing w:after="0"/>
              <w:rPr>
                <w:sz w:val="1"/>
                <w:szCs w:val="1"/>
                <w:color w:val="auto"/>
              </w:rPr>
            </w:pPr>
          </w:p>
        </w:tc>
      </w:tr>
      <w:tr>
        <w:trPr>
          <w:trHeight w:val="36"/>
        </w:trPr>
        <w:tc>
          <w:tcPr>
            <w:tcW w:w="3320" w:type="dxa"/>
            <w:vAlign w:val="bottom"/>
            <w:tcBorders>
              <w:left w:val="single" w:sz="8" w:color="auto"/>
              <w:bottom w:val="single" w:sz="8" w:color="auto"/>
            </w:tcBorders>
          </w:tcPr>
          <w:p>
            <w:pPr>
              <w:spacing w:after="0"/>
              <w:rPr>
                <w:sz w:val="3"/>
                <w:szCs w:val="3"/>
                <w:color w:val="auto"/>
              </w:rPr>
            </w:pPr>
          </w:p>
        </w:tc>
        <w:tc>
          <w:tcPr>
            <w:tcW w:w="2320" w:type="dxa"/>
            <w:vAlign w:val="bottom"/>
            <w:tcBorders>
              <w:bottom w:val="single" w:sz="8" w:color="auto"/>
              <w:right w:val="single" w:sz="8" w:color="auto"/>
            </w:tcBorders>
          </w:tcPr>
          <w:p>
            <w:pPr>
              <w:spacing w:after="0"/>
              <w:rPr>
                <w:sz w:val="3"/>
                <w:szCs w:val="3"/>
                <w:color w:val="auto"/>
              </w:rPr>
            </w:pPr>
          </w:p>
        </w:tc>
        <w:tc>
          <w:tcPr>
            <w:tcW w:w="5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3320" w:type="dxa"/>
            <w:vAlign w:val="bottom"/>
            <w:tcBorders>
              <w:left w:val="single" w:sz="8" w:color="auto"/>
            </w:tcBorders>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William Healey</w:t>
            </w:r>
          </w:p>
        </w:tc>
        <w:tc>
          <w:tcPr>
            <w:tcW w:w="2320" w:type="dxa"/>
            <w:vAlign w:val="bottom"/>
            <w:tcBorders>
              <w:right w:val="single" w:sz="8" w:color="auto"/>
            </w:tcBorders>
          </w:tcPr>
          <w:p>
            <w:pPr>
              <w:spacing w:after="0"/>
              <w:rPr>
                <w:sz w:val="14"/>
                <w:szCs w:val="14"/>
                <w:color w:val="auto"/>
              </w:rPr>
            </w:pPr>
          </w:p>
        </w:tc>
        <w:tc>
          <w:tcPr>
            <w:tcW w:w="5620" w:type="dxa"/>
            <w:vAlign w:val="bottom"/>
            <w:tcBorders>
              <w:right w:val="single" w:sz="8" w:color="auto"/>
            </w:tcBorders>
          </w:tcPr>
          <w:p>
            <w:pPr>
              <w:ind w:left="40"/>
              <w:spacing w:after="0" w:line="167"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3320" w:type="dxa"/>
            <w:vAlign w:val="bottom"/>
            <w:tcBorders>
              <w:left w:val="single" w:sz="8" w:color="auto"/>
            </w:tcBorders>
          </w:tcPr>
          <w:p>
            <w:pPr>
              <w:spacing w:after="0"/>
              <w:rPr>
                <w:sz w:val="16"/>
                <w:szCs w:val="16"/>
                <w:color w:val="auto"/>
              </w:rPr>
            </w:pPr>
          </w:p>
        </w:tc>
        <w:tc>
          <w:tcPr>
            <w:tcW w:w="232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w:t>
            </w:r>
          </w:p>
        </w:tc>
        <w:tc>
          <w:tcPr>
            <w:tcW w:w="0" w:type="dxa"/>
            <w:vAlign w:val="bottom"/>
          </w:tcPr>
          <w:p>
            <w:pPr>
              <w:spacing w:after="0"/>
              <w:rPr>
                <w:sz w:val="1"/>
                <w:szCs w:val="1"/>
                <w:color w:val="auto"/>
              </w:rPr>
            </w:pPr>
          </w:p>
        </w:tc>
      </w:tr>
      <w:tr>
        <w:trPr>
          <w:trHeight w:val="208"/>
        </w:trPr>
        <w:tc>
          <w:tcPr>
            <w:tcW w:w="3320" w:type="dxa"/>
            <w:vAlign w:val="bottom"/>
            <w:tcBorders>
              <w:lef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w:t>
            </w:r>
          </w:p>
        </w:tc>
        <w:tc>
          <w:tcPr>
            <w:tcW w:w="0" w:type="dxa"/>
            <w:vAlign w:val="bottom"/>
          </w:tcPr>
          <w:p>
            <w:pPr>
              <w:spacing w:after="0"/>
              <w:rPr>
                <w:sz w:val="1"/>
                <w:szCs w:val="1"/>
                <w:color w:val="auto"/>
              </w:rPr>
            </w:pPr>
          </w:p>
        </w:tc>
      </w:tr>
      <w:tr>
        <w:trPr>
          <w:trHeight w:val="382"/>
        </w:trPr>
        <w:tc>
          <w:tcPr>
            <w:tcW w:w="3320" w:type="dxa"/>
            <w:vAlign w:val="bottom"/>
            <w:tcBorders>
              <w:left w:val="single" w:sz="8" w:color="auto"/>
            </w:tcBorders>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with a copy (which shall not constitute notice) to:</w:t>
            </w:r>
          </w:p>
        </w:tc>
        <w:tc>
          <w:tcPr>
            <w:tcW w:w="0" w:type="dxa"/>
            <w:vAlign w:val="bottom"/>
          </w:tcPr>
          <w:p>
            <w:pPr>
              <w:spacing w:after="0"/>
              <w:rPr>
                <w:sz w:val="1"/>
                <w:szCs w:val="1"/>
                <w:color w:val="auto"/>
              </w:rPr>
            </w:pPr>
          </w:p>
        </w:tc>
      </w:tr>
      <w:tr>
        <w:trPr>
          <w:trHeight w:val="366"/>
        </w:trPr>
        <w:tc>
          <w:tcPr>
            <w:tcW w:w="3320" w:type="dxa"/>
            <w:vAlign w:val="bottom"/>
            <w:tcBorders>
              <w:left w:val="single" w:sz="8" w:color="auto"/>
            </w:tcBorders>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3320" w:type="dxa"/>
            <w:vAlign w:val="bottom"/>
            <w:tcBorders>
              <w:left w:val="single" w:sz="8" w:color="auto"/>
            </w:tcBorders>
          </w:tcPr>
          <w:p>
            <w:pPr>
              <w:spacing w:after="0"/>
              <w:rPr>
                <w:sz w:val="16"/>
                <w:szCs w:val="16"/>
                <w:color w:val="auto"/>
              </w:rPr>
            </w:pPr>
          </w:p>
        </w:tc>
        <w:tc>
          <w:tcPr>
            <w:tcW w:w="232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3320" w:type="dxa"/>
            <w:vAlign w:val="bottom"/>
            <w:tcBorders>
              <w:left w:val="single" w:sz="8" w:color="auto"/>
            </w:tcBorders>
          </w:tcPr>
          <w:p>
            <w:pPr>
              <w:spacing w:after="0"/>
              <w:rPr>
                <w:sz w:val="16"/>
                <w:szCs w:val="16"/>
                <w:color w:val="auto"/>
              </w:rPr>
            </w:pPr>
          </w:p>
        </w:tc>
        <w:tc>
          <w:tcPr>
            <w:tcW w:w="232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w:t>
            </w:r>
          </w:p>
        </w:tc>
        <w:tc>
          <w:tcPr>
            <w:tcW w:w="0" w:type="dxa"/>
            <w:vAlign w:val="bottom"/>
          </w:tcPr>
          <w:p>
            <w:pPr>
              <w:spacing w:after="0"/>
              <w:rPr>
                <w:sz w:val="1"/>
                <w:szCs w:val="1"/>
                <w:color w:val="auto"/>
              </w:rPr>
            </w:pPr>
          </w:p>
        </w:tc>
      </w:tr>
      <w:tr>
        <w:trPr>
          <w:trHeight w:val="208"/>
        </w:trPr>
        <w:tc>
          <w:tcPr>
            <w:tcW w:w="3320" w:type="dxa"/>
            <w:vAlign w:val="bottom"/>
            <w:tcBorders>
              <w:lef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w:t>
            </w:r>
          </w:p>
        </w:tc>
        <w:tc>
          <w:tcPr>
            <w:tcW w:w="0" w:type="dxa"/>
            <w:vAlign w:val="bottom"/>
          </w:tcPr>
          <w:p>
            <w:pPr>
              <w:spacing w:after="0"/>
              <w:rPr>
                <w:sz w:val="1"/>
                <w:szCs w:val="1"/>
                <w:color w:val="auto"/>
              </w:rPr>
            </w:pPr>
          </w:p>
        </w:tc>
      </w:tr>
      <w:tr>
        <w:trPr>
          <w:trHeight w:val="36"/>
        </w:trPr>
        <w:tc>
          <w:tcPr>
            <w:tcW w:w="3320" w:type="dxa"/>
            <w:vAlign w:val="bottom"/>
            <w:tcBorders>
              <w:left w:val="single" w:sz="8" w:color="auto"/>
              <w:bottom w:val="single" w:sz="8" w:color="auto"/>
            </w:tcBorders>
          </w:tcPr>
          <w:p>
            <w:pPr>
              <w:spacing w:after="0"/>
              <w:rPr>
                <w:sz w:val="3"/>
                <w:szCs w:val="3"/>
                <w:color w:val="auto"/>
              </w:rPr>
            </w:pPr>
          </w:p>
        </w:tc>
        <w:tc>
          <w:tcPr>
            <w:tcW w:w="2320" w:type="dxa"/>
            <w:vAlign w:val="bottom"/>
            <w:tcBorders>
              <w:bottom w:val="single" w:sz="8" w:color="auto"/>
              <w:right w:val="single" w:sz="8" w:color="auto"/>
            </w:tcBorders>
          </w:tcPr>
          <w:p>
            <w:pPr>
              <w:spacing w:after="0"/>
              <w:rPr>
                <w:sz w:val="3"/>
                <w:szCs w:val="3"/>
                <w:color w:val="auto"/>
              </w:rPr>
            </w:pPr>
          </w:p>
        </w:tc>
        <w:tc>
          <w:tcPr>
            <w:tcW w:w="5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3320" w:type="dxa"/>
            <w:vAlign w:val="bottom"/>
            <w:tcBorders>
              <w:left w:val="single" w:sz="8" w:color="auto"/>
            </w:tcBorders>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Dan Mosher</w:t>
            </w:r>
          </w:p>
        </w:tc>
        <w:tc>
          <w:tcPr>
            <w:tcW w:w="2320" w:type="dxa"/>
            <w:vAlign w:val="bottom"/>
            <w:tcBorders>
              <w:right w:val="single" w:sz="8" w:color="auto"/>
            </w:tcBorders>
          </w:tcPr>
          <w:p>
            <w:pPr>
              <w:spacing w:after="0"/>
              <w:rPr>
                <w:sz w:val="14"/>
                <w:szCs w:val="14"/>
                <w:color w:val="auto"/>
              </w:rPr>
            </w:pPr>
          </w:p>
        </w:tc>
        <w:tc>
          <w:tcPr>
            <w:tcW w:w="5620" w:type="dxa"/>
            <w:vAlign w:val="bottom"/>
            <w:tcBorders>
              <w:right w:val="single" w:sz="8" w:color="auto"/>
            </w:tcBorders>
          </w:tcPr>
          <w:p>
            <w:pPr>
              <w:ind w:left="40"/>
              <w:spacing w:after="0" w:line="167"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3320" w:type="dxa"/>
            <w:vAlign w:val="bottom"/>
            <w:tcBorders>
              <w:left w:val="single" w:sz="8" w:color="auto"/>
            </w:tcBorders>
          </w:tcPr>
          <w:p>
            <w:pPr>
              <w:spacing w:after="0"/>
              <w:rPr>
                <w:sz w:val="16"/>
                <w:szCs w:val="16"/>
                <w:color w:val="auto"/>
              </w:rPr>
            </w:pPr>
          </w:p>
        </w:tc>
        <w:tc>
          <w:tcPr>
            <w:tcW w:w="232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w:t>
            </w:r>
          </w:p>
        </w:tc>
        <w:tc>
          <w:tcPr>
            <w:tcW w:w="0" w:type="dxa"/>
            <w:vAlign w:val="bottom"/>
          </w:tcPr>
          <w:p>
            <w:pPr>
              <w:spacing w:after="0"/>
              <w:rPr>
                <w:sz w:val="1"/>
                <w:szCs w:val="1"/>
                <w:color w:val="auto"/>
              </w:rPr>
            </w:pPr>
          </w:p>
        </w:tc>
      </w:tr>
      <w:tr>
        <w:trPr>
          <w:trHeight w:val="208"/>
        </w:trPr>
        <w:tc>
          <w:tcPr>
            <w:tcW w:w="3320" w:type="dxa"/>
            <w:vAlign w:val="bottom"/>
            <w:tcBorders>
              <w:lef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w:t>
            </w:r>
          </w:p>
        </w:tc>
        <w:tc>
          <w:tcPr>
            <w:tcW w:w="0" w:type="dxa"/>
            <w:vAlign w:val="bottom"/>
          </w:tcPr>
          <w:p>
            <w:pPr>
              <w:spacing w:after="0"/>
              <w:rPr>
                <w:sz w:val="1"/>
                <w:szCs w:val="1"/>
                <w:color w:val="auto"/>
              </w:rPr>
            </w:pPr>
          </w:p>
        </w:tc>
      </w:tr>
      <w:tr>
        <w:trPr>
          <w:trHeight w:val="382"/>
        </w:trPr>
        <w:tc>
          <w:tcPr>
            <w:tcW w:w="3320" w:type="dxa"/>
            <w:vAlign w:val="bottom"/>
            <w:tcBorders>
              <w:left w:val="single" w:sz="8" w:color="auto"/>
            </w:tcBorders>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with a copy (which shall not constitute notice) to:</w:t>
            </w:r>
          </w:p>
        </w:tc>
        <w:tc>
          <w:tcPr>
            <w:tcW w:w="0" w:type="dxa"/>
            <w:vAlign w:val="bottom"/>
          </w:tcPr>
          <w:p>
            <w:pPr>
              <w:spacing w:after="0"/>
              <w:rPr>
                <w:sz w:val="1"/>
                <w:szCs w:val="1"/>
                <w:color w:val="auto"/>
              </w:rPr>
            </w:pPr>
          </w:p>
        </w:tc>
      </w:tr>
      <w:tr>
        <w:trPr>
          <w:trHeight w:val="366"/>
        </w:trPr>
        <w:tc>
          <w:tcPr>
            <w:tcW w:w="3320" w:type="dxa"/>
            <w:vAlign w:val="bottom"/>
            <w:tcBorders>
              <w:left w:val="single" w:sz="8" w:color="auto"/>
            </w:tcBorders>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3320" w:type="dxa"/>
            <w:vAlign w:val="bottom"/>
            <w:tcBorders>
              <w:left w:val="single" w:sz="8" w:color="auto"/>
            </w:tcBorders>
          </w:tcPr>
          <w:p>
            <w:pPr>
              <w:spacing w:after="0"/>
              <w:rPr>
                <w:sz w:val="16"/>
                <w:szCs w:val="16"/>
                <w:color w:val="auto"/>
              </w:rPr>
            </w:pPr>
          </w:p>
        </w:tc>
        <w:tc>
          <w:tcPr>
            <w:tcW w:w="232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3320" w:type="dxa"/>
            <w:vAlign w:val="bottom"/>
            <w:tcBorders>
              <w:left w:val="single" w:sz="8" w:color="auto"/>
            </w:tcBorders>
          </w:tcPr>
          <w:p>
            <w:pPr>
              <w:spacing w:after="0"/>
              <w:rPr>
                <w:sz w:val="16"/>
                <w:szCs w:val="16"/>
                <w:color w:val="auto"/>
              </w:rPr>
            </w:pPr>
          </w:p>
        </w:tc>
        <w:tc>
          <w:tcPr>
            <w:tcW w:w="232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w:t>
            </w:r>
          </w:p>
        </w:tc>
        <w:tc>
          <w:tcPr>
            <w:tcW w:w="0" w:type="dxa"/>
            <w:vAlign w:val="bottom"/>
          </w:tcPr>
          <w:p>
            <w:pPr>
              <w:spacing w:after="0"/>
              <w:rPr>
                <w:sz w:val="1"/>
                <w:szCs w:val="1"/>
                <w:color w:val="auto"/>
              </w:rPr>
            </w:pPr>
          </w:p>
        </w:tc>
      </w:tr>
      <w:tr>
        <w:trPr>
          <w:trHeight w:val="208"/>
        </w:trPr>
        <w:tc>
          <w:tcPr>
            <w:tcW w:w="3320" w:type="dxa"/>
            <w:vAlign w:val="bottom"/>
            <w:tcBorders>
              <w:lef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w:t>
            </w:r>
          </w:p>
        </w:tc>
        <w:tc>
          <w:tcPr>
            <w:tcW w:w="0" w:type="dxa"/>
            <w:vAlign w:val="bottom"/>
          </w:tcPr>
          <w:p>
            <w:pPr>
              <w:spacing w:after="0"/>
              <w:rPr>
                <w:sz w:val="1"/>
                <w:szCs w:val="1"/>
                <w:color w:val="auto"/>
              </w:rPr>
            </w:pPr>
          </w:p>
        </w:tc>
      </w:tr>
      <w:tr>
        <w:trPr>
          <w:trHeight w:val="36"/>
        </w:trPr>
        <w:tc>
          <w:tcPr>
            <w:tcW w:w="3320" w:type="dxa"/>
            <w:vAlign w:val="bottom"/>
            <w:tcBorders>
              <w:left w:val="single" w:sz="8" w:color="auto"/>
              <w:bottom w:val="single" w:sz="8" w:color="auto"/>
            </w:tcBorders>
          </w:tcPr>
          <w:p>
            <w:pPr>
              <w:spacing w:after="0"/>
              <w:rPr>
                <w:sz w:val="3"/>
                <w:szCs w:val="3"/>
                <w:color w:val="auto"/>
              </w:rPr>
            </w:pPr>
          </w:p>
        </w:tc>
        <w:tc>
          <w:tcPr>
            <w:tcW w:w="2320" w:type="dxa"/>
            <w:vAlign w:val="bottom"/>
            <w:tcBorders>
              <w:bottom w:val="single" w:sz="8" w:color="auto"/>
              <w:right w:val="single" w:sz="8" w:color="auto"/>
            </w:tcBorders>
          </w:tcPr>
          <w:p>
            <w:pPr>
              <w:spacing w:after="0"/>
              <w:rPr>
                <w:sz w:val="3"/>
                <w:szCs w:val="3"/>
                <w:color w:val="auto"/>
              </w:rPr>
            </w:pPr>
          </w:p>
        </w:tc>
        <w:tc>
          <w:tcPr>
            <w:tcW w:w="5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3320" w:type="dxa"/>
            <w:vAlign w:val="bottom"/>
            <w:tcBorders>
              <w:left w:val="single" w:sz="8" w:color="auto"/>
            </w:tcBorders>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Krishna Gupta</w:t>
            </w:r>
          </w:p>
        </w:tc>
        <w:tc>
          <w:tcPr>
            <w:tcW w:w="2320" w:type="dxa"/>
            <w:vAlign w:val="bottom"/>
            <w:tcBorders>
              <w:right w:val="single" w:sz="8" w:color="auto"/>
            </w:tcBorders>
          </w:tcPr>
          <w:p>
            <w:pPr>
              <w:spacing w:after="0"/>
              <w:rPr>
                <w:sz w:val="14"/>
                <w:szCs w:val="14"/>
                <w:color w:val="auto"/>
              </w:rPr>
            </w:pPr>
          </w:p>
        </w:tc>
        <w:tc>
          <w:tcPr>
            <w:tcW w:w="5620" w:type="dxa"/>
            <w:vAlign w:val="bottom"/>
            <w:tcBorders>
              <w:right w:val="single" w:sz="8" w:color="auto"/>
            </w:tcBorders>
          </w:tcPr>
          <w:p>
            <w:pPr>
              <w:ind w:left="40"/>
              <w:spacing w:after="0" w:line="167" w:lineRule="exact"/>
              <w:rPr>
                <w:sz w:val="20"/>
                <w:szCs w:val="20"/>
                <w:color w:val="auto"/>
              </w:rPr>
            </w:pPr>
            <w:r>
              <w:rPr>
                <w:rFonts w:ascii="Times New Roman" w:cs="Times New Roman" w:eastAsia="Times New Roman" w:hAnsi="Times New Roman"/>
                <w:sz w:val="16"/>
                <w:szCs w:val="16"/>
                <w:color w:val="auto"/>
              </w:rPr>
              <w:t>Krishna Gupta</w:t>
            </w:r>
          </w:p>
        </w:tc>
        <w:tc>
          <w:tcPr>
            <w:tcW w:w="0" w:type="dxa"/>
            <w:vAlign w:val="bottom"/>
          </w:tcPr>
          <w:p>
            <w:pPr>
              <w:spacing w:after="0"/>
              <w:rPr>
                <w:sz w:val="1"/>
                <w:szCs w:val="1"/>
                <w:color w:val="auto"/>
              </w:rPr>
            </w:pPr>
          </w:p>
        </w:tc>
      </w:tr>
      <w:tr>
        <w:trPr>
          <w:trHeight w:val="208"/>
        </w:trPr>
        <w:tc>
          <w:tcPr>
            <w:tcW w:w="3320" w:type="dxa"/>
            <w:vAlign w:val="bottom"/>
            <w:tcBorders>
              <w:lef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kkg@romulusgroup.com</w:t>
            </w:r>
          </w:p>
        </w:tc>
        <w:tc>
          <w:tcPr>
            <w:tcW w:w="0" w:type="dxa"/>
            <w:vAlign w:val="bottom"/>
          </w:tcPr>
          <w:p>
            <w:pPr>
              <w:spacing w:after="0"/>
              <w:rPr>
                <w:sz w:val="1"/>
                <w:szCs w:val="1"/>
                <w:color w:val="auto"/>
              </w:rPr>
            </w:pPr>
          </w:p>
        </w:tc>
      </w:tr>
      <w:tr>
        <w:trPr>
          <w:trHeight w:val="382"/>
        </w:trPr>
        <w:tc>
          <w:tcPr>
            <w:tcW w:w="3320" w:type="dxa"/>
            <w:vAlign w:val="bottom"/>
            <w:tcBorders>
              <w:left w:val="single" w:sz="8" w:color="auto"/>
            </w:tcBorders>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with a copy (which shall not constitute notice) to:</w:t>
            </w:r>
          </w:p>
        </w:tc>
        <w:tc>
          <w:tcPr>
            <w:tcW w:w="0" w:type="dxa"/>
            <w:vAlign w:val="bottom"/>
          </w:tcPr>
          <w:p>
            <w:pPr>
              <w:spacing w:after="0"/>
              <w:rPr>
                <w:sz w:val="1"/>
                <w:szCs w:val="1"/>
                <w:color w:val="auto"/>
              </w:rPr>
            </w:pPr>
          </w:p>
        </w:tc>
      </w:tr>
      <w:tr>
        <w:trPr>
          <w:trHeight w:val="366"/>
        </w:trPr>
        <w:tc>
          <w:tcPr>
            <w:tcW w:w="3320" w:type="dxa"/>
            <w:vAlign w:val="bottom"/>
            <w:tcBorders>
              <w:left w:val="single" w:sz="8" w:color="auto"/>
            </w:tcBorders>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Goodwin Procter LLP</w:t>
            </w:r>
          </w:p>
        </w:tc>
        <w:tc>
          <w:tcPr>
            <w:tcW w:w="0" w:type="dxa"/>
            <w:vAlign w:val="bottom"/>
          </w:tcPr>
          <w:p>
            <w:pPr>
              <w:spacing w:after="0"/>
              <w:rPr>
                <w:sz w:val="1"/>
                <w:szCs w:val="1"/>
                <w:color w:val="auto"/>
              </w:rPr>
            </w:pPr>
          </w:p>
        </w:tc>
      </w:tr>
      <w:tr>
        <w:trPr>
          <w:trHeight w:val="191"/>
        </w:trPr>
        <w:tc>
          <w:tcPr>
            <w:tcW w:w="3320" w:type="dxa"/>
            <w:vAlign w:val="bottom"/>
            <w:tcBorders>
              <w:left w:val="single" w:sz="8" w:color="auto"/>
            </w:tcBorders>
          </w:tcPr>
          <w:p>
            <w:pPr>
              <w:spacing w:after="0"/>
              <w:rPr>
                <w:sz w:val="16"/>
                <w:szCs w:val="16"/>
                <w:color w:val="auto"/>
              </w:rPr>
            </w:pPr>
          </w:p>
        </w:tc>
        <w:tc>
          <w:tcPr>
            <w:tcW w:w="232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100 Northern Avenue</w:t>
            </w:r>
          </w:p>
        </w:tc>
        <w:tc>
          <w:tcPr>
            <w:tcW w:w="0" w:type="dxa"/>
            <w:vAlign w:val="bottom"/>
          </w:tcPr>
          <w:p>
            <w:pPr>
              <w:spacing w:after="0"/>
              <w:rPr>
                <w:sz w:val="1"/>
                <w:szCs w:val="1"/>
                <w:color w:val="auto"/>
              </w:rPr>
            </w:pPr>
          </w:p>
        </w:tc>
      </w:tr>
      <w:tr>
        <w:trPr>
          <w:trHeight w:val="191"/>
        </w:trPr>
        <w:tc>
          <w:tcPr>
            <w:tcW w:w="3320" w:type="dxa"/>
            <w:vAlign w:val="bottom"/>
            <w:tcBorders>
              <w:left w:val="single" w:sz="8" w:color="auto"/>
            </w:tcBorders>
          </w:tcPr>
          <w:p>
            <w:pPr>
              <w:spacing w:after="0"/>
              <w:rPr>
                <w:sz w:val="16"/>
                <w:szCs w:val="16"/>
                <w:color w:val="auto"/>
              </w:rPr>
            </w:pPr>
          </w:p>
        </w:tc>
        <w:tc>
          <w:tcPr>
            <w:tcW w:w="232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Boston, MA 0221</w:t>
            </w:r>
          </w:p>
        </w:tc>
        <w:tc>
          <w:tcPr>
            <w:tcW w:w="0" w:type="dxa"/>
            <w:vAlign w:val="bottom"/>
          </w:tcPr>
          <w:p>
            <w:pPr>
              <w:spacing w:after="0"/>
              <w:rPr>
                <w:sz w:val="1"/>
                <w:szCs w:val="1"/>
                <w:color w:val="auto"/>
              </w:rPr>
            </w:pPr>
          </w:p>
        </w:tc>
      </w:tr>
      <w:tr>
        <w:trPr>
          <w:trHeight w:val="191"/>
        </w:trPr>
        <w:tc>
          <w:tcPr>
            <w:tcW w:w="3320" w:type="dxa"/>
            <w:vAlign w:val="bottom"/>
            <w:tcBorders>
              <w:left w:val="single" w:sz="8" w:color="auto"/>
            </w:tcBorders>
          </w:tcPr>
          <w:p>
            <w:pPr>
              <w:spacing w:after="0"/>
              <w:rPr>
                <w:sz w:val="16"/>
                <w:szCs w:val="16"/>
                <w:color w:val="auto"/>
              </w:rPr>
            </w:pPr>
          </w:p>
        </w:tc>
        <w:tc>
          <w:tcPr>
            <w:tcW w:w="232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William Schnoor</w:t>
            </w:r>
          </w:p>
        </w:tc>
        <w:tc>
          <w:tcPr>
            <w:tcW w:w="0" w:type="dxa"/>
            <w:vAlign w:val="bottom"/>
          </w:tcPr>
          <w:p>
            <w:pPr>
              <w:spacing w:after="0"/>
              <w:rPr>
                <w:sz w:val="1"/>
                <w:szCs w:val="1"/>
                <w:color w:val="auto"/>
              </w:rPr>
            </w:pPr>
          </w:p>
        </w:tc>
      </w:tr>
      <w:tr>
        <w:trPr>
          <w:trHeight w:val="208"/>
        </w:trPr>
        <w:tc>
          <w:tcPr>
            <w:tcW w:w="3320" w:type="dxa"/>
            <w:vAlign w:val="bottom"/>
            <w:tcBorders>
              <w:lef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WSchnoor@goodwinlaw.com</w:t>
            </w:r>
          </w:p>
        </w:tc>
        <w:tc>
          <w:tcPr>
            <w:tcW w:w="0" w:type="dxa"/>
            <w:vAlign w:val="bottom"/>
          </w:tcPr>
          <w:p>
            <w:pPr>
              <w:spacing w:after="0"/>
              <w:rPr>
                <w:sz w:val="1"/>
                <w:szCs w:val="1"/>
                <w:color w:val="auto"/>
              </w:rPr>
            </w:pPr>
          </w:p>
        </w:tc>
      </w:tr>
      <w:tr>
        <w:trPr>
          <w:trHeight w:val="36"/>
        </w:trPr>
        <w:tc>
          <w:tcPr>
            <w:tcW w:w="3320" w:type="dxa"/>
            <w:vAlign w:val="bottom"/>
            <w:tcBorders>
              <w:left w:val="single" w:sz="8" w:color="auto"/>
              <w:bottom w:val="single" w:sz="8" w:color="auto"/>
            </w:tcBorders>
          </w:tcPr>
          <w:p>
            <w:pPr>
              <w:spacing w:after="0"/>
              <w:rPr>
                <w:sz w:val="3"/>
                <w:szCs w:val="3"/>
                <w:color w:val="auto"/>
              </w:rPr>
            </w:pPr>
          </w:p>
        </w:tc>
        <w:tc>
          <w:tcPr>
            <w:tcW w:w="2320" w:type="dxa"/>
            <w:vAlign w:val="bottom"/>
            <w:tcBorders>
              <w:bottom w:val="single" w:sz="8" w:color="auto"/>
              <w:right w:val="single" w:sz="8" w:color="auto"/>
            </w:tcBorders>
          </w:tcPr>
          <w:p>
            <w:pPr>
              <w:spacing w:after="0"/>
              <w:rPr>
                <w:sz w:val="3"/>
                <w:szCs w:val="3"/>
                <w:color w:val="auto"/>
              </w:rPr>
            </w:pPr>
          </w:p>
        </w:tc>
        <w:tc>
          <w:tcPr>
            <w:tcW w:w="5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3320" w:type="dxa"/>
            <w:vAlign w:val="bottom"/>
            <w:tcBorders>
              <w:left w:val="single" w:sz="8" w:color="auto"/>
            </w:tcBorders>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Ilya Golubovich</w:t>
            </w:r>
          </w:p>
        </w:tc>
        <w:tc>
          <w:tcPr>
            <w:tcW w:w="2320" w:type="dxa"/>
            <w:vAlign w:val="bottom"/>
            <w:tcBorders>
              <w:right w:val="single" w:sz="8" w:color="auto"/>
            </w:tcBorders>
          </w:tcPr>
          <w:p>
            <w:pPr>
              <w:spacing w:after="0"/>
              <w:rPr>
                <w:sz w:val="14"/>
                <w:szCs w:val="14"/>
                <w:color w:val="auto"/>
              </w:rPr>
            </w:pPr>
          </w:p>
        </w:tc>
        <w:tc>
          <w:tcPr>
            <w:tcW w:w="5620" w:type="dxa"/>
            <w:vAlign w:val="bottom"/>
            <w:tcBorders>
              <w:right w:val="single" w:sz="8" w:color="auto"/>
            </w:tcBorders>
          </w:tcPr>
          <w:p>
            <w:pPr>
              <w:ind w:left="40"/>
              <w:spacing w:after="0" w:line="167"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3320" w:type="dxa"/>
            <w:vAlign w:val="bottom"/>
            <w:tcBorders>
              <w:left w:val="single" w:sz="8" w:color="auto"/>
            </w:tcBorders>
          </w:tcPr>
          <w:p>
            <w:pPr>
              <w:spacing w:after="0"/>
              <w:rPr>
                <w:sz w:val="16"/>
                <w:szCs w:val="16"/>
                <w:color w:val="auto"/>
              </w:rPr>
            </w:pPr>
          </w:p>
        </w:tc>
        <w:tc>
          <w:tcPr>
            <w:tcW w:w="232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w:t>
            </w:r>
          </w:p>
        </w:tc>
        <w:tc>
          <w:tcPr>
            <w:tcW w:w="0" w:type="dxa"/>
            <w:vAlign w:val="bottom"/>
          </w:tcPr>
          <w:p>
            <w:pPr>
              <w:spacing w:after="0"/>
              <w:rPr>
                <w:sz w:val="1"/>
                <w:szCs w:val="1"/>
                <w:color w:val="auto"/>
              </w:rPr>
            </w:pPr>
          </w:p>
        </w:tc>
      </w:tr>
      <w:tr>
        <w:trPr>
          <w:trHeight w:val="208"/>
        </w:trPr>
        <w:tc>
          <w:tcPr>
            <w:tcW w:w="3320" w:type="dxa"/>
            <w:vAlign w:val="bottom"/>
            <w:tcBorders>
              <w:lef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w:t>
            </w:r>
          </w:p>
        </w:tc>
        <w:tc>
          <w:tcPr>
            <w:tcW w:w="0" w:type="dxa"/>
            <w:vAlign w:val="bottom"/>
          </w:tcPr>
          <w:p>
            <w:pPr>
              <w:spacing w:after="0"/>
              <w:rPr>
                <w:sz w:val="1"/>
                <w:szCs w:val="1"/>
                <w:color w:val="auto"/>
              </w:rPr>
            </w:pPr>
          </w:p>
        </w:tc>
      </w:tr>
      <w:tr>
        <w:trPr>
          <w:trHeight w:val="382"/>
        </w:trPr>
        <w:tc>
          <w:tcPr>
            <w:tcW w:w="3320" w:type="dxa"/>
            <w:vAlign w:val="bottom"/>
            <w:tcBorders>
              <w:left w:val="single" w:sz="8" w:color="auto"/>
            </w:tcBorders>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with a copy (which shall not constitute notice) to:</w:t>
            </w:r>
          </w:p>
        </w:tc>
        <w:tc>
          <w:tcPr>
            <w:tcW w:w="0" w:type="dxa"/>
            <w:vAlign w:val="bottom"/>
          </w:tcPr>
          <w:p>
            <w:pPr>
              <w:spacing w:after="0"/>
              <w:rPr>
                <w:sz w:val="1"/>
                <w:szCs w:val="1"/>
                <w:color w:val="auto"/>
              </w:rPr>
            </w:pPr>
          </w:p>
        </w:tc>
      </w:tr>
      <w:tr>
        <w:trPr>
          <w:trHeight w:val="366"/>
        </w:trPr>
        <w:tc>
          <w:tcPr>
            <w:tcW w:w="3320" w:type="dxa"/>
            <w:vAlign w:val="bottom"/>
            <w:tcBorders>
              <w:left w:val="single" w:sz="8" w:color="auto"/>
            </w:tcBorders>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3320" w:type="dxa"/>
            <w:vAlign w:val="bottom"/>
            <w:tcBorders>
              <w:left w:val="single" w:sz="8" w:color="auto"/>
            </w:tcBorders>
          </w:tcPr>
          <w:p>
            <w:pPr>
              <w:spacing w:after="0"/>
              <w:rPr>
                <w:sz w:val="16"/>
                <w:szCs w:val="16"/>
                <w:color w:val="auto"/>
              </w:rPr>
            </w:pPr>
          </w:p>
        </w:tc>
        <w:tc>
          <w:tcPr>
            <w:tcW w:w="232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3320" w:type="dxa"/>
            <w:vAlign w:val="bottom"/>
            <w:tcBorders>
              <w:left w:val="single" w:sz="8" w:color="auto"/>
            </w:tcBorders>
          </w:tcPr>
          <w:p>
            <w:pPr>
              <w:spacing w:after="0"/>
              <w:rPr>
                <w:sz w:val="16"/>
                <w:szCs w:val="16"/>
                <w:color w:val="auto"/>
              </w:rPr>
            </w:pPr>
          </w:p>
        </w:tc>
        <w:tc>
          <w:tcPr>
            <w:tcW w:w="232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w:t>
            </w:r>
          </w:p>
        </w:tc>
        <w:tc>
          <w:tcPr>
            <w:tcW w:w="0" w:type="dxa"/>
            <w:vAlign w:val="bottom"/>
          </w:tcPr>
          <w:p>
            <w:pPr>
              <w:spacing w:after="0"/>
              <w:rPr>
                <w:sz w:val="1"/>
                <w:szCs w:val="1"/>
                <w:color w:val="auto"/>
              </w:rPr>
            </w:pPr>
          </w:p>
        </w:tc>
      </w:tr>
      <w:tr>
        <w:trPr>
          <w:trHeight w:val="208"/>
        </w:trPr>
        <w:tc>
          <w:tcPr>
            <w:tcW w:w="3320" w:type="dxa"/>
            <w:vAlign w:val="bottom"/>
            <w:tcBorders>
              <w:lef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w:t>
            </w:r>
          </w:p>
        </w:tc>
        <w:tc>
          <w:tcPr>
            <w:tcW w:w="0" w:type="dxa"/>
            <w:vAlign w:val="bottom"/>
          </w:tcPr>
          <w:p>
            <w:pPr>
              <w:spacing w:after="0"/>
              <w:rPr>
                <w:sz w:val="1"/>
                <w:szCs w:val="1"/>
                <w:color w:val="auto"/>
              </w:rPr>
            </w:pPr>
          </w:p>
        </w:tc>
      </w:tr>
      <w:tr>
        <w:trPr>
          <w:trHeight w:val="36"/>
        </w:trPr>
        <w:tc>
          <w:tcPr>
            <w:tcW w:w="3320" w:type="dxa"/>
            <w:vAlign w:val="bottom"/>
            <w:tcBorders>
              <w:left w:val="single" w:sz="8" w:color="auto"/>
              <w:bottom w:val="single" w:sz="8" w:color="auto"/>
            </w:tcBorders>
          </w:tcPr>
          <w:p>
            <w:pPr>
              <w:spacing w:after="0"/>
              <w:rPr>
                <w:sz w:val="3"/>
                <w:szCs w:val="3"/>
                <w:color w:val="auto"/>
              </w:rPr>
            </w:pPr>
          </w:p>
        </w:tc>
        <w:tc>
          <w:tcPr>
            <w:tcW w:w="2320" w:type="dxa"/>
            <w:vAlign w:val="bottom"/>
            <w:tcBorders>
              <w:bottom w:val="single" w:sz="8" w:color="auto"/>
              <w:right w:val="single" w:sz="8" w:color="auto"/>
            </w:tcBorders>
          </w:tcPr>
          <w:p>
            <w:pPr>
              <w:spacing w:after="0"/>
              <w:rPr>
                <w:sz w:val="3"/>
                <w:szCs w:val="3"/>
                <w:color w:val="auto"/>
              </w:rPr>
            </w:pPr>
          </w:p>
        </w:tc>
        <w:tc>
          <w:tcPr>
            <w:tcW w:w="5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593"/>
        </w:trPr>
        <w:tc>
          <w:tcPr>
            <w:tcW w:w="332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gridSpan w:val="2"/>
          </w:tcPr>
          <w:p>
            <w:pPr>
              <w:jc w:val="right"/>
              <w:ind w:right="5460"/>
              <w:spacing w:after="0"/>
              <w:rPr>
                <w:sz w:val="20"/>
                <w:szCs w:val="20"/>
                <w:color w:val="auto"/>
              </w:rPr>
            </w:pPr>
            <w:r>
              <w:rPr>
                <w:rFonts w:ascii="Times New Roman" w:cs="Times New Roman" w:eastAsia="Times New Roman" w:hAnsi="Times New Roman"/>
                <w:sz w:val="19"/>
                <w:szCs w:val="19"/>
                <w:color w:val="auto"/>
              </w:rPr>
              <w:t>26</w:t>
            </w:r>
          </w:p>
        </w:tc>
        <w:tc>
          <w:tcPr>
            <w:tcW w:w="0" w:type="dxa"/>
            <w:vAlign w:val="bottom"/>
          </w:tcPr>
          <w:p>
            <w:pPr>
              <w:spacing w:after="0"/>
              <w:rPr>
                <w:sz w:val="1"/>
                <w:szCs w:val="1"/>
                <w:color w:val="auto"/>
              </w:rPr>
            </w:pPr>
          </w:p>
        </w:tc>
      </w:tr>
    </w:tbl>
    <w:p>
      <w:pPr>
        <w:sectPr>
          <w:pgSz w:w="11900" w:h="16838" w:orient="portrait"/>
          <w:cols w:equalWidth="0" w:num="1">
            <w:col w:w="11260"/>
          </w:cols>
          <w:pgMar w:left="320" w:top="813" w:right="319" w:bottom="1440" w:gutter="0" w:footer="0" w:header="0"/>
        </w:sectPr>
      </w:pPr>
    </w:p>
    <w:bookmarkStart w:id="221" w:name="page222"/>
    <w:bookmarkEnd w:id="22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3420" w:type="dxa"/>
            <w:vAlign w:val="bottom"/>
            <w:tcBorders>
              <w:top w:val="single" w:sz="8" w:color="auto"/>
              <w:left w:val="single" w:sz="8" w:color="auto"/>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Kim Axel Lopdrup</w:t>
            </w:r>
          </w:p>
        </w:tc>
        <w:tc>
          <w:tcPr>
            <w:tcW w:w="2220" w:type="dxa"/>
            <w:vAlign w:val="bottom"/>
            <w:tcBorders>
              <w:top w:val="single" w:sz="8" w:color="auto"/>
              <w:right w:val="single" w:sz="8" w:color="auto"/>
            </w:tcBorders>
          </w:tcPr>
          <w:p>
            <w:pPr>
              <w:spacing w:after="0"/>
              <w:rPr>
                <w:sz w:val="16"/>
                <w:szCs w:val="16"/>
                <w:color w:val="auto"/>
              </w:rPr>
            </w:pPr>
          </w:p>
        </w:tc>
        <w:tc>
          <w:tcPr>
            <w:tcW w:w="562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3420" w:type="dxa"/>
            <w:vAlign w:val="bottom"/>
            <w:tcBorders>
              <w:left w:val="single" w:sz="8" w:color="auto"/>
            </w:tcBorders>
            <w:vMerge w:val="continue"/>
          </w:tcPr>
          <w:p>
            <w:pPr>
              <w:spacing w:after="0"/>
              <w:rPr>
                <w:sz w:val="16"/>
                <w:szCs w:val="16"/>
                <w:color w:val="auto"/>
              </w:rPr>
            </w:pPr>
          </w:p>
        </w:tc>
        <w:tc>
          <w:tcPr>
            <w:tcW w:w="222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w:t>
            </w:r>
          </w:p>
        </w:tc>
        <w:tc>
          <w:tcPr>
            <w:tcW w:w="0" w:type="dxa"/>
            <w:vAlign w:val="bottom"/>
          </w:tcPr>
          <w:p>
            <w:pPr>
              <w:spacing w:after="0"/>
              <w:rPr>
                <w:sz w:val="1"/>
                <w:szCs w:val="1"/>
                <w:color w:val="auto"/>
              </w:rPr>
            </w:pPr>
          </w:p>
        </w:tc>
      </w:tr>
      <w:tr>
        <w:trPr>
          <w:trHeight w:val="208"/>
        </w:trPr>
        <w:tc>
          <w:tcPr>
            <w:tcW w:w="3420" w:type="dxa"/>
            <w:vAlign w:val="bottom"/>
            <w:tcBorders>
              <w:left w:val="single" w:sz="8" w:color="auto"/>
            </w:tcBorders>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w:t>
            </w:r>
          </w:p>
        </w:tc>
        <w:tc>
          <w:tcPr>
            <w:tcW w:w="0" w:type="dxa"/>
            <w:vAlign w:val="bottom"/>
          </w:tcPr>
          <w:p>
            <w:pPr>
              <w:spacing w:after="0"/>
              <w:rPr>
                <w:sz w:val="1"/>
                <w:szCs w:val="1"/>
                <w:color w:val="auto"/>
              </w:rPr>
            </w:pPr>
          </w:p>
        </w:tc>
      </w:tr>
      <w:tr>
        <w:trPr>
          <w:trHeight w:val="382"/>
        </w:trPr>
        <w:tc>
          <w:tcPr>
            <w:tcW w:w="3420" w:type="dxa"/>
            <w:vAlign w:val="bottom"/>
            <w:tcBorders>
              <w:left w:val="single" w:sz="8" w:color="auto"/>
            </w:tcBorders>
          </w:tcPr>
          <w:p>
            <w:pPr>
              <w:spacing w:after="0"/>
              <w:rPr>
                <w:sz w:val="24"/>
                <w:szCs w:val="24"/>
                <w:color w:val="auto"/>
              </w:rPr>
            </w:pPr>
          </w:p>
        </w:tc>
        <w:tc>
          <w:tcPr>
            <w:tcW w:w="222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with a copy (which shall not constitute notice) to:</w:t>
            </w:r>
          </w:p>
        </w:tc>
        <w:tc>
          <w:tcPr>
            <w:tcW w:w="0" w:type="dxa"/>
            <w:vAlign w:val="bottom"/>
          </w:tcPr>
          <w:p>
            <w:pPr>
              <w:spacing w:after="0"/>
              <w:rPr>
                <w:sz w:val="1"/>
                <w:szCs w:val="1"/>
                <w:color w:val="auto"/>
              </w:rPr>
            </w:pPr>
          </w:p>
        </w:tc>
      </w:tr>
      <w:tr>
        <w:trPr>
          <w:trHeight w:val="366"/>
        </w:trPr>
        <w:tc>
          <w:tcPr>
            <w:tcW w:w="3420" w:type="dxa"/>
            <w:vAlign w:val="bottom"/>
            <w:tcBorders>
              <w:left w:val="single" w:sz="8" w:color="auto"/>
            </w:tcBorders>
          </w:tcPr>
          <w:p>
            <w:pPr>
              <w:spacing w:after="0"/>
              <w:rPr>
                <w:sz w:val="24"/>
                <w:szCs w:val="24"/>
                <w:color w:val="auto"/>
              </w:rPr>
            </w:pPr>
          </w:p>
        </w:tc>
        <w:tc>
          <w:tcPr>
            <w:tcW w:w="222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3420" w:type="dxa"/>
            <w:vAlign w:val="bottom"/>
            <w:tcBorders>
              <w:left w:val="single" w:sz="8" w:color="auto"/>
            </w:tcBorders>
          </w:tcPr>
          <w:p>
            <w:pPr>
              <w:spacing w:after="0"/>
              <w:rPr>
                <w:sz w:val="16"/>
                <w:szCs w:val="16"/>
                <w:color w:val="auto"/>
              </w:rPr>
            </w:pPr>
          </w:p>
        </w:tc>
        <w:tc>
          <w:tcPr>
            <w:tcW w:w="222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3420" w:type="dxa"/>
            <w:vAlign w:val="bottom"/>
            <w:tcBorders>
              <w:left w:val="single" w:sz="8" w:color="auto"/>
            </w:tcBorders>
          </w:tcPr>
          <w:p>
            <w:pPr>
              <w:spacing w:after="0"/>
              <w:rPr>
                <w:sz w:val="16"/>
                <w:szCs w:val="16"/>
                <w:color w:val="auto"/>
              </w:rPr>
            </w:pPr>
          </w:p>
        </w:tc>
        <w:tc>
          <w:tcPr>
            <w:tcW w:w="222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w:t>
            </w:r>
          </w:p>
        </w:tc>
        <w:tc>
          <w:tcPr>
            <w:tcW w:w="0" w:type="dxa"/>
            <w:vAlign w:val="bottom"/>
          </w:tcPr>
          <w:p>
            <w:pPr>
              <w:spacing w:after="0"/>
              <w:rPr>
                <w:sz w:val="1"/>
                <w:szCs w:val="1"/>
                <w:color w:val="auto"/>
              </w:rPr>
            </w:pPr>
          </w:p>
        </w:tc>
      </w:tr>
      <w:tr>
        <w:trPr>
          <w:trHeight w:val="208"/>
        </w:trPr>
        <w:tc>
          <w:tcPr>
            <w:tcW w:w="3420" w:type="dxa"/>
            <w:vAlign w:val="bottom"/>
            <w:tcBorders>
              <w:left w:val="single" w:sz="8" w:color="auto"/>
            </w:tcBorders>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w:t>
            </w:r>
          </w:p>
        </w:tc>
        <w:tc>
          <w:tcPr>
            <w:tcW w:w="0" w:type="dxa"/>
            <w:vAlign w:val="bottom"/>
          </w:tcPr>
          <w:p>
            <w:pPr>
              <w:spacing w:after="0"/>
              <w:rPr>
                <w:sz w:val="1"/>
                <w:szCs w:val="1"/>
                <w:color w:val="auto"/>
              </w:rPr>
            </w:pPr>
          </w:p>
        </w:tc>
      </w:tr>
      <w:tr>
        <w:trPr>
          <w:trHeight w:val="36"/>
        </w:trPr>
        <w:tc>
          <w:tcPr>
            <w:tcW w:w="3420" w:type="dxa"/>
            <w:vAlign w:val="bottom"/>
            <w:tcBorders>
              <w:left w:val="single" w:sz="8" w:color="auto"/>
              <w:bottom w:val="single" w:sz="8" w:color="auto"/>
            </w:tcBorders>
          </w:tcPr>
          <w:p>
            <w:pPr>
              <w:spacing w:after="0"/>
              <w:rPr>
                <w:sz w:val="3"/>
                <w:szCs w:val="3"/>
                <w:color w:val="auto"/>
              </w:rPr>
            </w:pPr>
          </w:p>
        </w:tc>
        <w:tc>
          <w:tcPr>
            <w:tcW w:w="2220" w:type="dxa"/>
            <w:vAlign w:val="bottom"/>
            <w:tcBorders>
              <w:bottom w:val="single" w:sz="8" w:color="auto"/>
              <w:right w:val="single" w:sz="8" w:color="auto"/>
            </w:tcBorders>
          </w:tcPr>
          <w:p>
            <w:pPr>
              <w:spacing w:after="0"/>
              <w:rPr>
                <w:sz w:val="3"/>
                <w:szCs w:val="3"/>
                <w:color w:val="auto"/>
              </w:rPr>
            </w:pPr>
          </w:p>
        </w:tc>
        <w:tc>
          <w:tcPr>
            <w:tcW w:w="5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3420" w:type="dxa"/>
            <w:vAlign w:val="bottom"/>
            <w:tcBorders>
              <w:left w:val="single" w:sz="8" w:color="auto"/>
            </w:tcBorders>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Ed Scheetz</w:t>
            </w:r>
          </w:p>
        </w:tc>
        <w:tc>
          <w:tcPr>
            <w:tcW w:w="2220" w:type="dxa"/>
            <w:vAlign w:val="bottom"/>
            <w:tcBorders>
              <w:right w:val="single" w:sz="8" w:color="auto"/>
            </w:tcBorders>
          </w:tcPr>
          <w:p>
            <w:pPr>
              <w:spacing w:after="0"/>
              <w:rPr>
                <w:sz w:val="14"/>
                <w:szCs w:val="14"/>
                <w:color w:val="auto"/>
              </w:rPr>
            </w:pPr>
          </w:p>
        </w:tc>
        <w:tc>
          <w:tcPr>
            <w:tcW w:w="5620" w:type="dxa"/>
            <w:vAlign w:val="bottom"/>
            <w:tcBorders>
              <w:right w:val="single" w:sz="8" w:color="auto"/>
            </w:tcBorders>
          </w:tcPr>
          <w:p>
            <w:pPr>
              <w:ind w:left="40"/>
              <w:spacing w:after="0" w:line="167" w:lineRule="exact"/>
              <w:rPr>
                <w:sz w:val="20"/>
                <w:szCs w:val="20"/>
                <w:color w:val="auto"/>
              </w:rPr>
            </w:pPr>
            <w:r>
              <w:rPr>
                <w:rFonts w:ascii="Times New Roman" w:cs="Times New Roman" w:eastAsia="Times New Roman" w:hAnsi="Times New Roman"/>
                <w:sz w:val="16"/>
                <w:szCs w:val="16"/>
                <w:color w:val="auto"/>
              </w:rPr>
              <w:t>Ventoux Acquisition Holdings LLC</w:t>
            </w:r>
          </w:p>
        </w:tc>
        <w:tc>
          <w:tcPr>
            <w:tcW w:w="0" w:type="dxa"/>
            <w:vAlign w:val="bottom"/>
          </w:tcPr>
          <w:p>
            <w:pPr>
              <w:spacing w:after="0"/>
              <w:rPr>
                <w:sz w:val="1"/>
                <w:szCs w:val="1"/>
                <w:color w:val="auto"/>
              </w:rPr>
            </w:pPr>
          </w:p>
        </w:tc>
      </w:tr>
      <w:tr>
        <w:trPr>
          <w:trHeight w:val="191"/>
        </w:trPr>
        <w:tc>
          <w:tcPr>
            <w:tcW w:w="3420" w:type="dxa"/>
            <w:vAlign w:val="bottom"/>
            <w:tcBorders>
              <w:left w:val="single" w:sz="8" w:color="auto"/>
            </w:tcBorders>
          </w:tcPr>
          <w:p>
            <w:pPr>
              <w:spacing w:after="0"/>
              <w:rPr>
                <w:sz w:val="16"/>
                <w:szCs w:val="16"/>
                <w:color w:val="auto"/>
              </w:rPr>
            </w:pPr>
          </w:p>
        </w:tc>
        <w:tc>
          <w:tcPr>
            <w:tcW w:w="222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211 North Street</w:t>
            </w:r>
          </w:p>
        </w:tc>
        <w:tc>
          <w:tcPr>
            <w:tcW w:w="0" w:type="dxa"/>
            <w:vAlign w:val="bottom"/>
          </w:tcPr>
          <w:p>
            <w:pPr>
              <w:spacing w:after="0"/>
              <w:rPr>
                <w:sz w:val="1"/>
                <w:szCs w:val="1"/>
                <w:color w:val="auto"/>
              </w:rPr>
            </w:pPr>
          </w:p>
        </w:tc>
      </w:tr>
      <w:tr>
        <w:trPr>
          <w:trHeight w:val="191"/>
        </w:trPr>
        <w:tc>
          <w:tcPr>
            <w:tcW w:w="3420" w:type="dxa"/>
            <w:vAlign w:val="bottom"/>
            <w:tcBorders>
              <w:left w:val="single" w:sz="8" w:color="auto"/>
            </w:tcBorders>
          </w:tcPr>
          <w:p>
            <w:pPr>
              <w:spacing w:after="0"/>
              <w:rPr>
                <w:sz w:val="16"/>
                <w:szCs w:val="16"/>
                <w:color w:val="auto"/>
              </w:rPr>
            </w:pPr>
          </w:p>
        </w:tc>
        <w:tc>
          <w:tcPr>
            <w:tcW w:w="222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Northampton, MA 01060</w:t>
            </w:r>
          </w:p>
        </w:tc>
        <w:tc>
          <w:tcPr>
            <w:tcW w:w="0" w:type="dxa"/>
            <w:vAlign w:val="bottom"/>
          </w:tcPr>
          <w:p>
            <w:pPr>
              <w:spacing w:after="0"/>
              <w:rPr>
                <w:sz w:val="1"/>
                <w:szCs w:val="1"/>
                <w:color w:val="auto"/>
              </w:rPr>
            </w:pPr>
          </w:p>
        </w:tc>
      </w:tr>
      <w:tr>
        <w:trPr>
          <w:trHeight w:val="208"/>
        </w:trPr>
        <w:tc>
          <w:tcPr>
            <w:tcW w:w="3420" w:type="dxa"/>
            <w:vAlign w:val="bottom"/>
            <w:tcBorders>
              <w:left w:val="single" w:sz="8" w:color="auto"/>
            </w:tcBorders>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Ed Scheetz</w:t>
            </w:r>
          </w:p>
        </w:tc>
        <w:tc>
          <w:tcPr>
            <w:tcW w:w="0" w:type="dxa"/>
            <w:vAlign w:val="bottom"/>
          </w:tcPr>
          <w:p>
            <w:pPr>
              <w:spacing w:after="0"/>
              <w:rPr>
                <w:sz w:val="1"/>
                <w:szCs w:val="1"/>
                <w:color w:val="auto"/>
              </w:rPr>
            </w:pPr>
          </w:p>
        </w:tc>
      </w:tr>
      <w:tr>
        <w:trPr>
          <w:trHeight w:val="382"/>
        </w:trPr>
        <w:tc>
          <w:tcPr>
            <w:tcW w:w="3420" w:type="dxa"/>
            <w:vAlign w:val="bottom"/>
            <w:tcBorders>
              <w:left w:val="single" w:sz="8" w:color="auto"/>
            </w:tcBorders>
          </w:tcPr>
          <w:p>
            <w:pPr>
              <w:spacing w:after="0"/>
              <w:rPr>
                <w:sz w:val="24"/>
                <w:szCs w:val="24"/>
                <w:color w:val="auto"/>
              </w:rPr>
            </w:pPr>
          </w:p>
        </w:tc>
        <w:tc>
          <w:tcPr>
            <w:tcW w:w="222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ed@ventouxccm.com</w:t>
            </w:r>
          </w:p>
        </w:tc>
        <w:tc>
          <w:tcPr>
            <w:tcW w:w="0" w:type="dxa"/>
            <w:vAlign w:val="bottom"/>
          </w:tcPr>
          <w:p>
            <w:pPr>
              <w:spacing w:after="0"/>
              <w:rPr>
                <w:sz w:val="1"/>
                <w:szCs w:val="1"/>
                <w:color w:val="auto"/>
              </w:rPr>
            </w:pPr>
          </w:p>
        </w:tc>
      </w:tr>
      <w:tr>
        <w:trPr>
          <w:trHeight w:val="366"/>
        </w:trPr>
        <w:tc>
          <w:tcPr>
            <w:tcW w:w="3420" w:type="dxa"/>
            <w:vAlign w:val="bottom"/>
            <w:tcBorders>
              <w:left w:val="single" w:sz="8" w:color="auto"/>
            </w:tcBorders>
          </w:tcPr>
          <w:p>
            <w:pPr>
              <w:spacing w:after="0"/>
              <w:rPr>
                <w:sz w:val="24"/>
                <w:szCs w:val="24"/>
                <w:color w:val="auto"/>
              </w:rPr>
            </w:pPr>
          </w:p>
        </w:tc>
        <w:tc>
          <w:tcPr>
            <w:tcW w:w="222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with a copy (which shall not constitute notice) to:</w:t>
            </w:r>
          </w:p>
        </w:tc>
        <w:tc>
          <w:tcPr>
            <w:tcW w:w="0" w:type="dxa"/>
            <w:vAlign w:val="bottom"/>
          </w:tcPr>
          <w:p>
            <w:pPr>
              <w:spacing w:after="0"/>
              <w:rPr>
                <w:sz w:val="1"/>
                <w:szCs w:val="1"/>
                <w:color w:val="auto"/>
              </w:rPr>
            </w:pPr>
          </w:p>
        </w:tc>
      </w:tr>
      <w:tr>
        <w:trPr>
          <w:trHeight w:val="191"/>
        </w:trPr>
        <w:tc>
          <w:tcPr>
            <w:tcW w:w="3420" w:type="dxa"/>
            <w:vAlign w:val="bottom"/>
            <w:tcBorders>
              <w:left w:val="single" w:sz="8" w:color="auto"/>
            </w:tcBorders>
          </w:tcPr>
          <w:p>
            <w:pPr>
              <w:spacing w:after="0"/>
              <w:rPr>
                <w:sz w:val="16"/>
                <w:szCs w:val="16"/>
                <w:color w:val="auto"/>
              </w:rPr>
            </w:pPr>
          </w:p>
        </w:tc>
        <w:tc>
          <w:tcPr>
            <w:tcW w:w="222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Dentons LLP</w:t>
            </w:r>
          </w:p>
        </w:tc>
        <w:tc>
          <w:tcPr>
            <w:tcW w:w="0" w:type="dxa"/>
            <w:vAlign w:val="bottom"/>
          </w:tcPr>
          <w:p>
            <w:pPr>
              <w:spacing w:after="0"/>
              <w:rPr>
                <w:sz w:val="1"/>
                <w:szCs w:val="1"/>
                <w:color w:val="auto"/>
              </w:rPr>
            </w:pPr>
          </w:p>
        </w:tc>
      </w:tr>
      <w:tr>
        <w:trPr>
          <w:trHeight w:val="191"/>
        </w:trPr>
        <w:tc>
          <w:tcPr>
            <w:tcW w:w="3420" w:type="dxa"/>
            <w:vAlign w:val="bottom"/>
            <w:tcBorders>
              <w:left w:val="single" w:sz="8" w:color="auto"/>
            </w:tcBorders>
          </w:tcPr>
          <w:p>
            <w:pPr>
              <w:spacing w:after="0"/>
              <w:rPr>
                <w:sz w:val="16"/>
                <w:szCs w:val="16"/>
                <w:color w:val="auto"/>
              </w:rPr>
            </w:pPr>
          </w:p>
        </w:tc>
        <w:tc>
          <w:tcPr>
            <w:tcW w:w="222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1221 Avenue of the Americas</w:t>
            </w:r>
          </w:p>
        </w:tc>
        <w:tc>
          <w:tcPr>
            <w:tcW w:w="0" w:type="dxa"/>
            <w:vAlign w:val="bottom"/>
          </w:tcPr>
          <w:p>
            <w:pPr>
              <w:spacing w:after="0"/>
              <w:rPr>
                <w:sz w:val="1"/>
                <w:szCs w:val="1"/>
                <w:color w:val="auto"/>
              </w:rPr>
            </w:pPr>
          </w:p>
        </w:tc>
      </w:tr>
      <w:tr>
        <w:trPr>
          <w:trHeight w:val="191"/>
        </w:trPr>
        <w:tc>
          <w:tcPr>
            <w:tcW w:w="3420" w:type="dxa"/>
            <w:vAlign w:val="bottom"/>
            <w:tcBorders>
              <w:left w:val="single" w:sz="8" w:color="auto"/>
            </w:tcBorders>
          </w:tcPr>
          <w:p>
            <w:pPr>
              <w:spacing w:after="0"/>
              <w:rPr>
                <w:sz w:val="16"/>
                <w:szCs w:val="16"/>
                <w:color w:val="auto"/>
              </w:rPr>
            </w:pPr>
          </w:p>
        </w:tc>
        <w:tc>
          <w:tcPr>
            <w:tcW w:w="222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New York, NY 10020</w:t>
            </w:r>
          </w:p>
        </w:tc>
        <w:tc>
          <w:tcPr>
            <w:tcW w:w="0" w:type="dxa"/>
            <w:vAlign w:val="bottom"/>
          </w:tcPr>
          <w:p>
            <w:pPr>
              <w:spacing w:after="0"/>
              <w:rPr>
                <w:sz w:val="1"/>
                <w:szCs w:val="1"/>
                <w:color w:val="auto"/>
              </w:rPr>
            </w:pPr>
          </w:p>
        </w:tc>
      </w:tr>
      <w:tr>
        <w:trPr>
          <w:trHeight w:val="208"/>
        </w:trPr>
        <w:tc>
          <w:tcPr>
            <w:tcW w:w="3420" w:type="dxa"/>
            <w:vAlign w:val="bottom"/>
            <w:tcBorders>
              <w:left w:val="single" w:sz="8" w:color="auto"/>
            </w:tcBorders>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Brian Lee</w:t>
            </w:r>
          </w:p>
        </w:tc>
        <w:tc>
          <w:tcPr>
            <w:tcW w:w="0" w:type="dxa"/>
            <w:vAlign w:val="bottom"/>
          </w:tcPr>
          <w:p>
            <w:pPr>
              <w:spacing w:after="0"/>
              <w:rPr>
                <w:sz w:val="1"/>
                <w:szCs w:val="1"/>
                <w:color w:val="auto"/>
              </w:rPr>
            </w:pPr>
          </w:p>
        </w:tc>
      </w:tr>
      <w:tr>
        <w:trPr>
          <w:trHeight w:val="382"/>
        </w:trPr>
        <w:tc>
          <w:tcPr>
            <w:tcW w:w="3420" w:type="dxa"/>
            <w:vAlign w:val="bottom"/>
            <w:tcBorders>
              <w:left w:val="single" w:sz="8" w:color="auto"/>
            </w:tcBorders>
          </w:tcPr>
          <w:p>
            <w:pPr>
              <w:spacing w:after="0"/>
              <w:rPr>
                <w:sz w:val="24"/>
                <w:szCs w:val="24"/>
                <w:color w:val="auto"/>
              </w:rPr>
            </w:pPr>
          </w:p>
        </w:tc>
        <w:tc>
          <w:tcPr>
            <w:tcW w:w="222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brian.lee@dentons.com</w:t>
            </w:r>
          </w:p>
        </w:tc>
        <w:tc>
          <w:tcPr>
            <w:tcW w:w="0" w:type="dxa"/>
            <w:vAlign w:val="bottom"/>
          </w:tcPr>
          <w:p>
            <w:pPr>
              <w:spacing w:after="0"/>
              <w:rPr>
                <w:sz w:val="1"/>
                <w:szCs w:val="1"/>
                <w:color w:val="auto"/>
              </w:rPr>
            </w:pPr>
          </w:p>
        </w:tc>
      </w:tr>
      <w:tr>
        <w:trPr>
          <w:trHeight w:val="366"/>
        </w:trPr>
        <w:tc>
          <w:tcPr>
            <w:tcW w:w="3420" w:type="dxa"/>
            <w:vAlign w:val="bottom"/>
            <w:tcBorders>
              <w:left w:val="single" w:sz="8" w:color="auto"/>
            </w:tcBorders>
          </w:tcPr>
          <w:p>
            <w:pPr>
              <w:spacing w:after="0"/>
              <w:rPr>
                <w:sz w:val="24"/>
                <w:szCs w:val="24"/>
                <w:color w:val="auto"/>
              </w:rPr>
            </w:pPr>
          </w:p>
        </w:tc>
        <w:tc>
          <w:tcPr>
            <w:tcW w:w="222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91"/>
        </w:trPr>
        <w:tc>
          <w:tcPr>
            <w:tcW w:w="3420" w:type="dxa"/>
            <w:vAlign w:val="bottom"/>
            <w:tcBorders>
              <w:left w:val="single" w:sz="8" w:color="auto"/>
            </w:tcBorders>
          </w:tcPr>
          <w:p>
            <w:pPr>
              <w:spacing w:after="0"/>
              <w:rPr>
                <w:sz w:val="16"/>
                <w:szCs w:val="16"/>
                <w:color w:val="auto"/>
              </w:rPr>
            </w:pPr>
          </w:p>
        </w:tc>
        <w:tc>
          <w:tcPr>
            <w:tcW w:w="222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Woolery &amp; Co.</w:t>
            </w:r>
          </w:p>
        </w:tc>
        <w:tc>
          <w:tcPr>
            <w:tcW w:w="0" w:type="dxa"/>
            <w:vAlign w:val="bottom"/>
          </w:tcPr>
          <w:p>
            <w:pPr>
              <w:spacing w:after="0"/>
              <w:rPr>
                <w:sz w:val="1"/>
                <w:szCs w:val="1"/>
                <w:color w:val="auto"/>
              </w:rPr>
            </w:pPr>
          </w:p>
        </w:tc>
      </w:tr>
      <w:tr>
        <w:trPr>
          <w:trHeight w:val="195"/>
        </w:trPr>
        <w:tc>
          <w:tcPr>
            <w:tcW w:w="3420" w:type="dxa"/>
            <w:vAlign w:val="bottom"/>
            <w:tcBorders>
              <w:left w:val="single" w:sz="8" w:color="auto"/>
            </w:tcBorders>
          </w:tcPr>
          <w:p>
            <w:pPr>
              <w:spacing w:after="0"/>
              <w:rPr>
                <w:sz w:val="16"/>
                <w:szCs w:val="16"/>
                <w:color w:val="auto"/>
              </w:rPr>
            </w:pPr>
          </w:p>
        </w:tc>
        <w:tc>
          <w:tcPr>
            <w:tcW w:w="222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1 Pier 76</w:t>
            </w:r>
          </w:p>
        </w:tc>
        <w:tc>
          <w:tcPr>
            <w:tcW w:w="0" w:type="dxa"/>
            <w:vAlign w:val="bottom"/>
          </w:tcPr>
          <w:p>
            <w:pPr>
              <w:spacing w:after="0"/>
              <w:rPr>
                <w:sz w:val="1"/>
                <w:szCs w:val="1"/>
                <w:color w:val="auto"/>
              </w:rPr>
            </w:pPr>
          </w:p>
        </w:tc>
      </w:tr>
      <w:tr>
        <w:trPr>
          <w:trHeight w:val="223"/>
        </w:trPr>
        <w:tc>
          <w:tcPr>
            <w:tcW w:w="3420" w:type="dxa"/>
            <w:vAlign w:val="bottom"/>
            <w:tcBorders>
              <w:left w:val="single" w:sz="8" w:color="auto"/>
            </w:tcBorders>
          </w:tcPr>
          <w:p>
            <w:pPr>
              <w:spacing w:after="0"/>
              <w:rPr>
                <w:sz w:val="19"/>
                <w:szCs w:val="19"/>
                <w:color w:val="auto"/>
              </w:rPr>
            </w:pPr>
          </w:p>
        </w:tc>
        <w:tc>
          <w:tcPr>
            <w:tcW w:w="2220" w:type="dxa"/>
            <w:vAlign w:val="bottom"/>
            <w:tcBorders>
              <w:right w:val="single" w:sz="8" w:color="auto"/>
            </w:tcBorders>
          </w:tcPr>
          <w:p>
            <w:pPr>
              <w:spacing w:after="0"/>
              <w:rPr>
                <w:sz w:val="19"/>
                <w:szCs w:val="19"/>
                <w:color w:val="auto"/>
              </w:rPr>
            </w:pPr>
          </w:p>
        </w:tc>
        <w:tc>
          <w:tcPr>
            <w:tcW w:w="5620" w:type="dxa"/>
            <w:vAlign w:val="bottom"/>
            <w:tcBorders>
              <w:right w:val="single" w:sz="8" w:color="auto"/>
            </w:tcBorders>
          </w:tcPr>
          <w:p>
            <w:pPr>
              <w:ind w:left="40"/>
              <w:spacing w:after="0" w:line="223" w:lineRule="exact"/>
              <w:rPr>
                <w:sz w:val="20"/>
                <w:szCs w:val="20"/>
                <w:color w:val="auto"/>
              </w:rPr>
            </w:pPr>
            <w:r>
              <w:rPr>
                <w:rFonts w:ascii="Times New Roman" w:cs="Times New Roman" w:eastAsia="Times New Roman" w:hAnsi="Times New Roman"/>
                <w:sz w:val="15"/>
                <w:szCs w:val="15"/>
                <w:color w:val="auto"/>
              </w:rPr>
              <w:t>408 12</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5"/>
                <w:szCs w:val="15"/>
                <w:color w:val="auto"/>
              </w:rPr>
              <w:t xml:space="preserve"> Ave</w:t>
            </w:r>
          </w:p>
        </w:tc>
        <w:tc>
          <w:tcPr>
            <w:tcW w:w="0" w:type="dxa"/>
            <w:vAlign w:val="bottom"/>
          </w:tcPr>
          <w:p>
            <w:pPr>
              <w:spacing w:after="0"/>
              <w:rPr>
                <w:sz w:val="1"/>
                <w:szCs w:val="1"/>
                <w:color w:val="auto"/>
              </w:rPr>
            </w:pPr>
          </w:p>
        </w:tc>
      </w:tr>
      <w:tr>
        <w:trPr>
          <w:trHeight w:val="191"/>
        </w:trPr>
        <w:tc>
          <w:tcPr>
            <w:tcW w:w="3420" w:type="dxa"/>
            <w:vAlign w:val="bottom"/>
            <w:tcBorders>
              <w:left w:val="single" w:sz="8" w:color="auto"/>
            </w:tcBorders>
          </w:tcPr>
          <w:p>
            <w:pPr>
              <w:spacing w:after="0"/>
              <w:rPr>
                <w:sz w:val="16"/>
                <w:szCs w:val="16"/>
                <w:color w:val="auto"/>
              </w:rPr>
            </w:pPr>
          </w:p>
        </w:tc>
        <w:tc>
          <w:tcPr>
            <w:tcW w:w="222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New York, NY 10018</w:t>
            </w:r>
          </w:p>
        </w:tc>
        <w:tc>
          <w:tcPr>
            <w:tcW w:w="0" w:type="dxa"/>
            <w:vAlign w:val="bottom"/>
          </w:tcPr>
          <w:p>
            <w:pPr>
              <w:spacing w:after="0"/>
              <w:rPr>
                <w:sz w:val="1"/>
                <w:szCs w:val="1"/>
                <w:color w:val="auto"/>
              </w:rPr>
            </w:pPr>
          </w:p>
        </w:tc>
      </w:tr>
      <w:tr>
        <w:trPr>
          <w:trHeight w:val="191"/>
        </w:trPr>
        <w:tc>
          <w:tcPr>
            <w:tcW w:w="3420" w:type="dxa"/>
            <w:vAlign w:val="bottom"/>
            <w:tcBorders>
              <w:left w:val="single" w:sz="8" w:color="auto"/>
            </w:tcBorders>
          </w:tcPr>
          <w:p>
            <w:pPr>
              <w:spacing w:after="0"/>
              <w:rPr>
                <w:sz w:val="16"/>
                <w:szCs w:val="16"/>
                <w:color w:val="auto"/>
              </w:rPr>
            </w:pPr>
          </w:p>
        </w:tc>
        <w:tc>
          <w:tcPr>
            <w:tcW w:w="222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Matthew J. Saur</w:t>
            </w:r>
          </w:p>
        </w:tc>
        <w:tc>
          <w:tcPr>
            <w:tcW w:w="0" w:type="dxa"/>
            <w:vAlign w:val="bottom"/>
          </w:tcPr>
          <w:p>
            <w:pPr>
              <w:spacing w:after="0"/>
              <w:rPr>
                <w:sz w:val="1"/>
                <w:szCs w:val="1"/>
                <w:color w:val="auto"/>
              </w:rPr>
            </w:pPr>
          </w:p>
        </w:tc>
      </w:tr>
      <w:tr>
        <w:trPr>
          <w:trHeight w:val="208"/>
        </w:trPr>
        <w:tc>
          <w:tcPr>
            <w:tcW w:w="3420" w:type="dxa"/>
            <w:vAlign w:val="bottom"/>
            <w:tcBorders>
              <w:left w:val="single" w:sz="8" w:color="auto"/>
            </w:tcBorders>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mathew@wooleryco.com</w:t>
            </w:r>
          </w:p>
        </w:tc>
        <w:tc>
          <w:tcPr>
            <w:tcW w:w="0" w:type="dxa"/>
            <w:vAlign w:val="bottom"/>
          </w:tcPr>
          <w:p>
            <w:pPr>
              <w:spacing w:after="0"/>
              <w:rPr>
                <w:sz w:val="1"/>
                <w:szCs w:val="1"/>
                <w:color w:val="auto"/>
              </w:rPr>
            </w:pPr>
          </w:p>
        </w:tc>
      </w:tr>
      <w:tr>
        <w:trPr>
          <w:trHeight w:val="36"/>
        </w:trPr>
        <w:tc>
          <w:tcPr>
            <w:tcW w:w="3420" w:type="dxa"/>
            <w:vAlign w:val="bottom"/>
            <w:tcBorders>
              <w:left w:val="single" w:sz="8" w:color="auto"/>
              <w:bottom w:val="single" w:sz="8" w:color="auto"/>
            </w:tcBorders>
          </w:tcPr>
          <w:p>
            <w:pPr>
              <w:spacing w:after="0"/>
              <w:rPr>
                <w:sz w:val="3"/>
                <w:szCs w:val="3"/>
                <w:color w:val="auto"/>
              </w:rPr>
            </w:pPr>
          </w:p>
        </w:tc>
        <w:tc>
          <w:tcPr>
            <w:tcW w:w="2220" w:type="dxa"/>
            <w:vAlign w:val="bottom"/>
            <w:tcBorders>
              <w:bottom w:val="single" w:sz="8" w:color="auto"/>
              <w:right w:val="single" w:sz="8" w:color="auto"/>
            </w:tcBorders>
          </w:tcPr>
          <w:p>
            <w:pPr>
              <w:spacing w:after="0"/>
              <w:rPr>
                <w:sz w:val="3"/>
                <w:szCs w:val="3"/>
                <w:color w:val="auto"/>
              </w:rPr>
            </w:pPr>
          </w:p>
        </w:tc>
        <w:tc>
          <w:tcPr>
            <w:tcW w:w="5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3420" w:type="dxa"/>
            <w:vAlign w:val="bottom"/>
            <w:tcBorders>
              <w:left w:val="single" w:sz="8" w:color="auto"/>
            </w:tcBorders>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Gail Zauder</w:t>
            </w:r>
          </w:p>
        </w:tc>
        <w:tc>
          <w:tcPr>
            <w:tcW w:w="2220" w:type="dxa"/>
            <w:vAlign w:val="bottom"/>
            <w:tcBorders>
              <w:right w:val="single" w:sz="8" w:color="auto"/>
            </w:tcBorders>
          </w:tcPr>
          <w:p>
            <w:pPr>
              <w:spacing w:after="0"/>
              <w:rPr>
                <w:sz w:val="14"/>
                <w:szCs w:val="14"/>
                <w:color w:val="auto"/>
              </w:rPr>
            </w:pPr>
          </w:p>
        </w:tc>
        <w:tc>
          <w:tcPr>
            <w:tcW w:w="5620" w:type="dxa"/>
            <w:vAlign w:val="bottom"/>
            <w:tcBorders>
              <w:right w:val="single" w:sz="8" w:color="auto"/>
            </w:tcBorders>
          </w:tcPr>
          <w:p>
            <w:pPr>
              <w:ind w:left="40"/>
              <w:spacing w:after="0" w:line="167"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3420" w:type="dxa"/>
            <w:vAlign w:val="bottom"/>
            <w:tcBorders>
              <w:left w:val="single" w:sz="8" w:color="auto"/>
            </w:tcBorders>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w:t>
            </w:r>
          </w:p>
        </w:tc>
        <w:tc>
          <w:tcPr>
            <w:tcW w:w="0" w:type="dxa"/>
            <w:vAlign w:val="bottom"/>
          </w:tcPr>
          <w:p>
            <w:pPr>
              <w:spacing w:after="0"/>
              <w:rPr>
                <w:sz w:val="1"/>
                <w:szCs w:val="1"/>
                <w:color w:val="auto"/>
              </w:rPr>
            </w:pPr>
          </w:p>
        </w:tc>
      </w:tr>
      <w:tr>
        <w:trPr>
          <w:trHeight w:val="382"/>
        </w:trPr>
        <w:tc>
          <w:tcPr>
            <w:tcW w:w="3420" w:type="dxa"/>
            <w:vAlign w:val="bottom"/>
            <w:tcBorders>
              <w:left w:val="single" w:sz="8" w:color="auto"/>
            </w:tcBorders>
          </w:tcPr>
          <w:p>
            <w:pPr>
              <w:spacing w:after="0"/>
              <w:rPr>
                <w:sz w:val="24"/>
                <w:szCs w:val="24"/>
                <w:color w:val="auto"/>
              </w:rPr>
            </w:pPr>
          </w:p>
        </w:tc>
        <w:tc>
          <w:tcPr>
            <w:tcW w:w="222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w:t>
            </w:r>
          </w:p>
        </w:tc>
        <w:tc>
          <w:tcPr>
            <w:tcW w:w="0" w:type="dxa"/>
            <w:vAlign w:val="bottom"/>
          </w:tcPr>
          <w:p>
            <w:pPr>
              <w:spacing w:after="0"/>
              <w:rPr>
                <w:sz w:val="1"/>
                <w:szCs w:val="1"/>
                <w:color w:val="auto"/>
              </w:rPr>
            </w:pPr>
          </w:p>
        </w:tc>
      </w:tr>
      <w:tr>
        <w:trPr>
          <w:trHeight w:val="366"/>
        </w:trPr>
        <w:tc>
          <w:tcPr>
            <w:tcW w:w="3420" w:type="dxa"/>
            <w:vAlign w:val="bottom"/>
            <w:tcBorders>
              <w:left w:val="single" w:sz="8" w:color="auto"/>
            </w:tcBorders>
          </w:tcPr>
          <w:p>
            <w:pPr>
              <w:spacing w:after="0"/>
              <w:rPr>
                <w:sz w:val="24"/>
                <w:szCs w:val="24"/>
                <w:color w:val="auto"/>
              </w:rPr>
            </w:pPr>
          </w:p>
        </w:tc>
        <w:tc>
          <w:tcPr>
            <w:tcW w:w="222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with a copy (which shall not constitute notice) to:</w:t>
            </w:r>
          </w:p>
        </w:tc>
        <w:tc>
          <w:tcPr>
            <w:tcW w:w="0" w:type="dxa"/>
            <w:vAlign w:val="bottom"/>
          </w:tcPr>
          <w:p>
            <w:pPr>
              <w:spacing w:after="0"/>
              <w:rPr>
                <w:sz w:val="1"/>
                <w:szCs w:val="1"/>
                <w:color w:val="auto"/>
              </w:rPr>
            </w:pPr>
          </w:p>
        </w:tc>
      </w:tr>
      <w:tr>
        <w:trPr>
          <w:trHeight w:val="191"/>
        </w:trPr>
        <w:tc>
          <w:tcPr>
            <w:tcW w:w="3420" w:type="dxa"/>
            <w:vAlign w:val="bottom"/>
            <w:tcBorders>
              <w:left w:val="single" w:sz="8" w:color="auto"/>
            </w:tcBorders>
          </w:tcPr>
          <w:p>
            <w:pPr>
              <w:spacing w:after="0"/>
              <w:rPr>
                <w:sz w:val="16"/>
                <w:szCs w:val="16"/>
                <w:color w:val="auto"/>
              </w:rPr>
            </w:pPr>
          </w:p>
        </w:tc>
        <w:tc>
          <w:tcPr>
            <w:tcW w:w="222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3420" w:type="dxa"/>
            <w:vAlign w:val="bottom"/>
            <w:tcBorders>
              <w:left w:val="single" w:sz="8" w:color="auto"/>
            </w:tcBorders>
          </w:tcPr>
          <w:p>
            <w:pPr>
              <w:spacing w:after="0"/>
              <w:rPr>
                <w:sz w:val="16"/>
                <w:szCs w:val="16"/>
                <w:color w:val="auto"/>
              </w:rPr>
            </w:pPr>
          </w:p>
        </w:tc>
        <w:tc>
          <w:tcPr>
            <w:tcW w:w="222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3420" w:type="dxa"/>
            <w:vAlign w:val="bottom"/>
            <w:tcBorders>
              <w:left w:val="single" w:sz="8" w:color="auto"/>
            </w:tcBorders>
          </w:tcPr>
          <w:p>
            <w:pPr>
              <w:spacing w:after="0"/>
              <w:rPr>
                <w:sz w:val="16"/>
                <w:szCs w:val="16"/>
                <w:color w:val="auto"/>
              </w:rPr>
            </w:pPr>
          </w:p>
        </w:tc>
        <w:tc>
          <w:tcPr>
            <w:tcW w:w="222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w:t>
            </w:r>
          </w:p>
        </w:tc>
        <w:tc>
          <w:tcPr>
            <w:tcW w:w="0" w:type="dxa"/>
            <w:vAlign w:val="bottom"/>
          </w:tcPr>
          <w:p>
            <w:pPr>
              <w:spacing w:after="0"/>
              <w:rPr>
                <w:sz w:val="1"/>
                <w:szCs w:val="1"/>
                <w:color w:val="auto"/>
              </w:rPr>
            </w:pPr>
          </w:p>
        </w:tc>
      </w:tr>
      <w:tr>
        <w:trPr>
          <w:trHeight w:val="208"/>
        </w:trPr>
        <w:tc>
          <w:tcPr>
            <w:tcW w:w="3420" w:type="dxa"/>
            <w:vAlign w:val="bottom"/>
            <w:tcBorders>
              <w:left w:val="single" w:sz="8" w:color="auto"/>
            </w:tcBorders>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w:t>
            </w:r>
          </w:p>
        </w:tc>
        <w:tc>
          <w:tcPr>
            <w:tcW w:w="0" w:type="dxa"/>
            <w:vAlign w:val="bottom"/>
          </w:tcPr>
          <w:p>
            <w:pPr>
              <w:spacing w:after="0"/>
              <w:rPr>
                <w:sz w:val="1"/>
                <w:szCs w:val="1"/>
                <w:color w:val="auto"/>
              </w:rPr>
            </w:pPr>
          </w:p>
        </w:tc>
      </w:tr>
      <w:tr>
        <w:trPr>
          <w:trHeight w:val="36"/>
        </w:trPr>
        <w:tc>
          <w:tcPr>
            <w:tcW w:w="3420" w:type="dxa"/>
            <w:vAlign w:val="bottom"/>
            <w:tcBorders>
              <w:left w:val="single" w:sz="8" w:color="auto"/>
              <w:bottom w:val="single" w:sz="8" w:color="auto"/>
            </w:tcBorders>
          </w:tcPr>
          <w:p>
            <w:pPr>
              <w:spacing w:after="0"/>
              <w:rPr>
                <w:sz w:val="3"/>
                <w:szCs w:val="3"/>
                <w:color w:val="auto"/>
              </w:rPr>
            </w:pPr>
          </w:p>
        </w:tc>
        <w:tc>
          <w:tcPr>
            <w:tcW w:w="2220" w:type="dxa"/>
            <w:vAlign w:val="bottom"/>
            <w:tcBorders>
              <w:bottom w:val="single" w:sz="8" w:color="auto"/>
              <w:right w:val="single" w:sz="8" w:color="auto"/>
            </w:tcBorders>
          </w:tcPr>
          <w:p>
            <w:pPr>
              <w:spacing w:after="0"/>
              <w:rPr>
                <w:sz w:val="3"/>
                <w:szCs w:val="3"/>
                <w:color w:val="auto"/>
              </w:rPr>
            </w:pPr>
          </w:p>
        </w:tc>
        <w:tc>
          <w:tcPr>
            <w:tcW w:w="5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593"/>
        </w:trPr>
        <w:tc>
          <w:tcPr>
            <w:tcW w:w="3420" w:type="dxa"/>
            <w:vAlign w:val="bottom"/>
            <w:tcBorders>
              <w:bottom w:val="single" w:sz="8" w:color="auto"/>
            </w:tcBorders>
          </w:tcPr>
          <w:p>
            <w:pPr>
              <w:spacing w:after="0"/>
              <w:rPr>
                <w:sz w:val="24"/>
                <w:szCs w:val="24"/>
                <w:color w:val="auto"/>
              </w:rPr>
            </w:pPr>
          </w:p>
        </w:tc>
        <w:tc>
          <w:tcPr>
            <w:tcW w:w="7840" w:type="dxa"/>
            <w:vAlign w:val="bottom"/>
            <w:tcBorders>
              <w:bottom w:val="single" w:sz="8" w:color="auto"/>
            </w:tcBorders>
            <w:gridSpan w:val="2"/>
          </w:tcPr>
          <w:p>
            <w:pPr>
              <w:jc w:val="right"/>
              <w:ind w:right="5460"/>
              <w:spacing w:after="0"/>
              <w:rPr>
                <w:sz w:val="20"/>
                <w:szCs w:val="20"/>
                <w:color w:val="auto"/>
              </w:rPr>
            </w:pPr>
            <w:r>
              <w:rPr>
                <w:rFonts w:ascii="Times New Roman" w:cs="Times New Roman" w:eastAsia="Times New Roman" w:hAnsi="Times New Roman"/>
                <w:sz w:val="19"/>
                <w:szCs w:val="19"/>
                <w:color w:val="auto"/>
              </w:rPr>
              <w:t>27</w:t>
            </w:r>
          </w:p>
        </w:tc>
        <w:tc>
          <w:tcPr>
            <w:tcW w:w="0" w:type="dxa"/>
            <w:vAlign w:val="bottom"/>
          </w:tcPr>
          <w:p>
            <w:pPr>
              <w:spacing w:after="0"/>
              <w:rPr>
                <w:sz w:val="1"/>
                <w:szCs w:val="1"/>
                <w:color w:val="auto"/>
              </w:rPr>
            </w:pPr>
          </w:p>
        </w:tc>
      </w:tr>
    </w:tbl>
    <w:p>
      <w:pPr>
        <w:sectPr>
          <w:pgSz w:w="11900" w:h="16838" w:orient="portrait"/>
          <w:cols w:equalWidth="0" w:num="1">
            <w:col w:w="11260"/>
          </w:cols>
          <w:pgMar w:left="320" w:top="812" w:right="319" w:bottom="1440" w:gutter="0" w:footer="0" w:header="0"/>
        </w:sectPr>
      </w:pPr>
    </w:p>
    <w:bookmarkStart w:id="222" w:name="page223"/>
    <w:bookmarkEnd w:id="222"/>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AMENDED AND RESTATED REGISTRATION RIGHTS AGREEMENT JOINDER</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The undersigned is executing and delivering this Joinder pursuant to the Amended and Restated Registration Rights Agreement dated as of _______________ (as the</w:t>
      </w:r>
    </w:p>
    <w:p>
      <w:pPr>
        <w:spacing w:after="0" w:line="2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same may hereafter be amended, the “</w:t>
      </w:r>
      <w:r>
        <w:rPr>
          <w:rFonts w:ascii="Times New Roman" w:cs="Times New Roman" w:eastAsia="Times New Roman" w:hAnsi="Times New Roman"/>
          <w:sz w:val="16"/>
          <w:szCs w:val="16"/>
          <w:u w:val="single" w:color="auto"/>
          <w:color w:val="auto"/>
        </w:rPr>
        <w:t>Registration Rights Agreement</w:t>
      </w:r>
      <w:r>
        <w:rPr>
          <w:rFonts w:ascii="Times New Roman" w:cs="Times New Roman" w:eastAsia="Times New Roman" w:hAnsi="Times New Roman"/>
          <w:sz w:val="16"/>
          <w:szCs w:val="16"/>
          <w:color w:val="auto"/>
        </w:rPr>
        <w:t>”), among Ventoux CCM Acquisition Corp., a Delaware corporation (“</w:t>
      </w:r>
      <w:r>
        <w:rPr>
          <w:rFonts w:ascii="Times New Roman" w:cs="Times New Roman" w:eastAsia="Times New Roman" w:hAnsi="Times New Roman"/>
          <w:sz w:val="16"/>
          <w:szCs w:val="16"/>
          <w:u w:val="single" w:color="auto"/>
          <w:color w:val="auto"/>
        </w:rPr>
        <w:t>Pubco</w:t>
      </w:r>
      <w:r>
        <w:rPr>
          <w:rFonts w:ascii="Times New Roman" w:cs="Times New Roman" w:eastAsia="Times New Roman" w:hAnsi="Times New Roman"/>
          <w:sz w:val="16"/>
          <w:szCs w:val="16"/>
          <w:color w:val="auto"/>
        </w:rPr>
        <w:t>”), and the other persons named as parties therein.</w:t>
      </w:r>
    </w:p>
    <w:p>
      <w:pPr>
        <w:spacing w:after="0" w:line="161" w:lineRule="exact"/>
        <w:rPr>
          <w:sz w:val="20"/>
          <w:szCs w:val="20"/>
          <w:color w:val="auto"/>
        </w:rPr>
      </w:pPr>
    </w:p>
    <w:p>
      <w:pPr>
        <w:ind w:right="20" w:firstLine="382"/>
        <w:spacing w:after="0" w:line="280" w:lineRule="auto"/>
        <w:rPr>
          <w:sz w:val="20"/>
          <w:szCs w:val="20"/>
          <w:color w:val="auto"/>
        </w:rPr>
      </w:pPr>
      <w:r>
        <w:rPr>
          <w:rFonts w:ascii="Times New Roman" w:cs="Times New Roman" w:eastAsia="Times New Roman" w:hAnsi="Times New Roman"/>
          <w:sz w:val="16"/>
          <w:szCs w:val="16"/>
          <w:color w:val="auto"/>
        </w:rPr>
        <w:t>By executing and delivering this Joinder to Pubco, the undersigned hereby agrees to become a party to, to be bound by, and to comply with the provisions of the Registration Rights Agreement as a holder of Registrable Securities in the same manner as if the undersigned were an original signatory to the Registration Rights Agreement.</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Accordingly, the undersigned has executed and delivered this Joinder as of the ___ day of ________, 20__.</w:t>
      </w:r>
    </w:p>
    <w:p>
      <w:pPr>
        <w:spacing w:after="0" w:line="19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INVESTOR:</w:t>
      </w:r>
    </w:p>
    <w:p>
      <w:pPr>
        <w:spacing w:after="0" w:line="19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By:</w:t>
      </w:r>
    </w:p>
    <w:p>
      <w:pPr>
        <w:spacing w:after="0" w:line="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4648835</wp:posOffset>
            </wp:positionH>
            <wp:positionV relativeFrom="paragraph">
              <wp:posOffset>-113030</wp:posOffset>
            </wp:positionV>
            <wp:extent cx="2496820" cy="152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19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Address for Notices: [●]</w:t>
      </w:r>
    </w:p>
    <w:p>
      <w:pPr>
        <w:spacing w:after="0" w:line="4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w:t>
      </w:r>
    </w:p>
    <w:p>
      <w:pPr>
        <w:spacing w:after="0" w:line="2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w:t>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w:t>
      </w:r>
    </w:p>
    <w:p>
      <w:pPr>
        <w:spacing w:after="0" w:line="18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Agreed and Accepted as of _________________</w:t>
      </w:r>
    </w:p>
    <w:p>
      <w:pPr>
        <w:spacing w:after="0" w:line="19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VENTOUX CCM ACQUISITION CORP.</w:t>
      </w:r>
    </w:p>
    <w:p>
      <w:pPr>
        <w:spacing w:after="0" w:line="4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By:</w:t>
      </w:r>
    </w:p>
    <w:p>
      <w:pPr>
        <w:spacing w:after="0" w:line="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4648835</wp:posOffset>
            </wp:positionH>
            <wp:positionV relativeFrom="paragraph">
              <wp:posOffset>-113030</wp:posOffset>
            </wp:positionV>
            <wp:extent cx="2496820" cy="152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223" w:name="page224"/>
    <w:bookmarkEnd w:id="223"/>
    <w:p>
      <w:pPr>
        <w:jc w:val="right"/>
        <w:spacing w:after="0"/>
        <w:rPr>
          <w:sz w:val="20"/>
          <w:szCs w:val="20"/>
          <w:color w:val="auto"/>
        </w:rPr>
      </w:pPr>
      <w:r>
        <w:rPr>
          <w:rFonts w:ascii="Times New Roman" w:cs="Times New Roman" w:eastAsia="Times New Roman" w:hAnsi="Times New Roman"/>
          <w:sz w:val="16"/>
          <w:szCs w:val="16"/>
          <w:b w:val="1"/>
          <w:bCs w:val="1"/>
          <w:color w:val="auto"/>
        </w:rPr>
        <w:t>Exhibit 10.6</w:t>
      </w:r>
    </w:p>
    <w:p>
      <w:pPr>
        <w:spacing w:after="0" w:line="1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Execution Version</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AMENDED &amp; RESTATED SPONSOR SUPPORT AGREEMENT</w:t>
      </w:r>
    </w:p>
    <w:p>
      <w:pPr>
        <w:spacing w:after="0" w:line="200" w:lineRule="exact"/>
        <w:rPr>
          <w:sz w:val="20"/>
          <w:szCs w:val="20"/>
          <w:color w:val="auto"/>
        </w:rPr>
      </w:pPr>
    </w:p>
    <w:p>
      <w:pPr>
        <w:jc w:val="both"/>
        <w:ind w:firstLine="1147"/>
        <w:spacing w:after="0" w:line="255" w:lineRule="auto"/>
        <w:rPr>
          <w:sz w:val="20"/>
          <w:szCs w:val="20"/>
          <w:color w:val="auto"/>
        </w:rPr>
      </w:pPr>
      <w:r>
        <w:rPr>
          <w:rFonts w:ascii="Times New Roman" w:cs="Times New Roman" w:eastAsia="Times New Roman" w:hAnsi="Times New Roman"/>
          <w:sz w:val="16"/>
          <w:szCs w:val="16"/>
          <w:color w:val="auto"/>
        </w:rPr>
        <w:t>This Amended and Restated Sponsor Support Agreement (this “</w:t>
      </w:r>
      <w:r>
        <w:rPr>
          <w:rFonts w:ascii="Times New Roman" w:cs="Times New Roman" w:eastAsia="Times New Roman" w:hAnsi="Times New Roman"/>
          <w:sz w:val="16"/>
          <w:szCs w:val="16"/>
          <w:u w:val="single" w:color="auto"/>
          <w:color w:val="auto"/>
        </w:rPr>
        <w:t>Sponsor Agreement</w:t>
      </w:r>
      <w:r>
        <w:rPr>
          <w:rFonts w:ascii="Times New Roman" w:cs="Times New Roman" w:eastAsia="Times New Roman" w:hAnsi="Times New Roman"/>
          <w:sz w:val="16"/>
          <w:szCs w:val="16"/>
          <w:color w:val="auto"/>
        </w:rPr>
        <w:t>”) is dated as of July 25, 2022, by and among Ventoux Acquisition Holdings LLC, a Delaware limited liability company (“</w:t>
      </w:r>
      <w:r>
        <w:rPr>
          <w:rFonts w:ascii="Times New Roman" w:cs="Times New Roman" w:eastAsia="Times New Roman" w:hAnsi="Times New Roman"/>
          <w:sz w:val="16"/>
          <w:szCs w:val="16"/>
          <w:u w:val="single" w:color="auto"/>
          <w:color w:val="auto"/>
        </w:rPr>
        <w:t>Ventoux Acquisition</w:t>
      </w:r>
      <w:r>
        <w:rPr>
          <w:rFonts w:ascii="Times New Roman" w:cs="Times New Roman" w:eastAsia="Times New Roman" w:hAnsi="Times New Roman"/>
          <w:sz w:val="16"/>
          <w:szCs w:val="16"/>
          <w:color w:val="auto"/>
        </w:rPr>
        <w:t>”), Chardan International Investments, LLC, a Delaware limited liability company (together with Ventoux Acquisition, each, a “</w:t>
      </w:r>
      <w:r>
        <w:rPr>
          <w:rFonts w:ascii="Times New Roman" w:cs="Times New Roman" w:eastAsia="Times New Roman" w:hAnsi="Times New Roman"/>
          <w:sz w:val="16"/>
          <w:szCs w:val="16"/>
          <w:u w:val="single" w:color="auto"/>
          <w:color w:val="auto"/>
        </w:rPr>
        <w:t>Sponsor</w:t>
      </w:r>
      <w:r>
        <w:rPr>
          <w:rFonts w:ascii="Times New Roman" w:cs="Times New Roman" w:eastAsia="Times New Roman" w:hAnsi="Times New Roman"/>
          <w:sz w:val="16"/>
          <w:szCs w:val="16"/>
          <w:color w:val="auto"/>
        </w:rPr>
        <w:t>” and, together, the “</w:t>
      </w:r>
      <w:r>
        <w:rPr>
          <w:rFonts w:ascii="Times New Roman" w:cs="Times New Roman" w:eastAsia="Times New Roman" w:hAnsi="Times New Roman"/>
          <w:sz w:val="16"/>
          <w:szCs w:val="16"/>
          <w:u w:val="single" w:color="auto"/>
          <w:color w:val="auto"/>
        </w:rPr>
        <w:t>Sponsors</w:t>
      </w:r>
      <w:r>
        <w:rPr>
          <w:rFonts w:ascii="Times New Roman" w:cs="Times New Roman" w:eastAsia="Times New Roman" w:hAnsi="Times New Roman"/>
          <w:sz w:val="16"/>
          <w:szCs w:val="16"/>
          <w:color w:val="auto"/>
        </w:rPr>
        <w:t>”), Ventoux CCM Acquisition Corp., a Delaware corporation (“</w:t>
      </w:r>
      <w:r>
        <w:rPr>
          <w:rFonts w:ascii="Times New Roman" w:cs="Times New Roman" w:eastAsia="Times New Roman" w:hAnsi="Times New Roman"/>
          <w:sz w:val="16"/>
          <w:szCs w:val="16"/>
          <w:u w:val="single" w:color="auto"/>
          <w:color w:val="auto"/>
        </w:rPr>
        <w:t>Acquiror</w:t>
      </w:r>
      <w:r>
        <w:rPr>
          <w:rFonts w:ascii="Times New Roman" w:cs="Times New Roman" w:eastAsia="Times New Roman" w:hAnsi="Times New Roman"/>
          <w:sz w:val="16"/>
          <w:szCs w:val="16"/>
          <w:color w:val="auto"/>
        </w:rPr>
        <w:t>”), E La Carte, Inc., a Delaware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and the directors, executive officers and affiliates of the Sponsors whose names appear on the signature pages of this Sponsor Agreement (such stockholders and affiliates, the “</w:t>
      </w:r>
      <w:r>
        <w:rPr>
          <w:rFonts w:ascii="Times New Roman" w:cs="Times New Roman" w:eastAsia="Times New Roman" w:hAnsi="Times New Roman"/>
          <w:sz w:val="16"/>
          <w:szCs w:val="16"/>
          <w:u w:val="single" w:color="auto"/>
          <w:color w:val="auto"/>
        </w:rPr>
        <w:t>Insiders</w:t>
      </w:r>
      <w:r>
        <w:rPr>
          <w:rFonts w:ascii="Times New Roman" w:cs="Times New Roman" w:eastAsia="Times New Roman" w:hAnsi="Times New Roman"/>
          <w:sz w:val="16"/>
          <w:szCs w:val="16"/>
          <w:color w:val="auto"/>
        </w:rPr>
        <w:t>”, and together with the “</w:t>
      </w:r>
      <w:r>
        <w:rPr>
          <w:rFonts w:ascii="Times New Roman" w:cs="Times New Roman" w:eastAsia="Times New Roman" w:hAnsi="Times New Roman"/>
          <w:sz w:val="16"/>
          <w:szCs w:val="16"/>
          <w:u w:val="single" w:color="auto"/>
          <w:color w:val="auto"/>
        </w:rPr>
        <w:t>Sponsors</w:t>
      </w:r>
      <w:r>
        <w:rPr>
          <w:rFonts w:ascii="Times New Roman" w:cs="Times New Roman" w:eastAsia="Times New Roman" w:hAnsi="Times New Roman"/>
          <w:sz w:val="16"/>
          <w:szCs w:val="16"/>
          <w:color w:val="auto"/>
        </w:rPr>
        <w:t>”, the “</w:t>
      </w:r>
      <w:r>
        <w:rPr>
          <w:rFonts w:ascii="Times New Roman" w:cs="Times New Roman" w:eastAsia="Times New Roman" w:hAnsi="Times New Roman"/>
          <w:sz w:val="16"/>
          <w:szCs w:val="16"/>
          <w:u w:val="single" w:color="auto"/>
          <w:color w:val="auto"/>
        </w:rPr>
        <w:t>Sponsor Parties</w:t>
      </w:r>
      <w:r>
        <w:rPr>
          <w:rFonts w:ascii="Times New Roman" w:cs="Times New Roman" w:eastAsia="Times New Roman" w:hAnsi="Times New Roman"/>
          <w:sz w:val="16"/>
          <w:szCs w:val="16"/>
          <w:color w:val="auto"/>
        </w:rPr>
        <w:t>” and individually, a “</w:t>
      </w:r>
      <w:r>
        <w:rPr>
          <w:rFonts w:ascii="Times New Roman" w:cs="Times New Roman" w:eastAsia="Times New Roman" w:hAnsi="Times New Roman"/>
          <w:sz w:val="16"/>
          <w:szCs w:val="16"/>
          <w:u w:val="single" w:color="auto"/>
          <w:color w:val="auto"/>
        </w:rPr>
        <w:t>Sponsor Party</w:t>
      </w:r>
      <w:r>
        <w:rPr>
          <w:rFonts w:ascii="Times New Roman" w:cs="Times New Roman" w:eastAsia="Times New Roman" w:hAnsi="Times New Roman"/>
          <w:sz w:val="16"/>
          <w:szCs w:val="16"/>
          <w:color w:val="auto"/>
        </w:rPr>
        <w:t>”). Capitalized terms used but not defined herein shall have the respective meanings ascribed to such terms in the Merger Agreement (defined below).</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RECITALS</w:t>
      </w:r>
    </w:p>
    <w:p>
      <w:pPr>
        <w:spacing w:after="0" w:line="198" w:lineRule="exact"/>
        <w:rPr>
          <w:sz w:val="20"/>
          <w:szCs w:val="20"/>
          <w:color w:val="auto"/>
        </w:rPr>
      </w:pPr>
    </w:p>
    <w:p>
      <w:pPr>
        <w:jc w:val="both"/>
        <w:ind w:firstLine="574"/>
        <w:spacing w:after="0" w:line="266"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as of the date hereof, the Sponsor Parties are the holders of record and the “beneficial owners” (within the meaning of Rule 13d-3 under the Exchange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Act) of 4,312,500 shares of Acquiror Common Stock and 6,675,000 Acquiror Private Placement Warrants in the aggregate as set forth on </w:t>
      </w:r>
      <w:r>
        <w:rPr>
          <w:rFonts w:ascii="Times New Roman" w:cs="Times New Roman" w:eastAsia="Times New Roman" w:hAnsi="Times New Roman"/>
          <w:sz w:val="16"/>
          <w:szCs w:val="16"/>
          <w:u w:val="single" w:color="auto"/>
          <w:color w:val="auto"/>
        </w:rPr>
        <w:t>Schedule I</w:t>
      </w:r>
      <w:r>
        <w:rPr>
          <w:rFonts w:ascii="Times New Roman" w:cs="Times New Roman" w:eastAsia="Times New Roman" w:hAnsi="Times New Roman"/>
          <w:sz w:val="16"/>
          <w:szCs w:val="16"/>
          <w:color w:val="auto"/>
        </w:rPr>
        <w:t xml:space="preserve"> attached hereto (collectively, the “</w:t>
      </w:r>
      <w:r>
        <w:rPr>
          <w:rFonts w:ascii="Times New Roman" w:cs="Times New Roman" w:eastAsia="Times New Roman" w:hAnsi="Times New Roman"/>
          <w:sz w:val="16"/>
          <w:szCs w:val="16"/>
          <w:u w:val="single" w:color="auto"/>
          <w:color w:val="auto"/>
        </w:rPr>
        <w:t>Subject Securities</w:t>
      </w:r>
      <w:r>
        <w:rPr>
          <w:rFonts w:ascii="Times New Roman" w:cs="Times New Roman" w:eastAsia="Times New Roman" w:hAnsi="Times New Roman"/>
          <w:sz w:val="16"/>
          <w:szCs w:val="16"/>
          <w:color w:val="auto"/>
        </w:rPr>
        <w:t>”);</w:t>
      </w:r>
    </w:p>
    <w:p>
      <w:pPr>
        <w:spacing w:after="0" w:line="153" w:lineRule="exact"/>
        <w:rPr>
          <w:sz w:val="20"/>
          <w:szCs w:val="20"/>
          <w:color w:val="auto"/>
        </w:rPr>
      </w:pPr>
    </w:p>
    <w:p>
      <w:pPr>
        <w:jc w:val="both"/>
        <w:ind w:right="20" w:firstLine="574"/>
        <w:spacing w:after="0" w:line="283"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in connection with and contingent upon the Closing, the Sponsors will transfer an aggregate of 1,088,813 shares of Acquiror Common Stock to certain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investors for nominal consideration (the “</w:t>
      </w:r>
      <w:r>
        <w:rPr>
          <w:rFonts w:ascii="Times New Roman" w:cs="Times New Roman" w:eastAsia="Times New Roman" w:hAnsi="Times New Roman"/>
          <w:sz w:val="16"/>
          <w:szCs w:val="16"/>
          <w:u w:val="single" w:color="auto"/>
          <w:color w:val="auto"/>
        </w:rPr>
        <w:t>Founder Share Transfers</w:t>
      </w:r>
      <w:r>
        <w:rPr>
          <w:rFonts w:ascii="Times New Roman" w:cs="Times New Roman" w:eastAsia="Times New Roman" w:hAnsi="Times New Roman"/>
          <w:sz w:val="16"/>
          <w:szCs w:val="16"/>
          <w:color w:val="auto"/>
        </w:rPr>
        <w:t>”);</w:t>
      </w:r>
    </w:p>
    <w:p>
      <w:pPr>
        <w:spacing w:after="0" w:line="140"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Acquiror, the Company, Ventoux Merger Sub I Inc., a Delaware corporation and wholly-owned subsidiary of Acquiror (“</w:t>
      </w:r>
      <w:r>
        <w:rPr>
          <w:rFonts w:ascii="Times New Roman" w:cs="Times New Roman" w:eastAsia="Times New Roman" w:hAnsi="Times New Roman"/>
          <w:sz w:val="16"/>
          <w:szCs w:val="16"/>
          <w:u w:val="single" w:color="auto"/>
          <w:color w:val="auto"/>
        </w:rPr>
        <w:t>First Merger Sub</w:t>
      </w:r>
      <w:r>
        <w:rPr>
          <w:rFonts w:ascii="Times New Roman" w:cs="Times New Roman" w:eastAsia="Times New Roman" w:hAnsi="Times New Roman"/>
          <w:sz w:val="16"/>
          <w:szCs w:val="16"/>
          <w:color w:val="auto"/>
        </w:rPr>
        <w:t>”) and Ventoux</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Merger Sub II LLC, a Delaware limited liability company and wholly-owned subsidiary of Acquiror (“</w:t>
      </w:r>
      <w:r>
        <w:rPr>
          <w:rFonts w:ascii="Times New Roman" w:cs="Times New Roman" w:eastAsia="Times New Roman" w:hAnsi="Times New Roman"/>
          <w:sz w:val="16"/>
          <w:szCs w:val="16"/>
          <w:u w:val="single" w:color="auto"/>
          <w:color w:val="auto"/>
        </w:rPr>
        <w:t>Second Merger Sub</w:t>
      </w:r>
      <w:r>
        <w:rPr>
          <w:rFonts w:ascii="Times New Roman" w:cs="Times New Roman" w:eastAsia="Times New Roman" w:hAnsi="Times New Roman"/>
          <w:sz w:val="16"/>
          <w:szCs w:val="16"/>
          <w:color w:val="auto"/>
        </w:rPr>
        <w:t>”) have entered into that certain Agreement and Plan of Merger, dated November 10, 2021 (as amended, supplemented, restated or otherwise modified from time to time, the “</w:t>
      </w:r>
      <w:r>
        <w:rPr>
          <w:rFonts w:ascii="Times New Roman" w:cs="Times New Roman" w:eastAsia="Times New Roman" w:hAnsi="Times New Roman"/>
          <w:sz w:val="16"/>
          <w:szCs w:val="16"/>
          <w:u w:val="single" w:color="auto"/>
          <w:color w:val="auto"/>
        </w:rPr>
        <w:t>Merger Agreement</w:t>
      </w:r>
      <w:r>
        <w:rPr>
          <w:rFonts w:ascii="Times New Roman" w:cs="Times New Roman" w:eastAsia="Times New Roman" w:hAnsi="Times New Roman"/>
          <w:sz w:val="16"/>
          <w:szCs w:val="16"/>
          <w:color w:val="auto"/>
        </w:rPr>
        <w:t>”; capitalized terms used but not otherwise defined in this Sponsor Agreement shall have the meanings ascribed to them in the Merger Agreement), pursuant to which (and subject to the terms and conditions set forth therein) First Merger Sub will merge with and into the Company (the “</w:t>
      </w:r>
      <w:r>
        <w:rPr>
          <w:rFonts w:ascii="Times New Roman" w:cs="Times New Roman" w:eastAsia="Times New Roman" w:hAnsi="Times New Roman"/>
          <w:sz w:val="16"/>
          <w:szCs w:val="16"/>
          <w:u w:val="single" w:color="auto"/>
          <w:color w:val="auto"/>
        </w:rPr>
        <w:t>First Merger</w:t>
      </w:r>
      <w:r>
        <w:rPr>
          <w:rFonts w:ascii="Times New Roman" w:cs="Times New Roman" w:eastAsia="Times New Roman" w:hAnsi="Times New Roman"/>
          <w:sz w:val="16"/>
          <w:szCs w:val="16"/>
          <w:color w:val="auto"/>
        </w:rPr>
        <w:t>”), and immediately following the First Merger, the Company will merge with and into Second Merger Sub, with Second Merger Sub continuing on as the surviving corporation and a wholly owned subsidiary of Acquiror (together with the First Merger, the “</w:t>
      </w:r>
      <w:r>
        <w:rPr>
          <w:rFonts w:ascii="Times New Roman" w:cs="Times New Roman" w:eastAsia="Times New Roman" w:hAnsi="Times New Roman"/>
          <w:sz w:val="16"/>
          <w:szCs w:val="16"/>
          <w:u w:val="single" w:color="auto"/>
          <w:color w:val="auto"/>
        </w:rPr>
        <w:t>Mergers</w:t>
      </w:r>
      <w:r>
        <w:rPr>
          <w:rFonts w:ascii="Times New Roman" w:cs="Times New Roman" w:eastAsia="Times New Roman" w:hAnsi="Times New Roman"/>
          <w:sz w:val="16"/>
          <w:szCs w:val="16"/>
          <w:color w:val="auto"/>
        </w:rPr>
        <w:t>”);</w:t>
      </w:r>
    </w:p>
    <w:p>
      <w:pPr>
        <w:spacing w:after="0" w:line="161" w:lineRule="exact"/>
        <w:rPr>
          <w:sz w:val="20"/>
          <w:szCs w:val="20"/>
          <w:color w:val="auto"/>
        </w:rPr>
      </w:pPr>
    </w:p>
    <w:p>
      <w:pPr>
        <w:jc w:val="both"/>
        <w:ind w:firstLine="574"/>
        <w:spacing w:after="0" w:line="283"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concurrently herewith, Acquiror, the Company, First Merger Sub, Second Merger Sub have entered into that certain second amendment to the Merger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 (“</w:t>
      </w:r>
      <w:r>
        <w:rPr>
          <w:rFonts w:ascii="Times New Roman" w:cs="Times New Roman" w:eastAsia="Times New Roman" w:hAnsi="Times New Roman"/>
          <w:sz w:val="16"/>
          <w:szCs w:val="16"/>
          <w:u w:val="single" w:color="auto"/>
          <w:color w:val="auto"/>
        </w:rPr>
        <w:t>Second Amendment to Merger Agreement</w:t>
      </w:r>
      <w:r>
        <w:rPr>
          <w:rFonts w:ascii="Times New Roman" w:cs="Times New Roman" w:eastAsia="Times New Roman" w:hAnsi="Times New Roman"/>
          <w:sz w:val="16"/>
          <w:szCs w:val="16"/>
          <w:color w:val="auto"/>
        </w:rPr>
        <w:t>”); and</w:t>
      </w:r>
    </w:p>
    <w:p>
      <w:pPr>
        <w:spacing w:after="0" w:line="140" w:lineRule="exact"/>
        <w:rPr>
          <w:sz w:val="20"/>
          <w:szCs w:val="20"/>
          <w:color w:val="auto"/>
        </w:rPr>
      </w:pPr>
    </w:p>
    <w:p>
      <w:pPr>
        <w:jc w:val="both"/>
        <w:ind w:right="20" w:firstLine="574"/>
        <w:spacing w:after="0" w:line="283"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as an inducement to Acquiror and the Company to enter the Second Amendment to Merger Agreement and to consummate the transactions contemplated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by the Merger Agreement, as so amended, the parties hereto desire to agree to certain matters as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358775</wp:posOffset>
            </wp:positionV>
            <wp:extent cx="7148195" cy="152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24" w:name="page225"/>
    <w:bookmarkEnd w:id="224"/>
    <w:p>
      <w:pPr>
        <w:jc w:val="center"/>
        <w:spacing w:after="0"/>
        <w:rPr>
          <w:sz w:val="20"/>
          <w:szCs w:val="20"/>
          <w:color w:val="auto"/>
        </w:rPr>
      </w:pPr>
      <w:r>
        <w:rPr>
          <w:rFonts w:ascii="Times New Roman" w:cs="Times New Roman" w:eastAsia="Times New Roman" w:hAnsi="Times New Roman"/>
          <w:sz w:val="16"/>
          <w:szCs w:val="16"/>
          <w:b w:val="1"/>
          <w:bCs w:val="1"/>
          <w:color w:val="auto"/>
        </w:rPr>
        <w:t>AGREEMENT</w:t>
      </w:r>
    </w:p>
    <w:p>
      <w:pPr>
        <w:spacing w:after="0" w:line="200" w:lineRule="exact"/>
        <w:rPr>
          <w:sz w:val="20"/>
          <w:szCs w:val="20"/>
          <w:color w:val="auto"/>
        </w:rPr>
      </w:pPr>
    </w:p>
    <w:p>
      <w:pPr>
        <w:jc w:val="both"/>
        <w:ind w:firstLine="1147"/>
        <w:spacing w:after="0" w:line="280" w:lineRule="auto"/>
        <w:rPr>
          <w:sz w:val="20"/>
          <w:szCs w:val="20"/>
          <w:color w:val="auto"/>
        </w:rPr>
      </w:pPr>
      <w:r>
        <w:rPr>
          <w:rFonts w:ascii="Times New Roman" w:cs="Times New Roman" w:eastAsia="Times New Roman" w:hAnsi="Times New Roman"/>
          <w:sz w:val="16"/>
          <w:szCs w:val="16"/>
          <w:color w:val="auto"/>
        </w:rPr>
        <w:t>NOW, THEREFORE, in consideration of the foregoing and the mutual agreements contained herein, and intending to be legally bound hereby, the parties hereto hereby agree as follows:</w:t>
      </w:r>
    </w:p>
    <w:p>
      <w:pPr>
        <w:spacing w:after="0" w:line="14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ARTICLE 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SPONSOR SUPPORT AGREEMENT; COVENANTS</w:t>
      </w:r>
    </w:p>
    <w:p>
      <w:pPr>
        <w:spacing w:after="0" w:line="182" w:lineRule="exact"/>
        <w:rPr>
          <w:sz w:val="20"/>
          <w:szCs w:val="20"/>
          <w:color w:val="auto"/>
        </w:rPr>
      </w:pPr>
    </w:p>
    <w:p>
      <w:pPr>
        <w:jc w:val="both"/>
        <w:ind w:right="20" w:firstLine="1721"/>
        <w:spacing w:after="0" w:line="259" w:lineRule="auto"/>
        <w:rPr>
          <w:sz w:val="20"/>
          <w:szCs w:val="20"/>
          <w:color w:val="auto"/>
        </w:rPr>
      </w:pPr>
      <w:r>
        <w:rPr>
          <w:rFonts w:ascii="Times New Roman" w:cs="Times New Roman" w:eastAsia="Times New Roman" w:hAnsi="Times New Roman"/>
          <w:sz w:val="16"/>
          <w:szCs w:val="16"/>
          <w:color w:val="auto"/>
        </w:rPr>
        <w:t xml:space="preserve">Section 1.1 </w:t>
      </w:r>
      <w:r>
        <w:rPr>
          <w:rFonts w:ascii="Times New Roman" w:cs="Times New Roman" w:eastAsia="Times New Roman" w:hAnsi="Times New Roman"/>
          <w:sz w:val="16"/>
          <w:szCs w:val="16"/>
          <w:u w:val="single" w:color="auto"/>
          <w:color w:val="auto"/>
        </w:rPr>
        <w:t>Binding Effect of Merger Agreement</w:t>
      </w:r>
      <w:r>
        <w:rPr>
          <w:rFonts w:ascii="Times New Roman" w:cs="Times New Roman" w:eastAsia="Times New Roman" w:hAnsi="Times New Roman"/>
          <w:sz w:val="16"/>
          <w:szCs w:val="16"/>
          <w:color w:val="auto"/>
        </w:rPr>
        <w:t>. Each Sponsor Party hereby acknowledges that it has read the Merger Agreement and this Sponsor Agreement and has had the opportunity to consult with its tax and legal advisors. Each Sponsor Party shall be bound by and comply with Sections 7.11 (</w:t>
      </w:r>
      <w:r>
        <w:rPr>
          <w:rFonts w:ascii="Times New Roman" w:cs="Times New Roman" w:eastAsia="Times New Roman" w:hAnsi="Times New Roman"/>
          <w:sz w:val="16"/>
          <w:szCs w:val="16"/>
          <w:i w:val="1"/>
          <w:iCs w:val="1"/>
          <w:color w:val="auto"/>
        </w:rPr>
        <w:t>No Solicitation</w:t>
      </w:r>
      <w:r>
        <w:rPr>
          <w:rFonts w:ascii="Times New Roman" w:cs="Times New Roman" w:eastAsia="Times New Roman" w:hAnsi="Times New Roman"/>
          <w:sz w:val="16"/>
          <w:szCs w:val="16"/>
          <w:color w:val="auto"/>
        </w:rPr>
        <w:t>) and 8.05 (</w:t>
      </w:r>
      <w:r>
        <w:rPr>
          <w:rFonts w:ascii="Times New Roman" w:cs="Times New Roman" w:eastAsia="Times New Roman" w:hAnsi="Times New Roman"/>
          <w:sz w:val="16"/>
          <w:szCs w:val="16"/>
          <w:i w:val="1"/>
          <w:iCs w:val="1"/>
          <w:color w:val="auto"/>
        </w:rPr>
        <w:t>Confidentiality; Publicity</w:t>
      </w:r>
      <w:r>
        <w:rPr>
          <w:rFonts w:ascii="Times New Roman" w:cs="Times New Roman" w:eastAsia="Times New Roman" w:hAnsi="Times New Roman"/>
          <w:sz w:val="16"/>
          <w:szCs w:val="16"/>
          <w:color w:val="auto"/>
        </w:rPr>
        <w:t>) of the Merger Agreement (and any relevant definitions contained in any such Sections) as if such Sponsor Party was an original signatory to the Merger Agreement solely with respect to such provisions.</w:t>
      </w:r>
    </w:p>
    <w:p>
      <w:pPr>
        <w:spacing w:after="0" w:line="162" w:lineRule="exact"/>
        <w:rPr>
          <w:sz w:val="20"/>
          <w:szCs w:val="20"/>
          <w:color w:val="auto"/>
        </w:rPr>
      </w:pPr>
    </w:p>
    <w:p>
      <w:pPr>
        <w:jc w:val="both"/>
        <w:ind w:firstLine="1721"/>
        <w:spacing w:after="0" w:line="252" w:lineRule="auto"/>
        <w:rPr>
          <w:sz w:val="20"/>
          <w:szCs w:val="20"/>
          <w:color w:val="auto"/>
        </w:rPr>
      </w:pPr>
      <w:r>
        <w:rPr>
          <w:rFonts w:ascii="Times New Roman" w:cs="Times New Roman" w:eastAsia="Times New Roman" w:hAnsi="Times New Roman"/>
          <w:sz w:val="16"/>
          <w:szCs w:val="16"/>
          <w:color w:val="auto"/>
        </w:rPr>
        <w:t xml:space="preserve">Section 1.2 </w:t>
      </w:r>
      <w:r>
        <w:rPr>
          <w:rFonts w:ascii="Times New Roman" w:cs="Times New Roman" w:eastAsia="Times New Roman" w:hAnsi="Times New Roman"/>
          <w:sz w:val="16"/>
          <w:szCs w:val="16"/>
          <w:u w:val="single" w:color="auto"/>
          <w:color w:val="auto"/>
        </w:rPr>
        <w:t>No Transfer</w:t>
      </w:r>
      <w:r>
        <w:rPr>
          <w:rFonts w:ascii="Times New Roman" w:cs="Times New Roman" w:eastAsia="Times New Roman" w:hAnsi="Times New Roman"/>
          <w:sz w:val="16"/>
          <w:szCs w:val="16"/>
          <w:color w:val="auto"/>
        </w:rPr>
        <w:t>. During the period commencing on the date hereof and ending on the earliest of (a) the Effective Time, (b) such date and time as the Merger Agreement shall be terminated in accordance with Section 10.01 thereof (the earlier of (a) and (b), the “</w:t>
      </w:r>
      <w:r>
        <w:rPr>
          <w:rFonts w:ascii="Times New Roman" w:cs="Times New Roman" w:eastAsia="Times New Roman" w:hAnsi="Times New Roman"/>
          <w:sz w:val="16"/>
          <w:szCs w:val="16"/>
          <w:u w:val="single" w:color="auto"/>
          <w:color w:val="auto"/>
        </w:rPr>
        <w:t>Expiration Time</w:t>
      </w:r>
      <w:r>
        <w:rPr>
          <w:rFonts w:ascii="Times New Roman" w:cs="Times New Roman" w:eastAsia="Times New Roman" w:hAnsi="Times New Roman"/>
          <w:sz w:val="16"/>
          <w:szCs w:val="16"/>
          <w:color w:val="auto"/>
        </w:rPr>
        <w:t>”) and (c) the liquidation of Acquiror, other than to effect the Founder Share Transfers, each Sponsor Party shall not, without the prior written consent of the Company, (i) sell, publicly offer to sell, enter into contract or agree to sell, hypothecate, pledge, grant any option to purchase or otherwise dispose of or agree to dispose of, directly or indirectly, file (or participate in the filing of) a registration statement with the SEC (other than the Proxy Statement/Registration Statement) or establish or increase a put equivalent position or liquidate or decrease a call equivalent position within the meaning of Section 16 of the Exchange Act, with respect to any Subject Securities owned by such Sponsor Party (unless the transferee agrees to be bound by this Sponsor Agreement), (ii) enter into any swap or other arrangement that transfers to another, in whole or in part, any of the economic consequences of ownership of any Subject Securities owned by such Sponsor Party or (iii) publicly announce any intention to effect any transaction specified in clause (i) or (ii). The preceding sentence does not apply to the exercise by Cindat USA LLC of its rights under that certain letter agreement, dated December 13, 2020, among Cindat USA LLC, Ventoux Acquisition, and (with respect to certain provisions) Edward Scheetz.</w:t>
      </w:r>
    </w:p>
    <w:p>
      <w:pPr>
        <w:spacing w:after="0" w:line="171" w:lineRule="exact"/>
        <w:rPr>
          <w:sz w:val="20"/>
          <w:szCs w:val="20"/>
          <w:color w:val="auto"/>
        </w:rPr>
      </w:pPr>
    </w:p>
    <w:p>
      <w:pPr>
        <w:jc w:val="both"/>
        <w:ind w:firstLine="1721"/>
        <w:spacing w:after="0" w:line="253" w:lineRule="auto"/>
        <w:rPr>
          <w:sz w:val="20"/>
          <w:szCs w:val="20"/>
          <w:color w:val="auto"/>
        </w:rPr>
      </w:pPr>
      <w:r>
        <w:rPr>
          <w:rFonts w:ascii="Times New Roman" w:cs="Times New Roman" w:eastAsia="Times New Roman" w:hAnsi="Times New Roman"/>
          <w:sz w:val="16"/>
          <w:szCs w:val="16"/>
          <w:color w:val="auto"/>
        </w:rPr>
        <w:t xml:space="preserve">Section 1.3 </w:t>
      </w:r>
      <w:r>
        <w:rPr>
          <w:rFonts w:ascii="Times New Roman" w:cs="Times New Roman" w:eastAsia="Times New Roman" w:hAnsi="Times New Roman"/>
          <w:sz w:val="16"/>
          <w:szCs w:val="16"/>
          <w:u w:val="single" w:color="auto"/>
          <w:color w:val="auto"/>
        </w:rPr>
        <w:t>New Shares</w:t>
      </w:r>
      <w:r>
        <w:rPr>
          <w:rFonts w:ascii="Times New Roman" w:cs="Times New Roman" w:eastAsia="Times New Roman" w:hAnsi="Times New Roman"/>
          <w:sz w:val="16"/>
          <w:szCs w:val="16"/>
          <w:color w:val="auto"/>
        </w:rPr>
        <w:t>. In the event that (a) any Acquiror Common Stock, Acquiror Warrants, Acquiror Private Placement Warrants, Acquiror Rights or other equity securities of Acquiror are issued to a Sponsor Party after the date of this Sponsor Agreement pursuant to any stock dividend, stock split, recapitalization, reclassification, combination or exchange of Acquiror Common Stock, Acquiror Warrants or Acquiror Rights of, on or affecting the Acquiror Common Stock, Acquiror Warrants or Acquiror Rights owned by such Sponsor Party or otherwise, (b) a Sponsor Party purchases or otherwise acquires beneficial ownership of any Acquiror Common Stock, Acquiror Warrants, Acquiror Rights or other equity securities of Acquiror after the date of this Sponsor Agreement, or (c) a Sponsor Party acquires the right to vote or share in the voting of any Acquiror Common Stock or other equity securities of Acquiror after the date of this Sponsor Agreement (such Acquiror Common Stock, Acquiror Warrants or other equity securities of Acquiror, collectively the “</w:t>
      </w:r>
      <w:r>
        <w:rPr>
          <w:rFonts w:ascii="Times New Roman" w:cs="Times New Roman" w:eastAsia="Times New Roman" w:hAnsi="Times New Roman"/>
          <w:sz w:val="16"/>
          <w:szCs w:val="16"/>
          <w:u w:val="single" w:color="auto"/>
          <w:color w:val="auto"/>
        </w:rPr>
        <w:t>New Securities</w:t>
      </w:r>
      <w:r>
        <w:rPr>
          <w:rFonts w:ascii="Times New Roman" w:cs="Times New Roman" w:eastAsia="Times New Roman" w:hAnsi="Times New Roman"/>
          <w:sz w:val="16"/>
          <w:szCs w:val="16"/>
          <w:color w:val="auto"/>
        </w:rPr>
        <w:t>”), then, to the extent of such Sponsor Party’s control of such New Securities, such New Securities acquired or purchased by such Sponsor Party shall be subject to the terms of this Sponsor Agreement to the same extent as if they constituted the Subject Securities owned by such Sponsor Party as of the date hereof.</w:t>
      </w:r>
    </w:p>
    <w:p>
      <w:pPr>
        <w:spacing w:after="0" w:line="166" w:lineRule="exact"/>
        <w:rPr>
          <w:sz w:val="20"/>
          <w:szCs w:val="20"/>
          <w:color w:val="auto"/>
        </w:rPr>
      </w:pPr>
    </w:p>
    <w:p>
      <w:pPr>
        <w:jc w:val="both"/>
        <w:ind w:firstLine="1721"/>
        <w:spacing w:after="0" w:line="259" w:lineRule="auto"/>
        <w:rPr>
          <w:sz w:val="20"/>
          <w:szCs w:val="20"/>
          <w:color w:val="auto"/>
        </w:rPr>
      </w:pPr>
      <w:r>
        <w:rPr>
          <w:rFonts w:ascii="Times New Roman" w:cs="Times New Roman" w:eastAsia="Times New Roman" w:hAnsi="Times New Roman"/>
          <w:sz w:val="16"/>
          <w:szCs w:val="16"/>
          <w:color w:val="auto"/>
        </w:rPr>
        <w:t xml:space="preserve">Section 1.4 </w:t>
      </w:r>
      <w:r>
        <w:rPr>
          <w:rFonts w:ascii="Times New Roman" w:cs="Times New Roman" w:eastAsia="Times New Roman" w:hAnsi="Times New Roman"/>
          <w:sz w:val="16"/>
          <w:szCs w:val="16"/>
          <w:u w:val="single" w:color="auto"/>
          <w:color w:val="auto"/>
        </w:rPr>
        <w:t>Closing Date Deliverables</w:t>
      </w:r>
      <w:r>
        <w:rPr>
          <w:rFonts w:ascii="Times New Roman" w:cs="Times New Roman" w:eastAsia="Times New Roman" w:hAnsi="Times New Roman"/>
          <w:sz w:val="16"/>
          <w:szCs w:val="16"/>
          <w:color w:val="auto"/>
        </w:rPr>
        <w:t>. On the Closing Date, (a) Ventoux Acquisition shall deliver to Acquiror and the Company a duly executed copy of that certain Amended and Restated Registration Rights Agreement, by and among Acquiror, the Company, the Sponsor Parties, certain Affiliates of the Sponsor Parties and certain of the Company’s stockholders or their respective affiliates, as applicable, in substantially the form attached as Exhibit F to the Merger Agreement (the “</w:t>
      </w:r>
      <w:r>
        <w:rPr>
          <w:rFonts w:ascii="Times New Roman" w:cs="Times New Roman" w:eastAsia="Times New Roman" w:hAnsi="Times New Roman"/>
          <w:sz w:val="16"/>
          <w:szCs w:val="16"/>
          <w:u w:val="single" w:color="auto"/>
          <w:color w:val="auto"/>
        </w:rPr>
        <w:t>Registration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Rights Agreement</w:t>
      </w:r>
      <w:r>
        <w:rPr>
          <w:rFonts w:ascii="Times New Roman" w:cs="Times New Roman" w:eastAsia="Times New Roman" w:hAnsi="Times New Roman"/>
          <w:sz w:val="16"/>
          <w:szCs w:val="16"/>
          <w:color w:val="auto"/>
        </w:rPr>
        <w:t>”) and (b) Acquiror shall deliver to the Sponsors (and the Insiders, as applicable) a duly executed copy of the Registration Rights Agreement.</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225" w:name="page226"/>
    <w:bookmarkEnd w:id="225"/>
    <w:p>
      <w:pPr>
        <w:ind w:left="1720"/>
        <w:spacing w:after="0"/>
        <w:rPr>
          <w:sz w:val="20"/>
          <w:szCs w:val="20"/>
          <w:color w:val="auto"/>
        </w:rPr>
      </w:pPr>
      <w:r>
        <w:rPr>
          <w:rFonts w:ascii="Times New Roman" w:cs="Times New Roman" w:eastAsia="Times New Roman" w:hAnsi="Times New Roman"/>
          <w:sz w:val="16"/>
          <w:szCs w:val="16"/>
          <w:color w:val="auto"/>
        </w:rPr>
        <w:t xml:space="preserve">Section 1.5 </w:t>
      </w:r>
      <w:r>
        <w:rPr>
          <w:rFonts w:ascii="Times New Roman" w:cs="Times New Roman" w:eastAsia="Times New Roman" w:hAnsi="Times New Roman"/>
          <w:sz w:val="16"/>
          <w:szCs w:val="16"/>
          <w:u w:val="single" w:color="auto"/>
          <w:color w:val="auto"/>
        </w:rPr>
        <w:t>Sponsor Party Agreements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716"/>
        <w:spacing w:after="0" w:line="257" w:lineRule="auto"/>
        <w:tabs>
          <w:tab w:leader="none" w:pos="1949" w:val="left"/>
        </w:tabs>
        <w:numPr>
          <w:ilvl w:val="0"/>
          <w:numId w:val="2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Expiration Time, at any meeting of the shareholders of Acquiror, however called, or at any adjournment thereof, or in any other circumstance in which the vote, consent or other approval of the shareholders of Acquiror is sought, each Sponsor Party shall, solely in its capacity as a record owner of common stock of Acquiror, (i) appear at each such meeting or otherwise cause all of its Acquiror Common Stock to be counted as present thereat for purposes of calculating a quorum and (ii) vote (or cause to be voted), or execute and deliver a written consent (or cause a written consent to be executed and delivered) covering, all of its Acquiror Common Stock:</w:t>
      </w:r>
    </w:p>
    <w:p>
      <w:pPr>
        <w:spacing w:after="0" w:line="162" w:lineRule="exact"/>
        <w:rPr>
          <w:rFonts w:ascii="Times New Roman" w:cs="Times New Roman" w:eastAsia="Times New Roman" w:hAnsi="Times New Roman"/>
          <w:sz w:val="16"/>
          <w:szCs w:val="16"/>
          <w:color w:val="auto"/>
        </w:rPr>
      </w:pPr>
    </w:p>
    <w:p>
      <w:pPr>
        <w:ind w:left="2760" w:hanging="183"/>
        <w:spacing w:after="0"/>
        <w:tabs>
          <w:tab w:leader="none" w:pos="2760" w:val="left"/>
        </w:tabs>
        <w:numPr>
          <w:ilvl w:val="1"/>
          <w:numId w:val="2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favor of each Proposal;</w:t>
      </w:r>
    </w:p>
    <w:p>
      <w:pPr>
        <w:spacing w:after="0" w:line="198" w:lineRule="exact"/>
        <w:rPr>
          <w:rFonts w:ascii="Times New Roman" w:cs="Times New Roman" w:eastAsia="Times New Roman" w:hAnsi="Times New Roman"/>
          <w:sz w:val="16"/>
          <w:szCs w:val="16"/>
          <w:color w:val="auto"/>
        </w:rPr>
      </w:pPr>
    </w:p>
    <w:p>
      <w:pPr>
        <w:ind w:left="2820" w:hanging="243"/>
        <w:spacing w:after="0"/>
        <w:tabs>
          <w:tab w:leader="none" w:pos="2820" w:val="left"/>
        </w:tabs>
        <w:numPr>
          <w:ilvl w:val="1"/>
          <w:numId w:val="2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against any Business Combination Proposal or any proposal relating to a Business Combination Proposal (in each case, other than</w:t>
      </w:r>
    </w:p>
    <w:p>
      <w:pPr>
        <w:spacing w:after="0" w:line="23" w:lineRule="exact"/>
        <w:rPr>
          <w:rFonts w:ascii="Times New Roman" w:cs="Times New Roman" w:eastAsia="Times New Roman" w:hAnsi="Times New Roman"/>
          <w:sz w:val="16"/>
          <w:szCs w:val="16"/>
          <w:color w:val="auto"/>
        </w:rPr>
      </w:pPr>
    </w:p>
    <w:p>
      <w:pPr>
        <w:ind w:left="5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Proposals);</w:t>
      </w:r>
    </w:p>
    <w:p>
      <w:pPr>
        <w:spacing w:after="0" w:line="181" w:lineRule="exact"/>
        <w:rPr>
          <w:rFonts w:ascii="Times New Roman" w:cs="Times New Roman" w:eastAsia="Times New Roman" w:hAnsi="Times New Roman"/>
          <w:sz w:val="16"/>
          <w:szCs w:val="16"/>
          <w:color w:val="auto"/>
        </w:rPr>
      </w:pPr>
    </w:p>
    <w:p>
      <w:pPr>
        <w:ind w:left="560" w:right="20" w:firstLine="2017"/>
        <w:spacing w:after="0" w:line="280" w:lineRule="auto"/>
        <w:tabs>
          <w:tab w:leader="none" w:pos="2846" w:val="left"/>
        </w:tabs>
        <w:numPr>
          <w:ilvl w:val="1"/>
          <w:numId w:val="2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against any merger agreement or merger (other than the Merger Agreement and the Mergers), consolidation, combination, sale of substantial assets, reorganization, recapitalization, dissolution, liquidation or winding up of or by Acquiror;</w:t>
      </w:r>
    </w:p>
    <w:p>
      <w:pPr>
        <w:spacing w:after="0" w:line="144" w:lineRule="exact"/>
        <w:rPr>
          <w:rFonts w:ascii="Times New Roman" w:cs="Times New Roman" w:eastAsia="Times New Roman" w:hAnsi="Times New Roman"/>
          <w:sz w:val="16"/>
          <w:szCs w:val="16"/>
          <w:color w:val="auto"/>
        </w:rPr>
      </w:pPr>
    </w:p>
    <w:p>
      <w:pPr>
        <w:ind w:left="2840" w:hanging="263"/>
        <w:spacing w:after="0"/>
        <w:tabs>
          <w:tab w:leader="none" w:pos="2840" w:val="left"/>
        </w:tabs>
        <w:numPr>
          <w:ilvl w:val="1"/>
          <w:numId w:val="2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against any change in the business, management or Board of Directors of Acquiror (other than in connection with the Proposals);</w:t>
      </w:r>
    </w:p>
    <w:p>
      <w:pPr>
        <w:spacing w:after="0" w:line="23" w:lineRule="exact"/>
        <w:rPr>
          <w:rFonts w:ascii="Times New Roman" w:cs="Times New Roman" w:eastAsia="Times New Roman" w:hAnsi="Times New Roman"/>
          <w:sz w:val="16"/>
          <w:szCs w:val="16"/>
          <w:color w:val="auto"/>
        </w:rPr>
      </w:pPr>
    </w:p>
    <w:p>
      <w:pPr>
        <w:ind w:left="5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and</w:t>
      </w:r>
    </w:p>
    <w:p>
      <w:pPr>
        <w:spacing w:after="0" w:line="181" w:lineRule="exact"/>
        <w:rPr>
          <w:rFonts w:ascii="Times New Roman" w:cs="Times New Roman" w:eastAsia="Times New Roman" w:hAnsi="Times New Roman"/>
          <w:sz w:val="16"/>
          <w:szCs w:val="16"/>
          <w:color w:val="auto"/>
        </w:rPr>
      </w:pPr>
    </w:p>
    <w:p>
      <w:pPr>
        <w:jc w:val="both"/>
        <w:ind w:left="560" w:right="20" w:firstLine="2017"/>
        <w:spacing w:after="0" w:line="259" w:lineRule="auto"/>
        <w:tabs>
          <w:tab w:leader="none" w:pos="2817" w:val="left"/>
        </w:tabs>
        <w:numPr>
          <w:ilvl w:val="1"/>
          <w:numId w:val="2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against any proposal, action or agreement that would (A) impede, frustrate, prevent or nullify any provision of this Sponsor Agreement, the Merger Agreement or the Mergers, (B) result in a breach in any respect of any covenant, representation, warranty or any other obligation or agreement of Acquiror, First Merger Sub or Second Merger Sub under the Merger Agreement, (C) result in any of the conditions set forth in Article IX of the Merger Agreement not being fulfilled or (D) change in any manner the dividend policy or capitalization of, including the voting rights of any class of capital stock of, Acquiror.</w:t>
      </w:r>
    </w:p>
    <w:p>
      <w:pPr>
        <w:spacing w:after="0" w:line="162" w:lineRule="exact"/>
        <w:rPr>
          <w:sz w:val="20"/>
          <w:szCs w:val="20"/>
          <w:color w:val="auto"/>
        </w:rPr>
      </w:pPr>
    </w:p>
    <w:p>
      <w:pPr>
        <w:ind w:firstLine="574"/>
        <w:spacing w:after="0" w:line="280" w:lineRule="auto"/>
        <w:rPr>
          <w:sz w:val="20"/>
          <w:szCs w:val="20"/>
          <w:color w:val="auto"/>
        </w:rPr>
      </w:pPr>
      <w:r>
        <w:rPr>
          <w:rFonts w:ascii="Times New Roman" w:cs="Times New Roman" w:eastAsia="Times New Roman" w:hAnsi="Times New Roman"/>
          <w:sz w:val="16"/>
          <w:szCs w:val="16"/>
          <w:color w:val="auto"/>
        </w:rPr>
        <w:t xml:space="preserve">Each Sponsor Party hereby agrees, in such Person’s capacity as a record owner of, or owner of interests representing the economic benefits of, common stock of Acquiror, that such Sponsor Party shall not commit or agree to take any action inconsistent with the foregoing obligation set forth in </w:t>
      </w:r>
      <w:r>
        <w:rPr>
          <w:rFonts w:ascii="Times New Roman" w:cs="Times New Roman" w:eastAsia="Times New Roman" w:hAnsi="Times New Roman"/>
          <w:sz w:val="16"/>
          <w:szCs w:val="16"/>
          <w:u w:val="single" w:color="auto"/>
          <w:color w:val="auto"/>
        </w:rPr>
        <w:t>Section 1.5(a)</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(b) Each Sponsor Party shall comply with, and fully perform all of its obligations, covenants and agreements set forth in, the Insider Letter (as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defined below).</w:t>
      </w:r>
    </w:p>
    <w:p>
      <w:pPr>
        <w:spacing w:after="0" w:line="182" w:lineRule="exact"/>
        <w:rPr>
          <w:sz w:val="20"/>
          <w:szCs w:val="20"/>
          <w:color w:val="auto"/>
        </w:rPr>
      </w:pPr>
    </w:p>
    <w:p>
      <w:pPr>
        <w:ind w:left="1940" w:hanging="224"/>
        <w:spacing w:after="0"/>
        <w:tabs>
          <w:tab w:leader="none" w:pos="1940" w:val="left"/>
        </w:tabs>
        <w:numPr>
          <w:ilvl w:val="0"/>
          <w:numId w:val="2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Sponsor Party agrees not to redeem any of its, his or her shares of Acquiror Common Stock in connection with the Mergers.</w:t>
      </w:r>
    </w:p>
    <w:p>
      <w:pPr>
        <w:spacing w:after="0" w:line="198" w:lineRule="exact"/>
        <w:rPr>
          <w:rFonts w:ascii="Times New Roman" w:cs="Times New Roman" w:eastAsia="Times New Roman" w:hAnsi="Times New Roman"/>
          <w:sz w:val="16"/>
          <w:szCs w:val="16"/>
          <w:color w:val="auto"/>
        </w:rPr>
      </w:pPr>
    </w:p>
    <w:p>
      <w:pPr>
        <w:ind w:right="20" w:firstLine="1716"/>
        <w:spacing w:after="0" w:line="280" w:lineRule="auto"/>
        <w:tabs>
          <w:tab w:leader="none" w:pos="1954" w:val="left"/>
        </w:tabs>
        <w:numPr>
          <w:ilvl w:val="0"/>
          <w:numId w:val="2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During the period commencing on the date hereof and ending on the earlier of the Effective Date and the termination of the Merger Agreement pursuant to Section 10.01 thereof, without the prior written consent of the Company, each Sponsor Party shall not modify or amend any Contract listed on </w:t>
      </w:r>
      <w:r>
        <w:rPr>
          <w:rFonts w:ascii="Times New Roman" w:cs="Times New Roman" w:eastAsia="Times New Roman" w:hAnsi="Times New Roman"/>
          <w:sz w:val="16"/>
          <w:szCs w:val="16"/>
          <w:u w:val="single" w:color="auto"/>
          <w:color w:val="auto"/>
        </w:rPr>
        <w:t>Schedule II</w:t>
      </w:r>
      <w:r>
        <w:rPr>
          <w:rFonts w:ascii="Times New Roman" w:cs="Times New Roman" w:eastAsia="Times New Roman" w:hAnsi="Times New Roman"/>
          <w:sz w:val="16"/>
          <w:szCs w:val="16"/>
          <w:color w:val="auto"/>
        </w:rPr>
        <w:t xml:space="preserve"> hereto.</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26" w:name="page227"/>
    <w:bookmarkEnd w:id="226"/>
    <w:p>
      <w:pPr>
        <w:ind w:left="1720"/>
        <w:spacing w:after="0"/>
        <w:rPr>
          <w:sz w:val="20"/>
          <w:szCs w:val="20"/>
          <w:color w:val="auto"/>
        </w:rPr>
      </w:pPr>
      <w:r>
        <w:rPr>
          <w:rFonts w:ascii="Times New Roman" w:cs="Times New Roman" w:eastAsia="Times New Roman" w:hAnsi="Times New Roman"/>
          <w:sz w:val="16"/>
          <w:szCs w:val="16"/>
          <w:color w:val="auto"/>
        </w:rPr>
        <w:t xml:space="preserve">Section 1.6 </w:t>
      </w:r>
      <w:r>
        <w:rPr>
          <w:rFonts w:ascii="Times New Roman" w:cs="Times New Roman" w:eastAsia="Times New Roman" w:hAnsi="Times New Roman"/>
          <w:sz w:val="16"/>
          <w:szCs w:val="16"/>
          <w:u w:val="single" w:color="auto"/>
          <w:color w:val="auto"/>
        </w:rPr>
        <w:t>Lock-up</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716"/>
        <w:spacing w:after="0" w:line="257" w:lineRule="auto"/>
        <w:tabs>
          <w:tab w:leader="none" w:pos="1937" w:val="left"/>
        </w:tabs>
        <w:numPr>
          <w:ilvl w:val="0"/>
          <w:numId w:val="2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w:t>
      </w:r>
      <w:r>
        <w:rPr>
          <w:rFonts w:ascii="Times New Roman" w:cs="Times New Roman" w:eastAsia="Times New Roman" w:hAnsi="Times New Roman"/>
          <w:sz w:val="16"/>
          <w:szCs w:val="16"/>
          <w:u w:val="single" w:color="auto"/>
          <w:color w:val="auto"/>
        </w:rPr>
        <w:t>Section 1.6(c)</w:t>
      </w:r>
      <w:r>
        <w:rPr>
          <w:rFonts w:ascii="Times New Roman" w:cs="Times New Roman" w:eastAsia="Times New Roman" w:hAnsi="Times New Roman"/>
          <w:sz w:val="16"/>
          <w:szCs w:val="16"/>
          <w:color w:val="auto"/>
        </w:rPr>
        <w:t>, each Sponsor Party agrees that it shall not Transfer any of its, his or her shares of Acquiror Common Stock as set forth opposite such Sponsor Party’s name on Schedule I attached hereto (in respect of each Sponsor Party, the “</w:t>
      </w:r>
      <w:r>
        <w:rPr>
          <w:rFonts w:ascii="Times New Roman" w:cs="Times New Roman" w:eastAsia="Times New Roman" w:hAnsi="Times New Roman"/>
          <w:sz w:val="16"/>
          <w:szCs w:val="16"/>
          <w:u w:val="single" w:color="auto"/>
          <w:color w:val="auto"/>
        </w:rPr>
        <w:t>Founder Shares</w:t>
      </w:r>
      <w:r>
        <w:rPr>
          <w:rFonts w:ascii="Times New Roman" w:cs="Times New Roman" w:eastAsia="Times New Roman" w:hAnsi="Times New Roman"/>
          <w:sz w:val="16"/>
          <w:szCs w:val="16"/>
          <w:color w:val="auto"/>
        </w:rPr>
        <w:t>”) during the period beginning on the Closing Date until, in respect of all of its, his or her Founder Shares that are owned immediately after the Closing, the date that is eighteen (18) months from and after the Closing Date (such period, the “</w:t>
      </w:r>
      <w:r>
        <w:rPr>
          <w:rFonts w:ascii="Times New Roman" w:cs="Times New Roman" w:eastAsia="Times New Roman" w:hAnsi="Times New Roman"/>
          <w:sz w:val="16"/>
          <w:szCs w:val="16"/>
          <w:u w:val="single" w:color="auto"/>
          <w:color w:val="auto"/>
        </w:rPr>
        <w:t>Lock-Up Period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such prohibition shall not apply to Transfers (x) permitted pursuant to </w:t>
      </w:r>
      <w:r>
        <w:rPr>
          <w:rFonts w:ascii="Times New Roman" w:cs="Times New Roman" w:eastAsia="Times New Roman" w:hAnsi="Times New Roman"/>
          <w:sz w:val="16"/>
          <w:szCs w:val="16"/>
          <w:u w:val="single" w:color="auto"/>
          <w:color w:val="auto"/>
        </w:rPr>
        <w:t>Section 1.6(c)</w:t>
      </w:r>
      <w:r>
        <w:rPr>
          <w:rFonts w:ascii="Times New Roman" w:cs="Times New Roman" w:eastAsia="Times New Roman" w:hAnsi="Times New Roman"/>
          <w:sz w:val="16"/>
          <w:szCs w:val="16"/>
          <w:color w:val="auto"/>
        </w:rPr>
        <w:t xml:space="preserve"> or (y) permitted pursuant to the organizational documents of Acquiror, as in effect on the Closing Date, as the same may be amended from time to time (the “</w:t>
      </w:r>
      <w:r>
        <w:rPr>
          <w:rFonts w:ascii="Times New Roman" w:cs="Times New Roman" w:eastAsia="Times New Roman" w:hAnsi="Times New Roman"/>
          <w:sz w:val="16"/>
          <w:szCs w:val="16"/>
          <w:u w:val="single" w:color="auto"/>
          <w:color w:val="auto"/>
        </w:rPr>
        <w:t>Governing Documents</w:t>
      </w:r>
      <w:r>
        <w:rPr>
          <w:rFonts w:ascii="Times New Roman" w:cs="Times New Roman" w:eastAsia="Times New Roman" w:hAnsi="Times New Roman"/>
          <w:sz w:val="16"/>
          <w:szCs w:val="16"/>
          <w:color w:val="auto"/>
        </w:rPr>
        <w:t>”).</w:t>
      </w:r>
    </w:p>
    <w:p>
      <w:pPr>
        <w:spacing w:after="0" w:line="162" w:lineRule="exact"/>
        <w:rPr>
          <w:rFonts w:ascii="Times New Roman" w:cs="Times New Roman" w:eastAsia="Times New Roman" w:hAnsi="Times New Roman"/>
          <w:sz w:val="16"/>
          <w:szCs w:val="16"/>
          <w:color w:val="auto"/>
        </w:rPr>
      </w:pPr>
    </w:p>
    <w:p>
      <w:pPr>
        <w:ind w:left="1940" w:hanging="224"/>
        <w:spacing w:after="0"/>
        <w:tabs>
          <w:tab w:leader="none" w:pos="1940" w:val="left"/>
        </w:tabs>
        <w:numPr>
          <w:ilvl w:val="0"/>
          <w:numId w:val="2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Sponsor Party agrees that it shall not Transfer any Acquiror Warrants during the applicable Lock-Up Period.</w:t>
      </w:r>
    </w:p>
    <w:p>
      <w:pPr>
        <w:spacing w:after="0" w:line="198" w:lineRule="exact"/>
        <w:rPr>
          <w:rFonts w:ascii="Times New Roman" w:cs="Times New Roman" w:eastAsia="Times New Roman" w:hAnsi="Times New Roman"/>
          <w:sz w:val="16"/>
          <w:szCs w:val="16"/>
          <w:color w:val="auto"/>
        </w:rPr>
      </w:pPr>
    </w:p>
    <w:p>
      <w:pPr>
        <w:jc w:val="both"/>
        <w:ind w:right="20" w:firstLine="1716"/>
        <w:spacing w:after="0" w:line="257" w:lineRule="auto"/>
        <w:tabs>
          <w:tab w:leader="none" w:pos="1937" w:val="left"/>
        </w:tabs>
        <w:numPr>
          <w:ilvl w:val="0"/>
          <w:numId w:val="2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the provisions set forth in </w:t>
      </w:r>
      <w:r>
        <w:rPr>
          <w:rFonts w:ascii="Times New Roman" w:cs="Times New Roman" w:eastAsia="Times New Roman" w:hAnsi="Times New Roman"/>
          <w:sz w:val="16"/>
          <w:szCs w:val="16"/>
          <w:u w:val="single" w:color="auto"/>
          <w:color w:val="auto"/>
        </w:rPr>
        <w:t>Section 1.6(a)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(b)</w:t>
      </w:r>
      <w:r>
        <w:rPr>
          <w:rFonts w:ascii="Times New Roman" w:cs="Times New Roman" w:eastAsia="Times New Roman" w:hAnsi="Times New Roman"/>
          <w:sz w:val="16"/>
          <w:szCs w:val="16"/>
          <w:color w:val="auto"/>
        </w:rPr>
        <w:t xml:space="preserve">, Transfers of the Founder Shares and Acquiror Warrants that are that are held by a Sponsor Party or any of their permitted transferees (that have complied with this </w:t>
      </w:r>
      <w:r>
        <w:rPr>
          <w:rFonts w:ascii="Times New Roman" w:cs="Times New Roman" w:eastAsia="Times New Roman" w:hAnsi="Times New Roman"/>
          <w:sz w:val="16"/>
          <w:szCs w:val="16"/>
          <w:u w:val="single" w:color="auto"/>
          <w:color w:val="auto"/>
        </w:rPr>
        <w:t>Section 1.6(c)</w:t>
      </w:r>
      <w:r>
        <w:rPr>
          <w:rFonts w:ascii="Times New Roman" w:cs="Times New Roman" w:eastAsia="Times New Roman" w:hAnsi="Times New Roman"/>
          <w:sz w:val="16"/>
          <w:szCs w:val="16"/>
          <w:color w:val="auto"/>
        </w:rPr>
        <w:t xml:space="preserve">) are permitted in accordance with the Governing Documents;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any such Transfer shall be permitted only if, as a precondition to such Transfer, the transferee agrees in a writing, reasonably satisfactory in form and substance to Acquiror, to assume all of the obligations of the Sponsor Party under, and be bound by all of the terms of, this Agreement;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xml:space="preserve">, that any Transfer permitted under this </w:t>
      </w:r>
      <w:r>
        <w:rPr>
          <w:rFonts w:ascii="Times New Roman" w:cs="Times New Roman" w:eastAsia="Times New Roman" w:hAnsi="Times New Roman"/>
          <w:sz w:val="16"/>
          <w:szCs w:val="16"/>
          <w:u w:val="single" w:color="auto"/>
          <w:color w:val="auto"/>
        </w:rPr>
        <w:t>Section 1.6(c)</w:t>
      </w:r>
      <w:r>
        <w:rPr>
          <w:rFonts w:ascii="Times New Roman" w:cs="Times New Roman" w:eastAsia="Times New Roman" w:hAnsi="Times New Roman"/>
          <w:sz w:val="16"/>
          <w:szCs w:val="16"/>
          <w:color w:val="auto"/>
        </w:rPr>
        <w:t xml:space="preserve"> shall not relieve the Sponsor Party of its obligations under this Sponsor Agreement.</w:t>
      </w:r>
    </w:p>
    <w:p>
      <w:pPr>
        <w:spacing w:after="0" w:line="162" w:lineRule="exact"/>
        <w:rPr>
          <w:rFonts w:ascii="Times New Roman" w:cs="Times New Roman" w:eastAsia="Times New Roman" w:hAnsi="Times New Roman"/>
          <w:sz w:val="16"/>
          <w:szCs w:val="16"/>
          <w:color w:val="auto"/>
        </w:rPr>
      </w:pPr>
    </w:p>
    <w:p>
      <w:pPr>
        <w:ind w:firstLine="1716"/>
        <w:spacing w:after="0" w:line="280" w:lineRule="auto"/>
        <w:tabs>
          <w:tab w:leader="none" w:pos="1946" w:val="left"/>
        </w:tabs>
        <w:numPr>
          <w:ilvl w:val="0"/>
          <w:numId w:val="2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applicable Lock-Up Period for the respective Sponsor Parties, any purported Transfer of applicable Founder Shares not in accordance with this Sponsor Agreement shall be null and void, and Acquiror shall refuse to recognize any such Transfer for any purpose.</w:t>
      </w:r>
    </w:p>
    <w:p>
      <w:pPr>
        <w:spacing w:after="0" w:line="144" w:lineRule="exact"/>
        <w:rPr>
          <w:rFonts w:ascii="Times New Roman" w:cs="Times New Roman" w:eastAsia="Times New Roman" w:hAnsi="Times New Roman"/>
          <w:sz w:val="16"/>
          <w:szCs w:val="16"/>
          <w:color w:val="auto"/>
        </w:rPr>
      </w:pPr>
    </w:p>
    <w:p>
      <w:pPr>
        <w:jc w:val="both"/>
        <w:ind w:firstLine="1716"/>
        <w:spacing w:after="0" w:line="265" w:lineRule="auto"/>
        <w:tabs>
          <w:tab w:leader="none" w:pos="1949" w:val="left"/>
        </w:tabs>
        <w:numPr>
          <w:ilvl w:val="0"/>
          <w:numId w:val="2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Sponsor Parties acknowledge and agree that, notwithstanding anything to the contrary contained in this Agreement, the Founder Shares beneficially owned or otherwise held by such Person shall remain subject to any restrictions on Transfer under applicable securities Laws of any Governmental Authority, including all applicable holding periods under the Securities Act and other rules of the SEC.</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 xml:space="preserve">Section 1.7 </w:t>
      </w:r>
      <w:r>
        <w:rPr>
          <w:rFonts w:ascii="Times New Roman" w:cs="Times New Roman" w:eastAsia="Times New Roman" w:hAnsi="Times New Roman"/>
          <w:sz w:val="16"/>
          <w:szCs w:val="16"/>
          <w:u w:val="single" w:color="auto"/>
          <w:color w:val="auto"/>
        </w:rPr>
        <w:t>Vesting Provisions Applicable to Founder Shares.</w:t>
      </w:r>
    </w:p>
    <w:p>
      <w:pPr>
        <w:spacing w:after="0" w:line="198" w:lineRule="exact"/>
        <w:rPr>
          <w:sz w:val="20"/>
          <w:szCs w:val="20"/>
          <w:color w:val="auto"/>
        </w:rPr>
      </w:pPr>
    </w:p>
    <w:p>
      <w:pPr>
        <w:jc w:val="both"/>
        <w:ind w:firstLine="1716"/>
        <w:spacing w:after="0" w:line="265" w:lineRule="auto"/>
        <w:tabs>
          <w:tab w:leader="none" w:pos="1961" w:val="left"/>
        </w:tabs>
        <w:numPr>
          <w:ilvl w:val="0"/>
          <w:numId w:val="2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Vested Founder Shares</w:t>
      </w:r>
      <w:r>
        <w:rPr>
          <w:rFonts w:ascii="Times New Roman" w:cs="Times New Roman" w:eastAsia="Times New Roman" w:hAnsi="Times New Roman"/>
          <w:sz w:val="16"/>
          <w:szCs w:val="16"/>
          <w:color w:val="auto"/>
        </w:rPr>
        <w:t>. Each Sponsor agrees that, as of and contingent upon the consummation of the Closing, an aggregate of 2,689,187 Founder Shares (apportioned pro-rata between the Sponsors) shall be vested (but, for the avoidance of doubt, shall be subject to the transfer restrictions in Section 1.6 and any restrictions on Transfer under applicable securities Laws).</w:t>
      </w:r>
    </w:p>
    <w:p>
      <w:pPr>
        <w:spacing w:after="0" w:line="155" w:lineRule="exact"/>
        <w:rPr>
          <w:rFonts w:ascii="Times New Roman" w:cs="Times New Roman" w:eastAsia="Times New Roman" w:hAnsi="Times New Roman"/>
          <w:sz w:val="16"/>
          <w:szCs w:val="16"/>
          <w:color w:val="auto"/>
        </w:rPr>
      </w:pPr>
    </w:p>
    <w:p>
      <w:pPr>
        <w:jc w:val="both"/>
        <w:ind w:right="20" w:firstLine="1716"/>
        <w:spacing w:after="0" w:line="259" w:lineRule="auto"/>
        <w:tabs>
          <w:tab w:leader="none" w:pos="1970" w:val="left"/>
        </w:tabs>
        <w:numPr>
          <w:ilvl w:val="0"/>
          <w:numId w:val="2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Unvested Founders Shares; Vesting; Forfeiture.</w:t>
      </w:r>
      <w:r>
        <w:rPr>
          <w:rFonts w:ascii="Times New Roman" w:cs="Times New Roman" w:eastAsia="Times New Roman" w:hAnsi="Times New Roman"/>
          <w:sz w:val="16"/>
          <w:szCs w:val="16"/>
          <w:color w:val="auto"/>
        </w:rPr>
        <w:t xml:space="preserve"> Each Sponsor agrees that, as of and contingent upon the consummation of the Closing, an aggregate of 444,500 Founder Shares (“</w:t>
      </w:r>
      <w:r>
        <w:rPr>
          <w:rFonts w:ascii="Times New Roman" w:cs="Times New Roman" w:eastAsia="Times New Roman" w:hAnsi="Times New Roman"/>
          <w:sz w:val="16"/>
          <w:szCs w:val="16"/>
          <w:u w:val="single" w:color="auto"/>
          <w:color w:val="auto"/>
        </w:rPr>
        <w:t>Unvested Founder Shares</w:t>
      </w:r>
      <w:r>
        <w:rPr>
          <w:rFonts w:ascii="Times New Roman" w:cs="Times New Roman" w:eastAsia="Times New Roman" w:hAnsi="Times New Roman"/>
          <w:sz w:val="16"/>
          <w:szCs w:val="16"/>
          <w:color w:val="auto"/>
        </w:rPr>
        <w:t xml:space="preserve">”) (apportioned pro-rata between the Sponsors) shall be subject to the vesting and forfeiture provisions set forth in this </w:t>
      </w:r>
      <w:r>
        <w:rPr>
          <w:rFonts w:ascii="Times New Roman" w:cs="Times New Roman" w:eastAsia="Times New Roman" w:hAnsi="Times New Roman"/>
          <w:sz w:val="16"/>
          <w:szCs w:val="16"/>
          <w:u w:val="single" w:color="auto"/>
          <w:color w:val="auto"/>
        </w:rPr>
        <w:t>Section 1.7(b)</w:t>
      </w:r>
      <w:r>
        <w:rPr>
          <w:rFonts w:ascii="Times New Roman" w:cs="Times New Roman" w:eastAsia="Times New Roman" w:hAnsi="Times New Roman"/>
          <w:sz w:val="16"/>
          <w:szCs w:val="16"/>
          <w:color w:val="auto"/>
        </w:rPr>
        <w:t xml:space="preserve">. Each Sponsor agrees that it shall not Transfer any unvested Founder Shares prior to the date such Founder Shares become vested pursuant to this </w:t>
      </w:r>
      <w:r>
        <w:rPr>
          <w:rFonts w:ascii="Times New Roman" w:cs="Times New Roman" w:eastAsia="Times New Roman" w:hAnsi="Times New Roman"/>
          <w:sz w:val="16"/>
          <w:szCs w:val="16"/>
          <w:u w:val="single" w:color="auto"/>
          <w:color w:val="auto"/>
        </w:rPr>
        <w:t>Section 1.7(b)</w:t>
      </w:r>
      <w:r>
        <w:rPr>
          <w:rFonts w:ascii="Times New Roman" w:cs="Times New Roman" w:eastAsia="Times New Roman" w:hAnsi="Times New Roman"/>
          <w:sz w:val="16"/>
          <w:szCs w:val="16"/>
          <w:color w:val="auto"/>
        </w:rPr>
        <w:t xml:space="preserve"> and in any event prior to the expiration of the Lock-Up Period, except to the extent permitted by </w:t>
      </w:r>
      <w:r>
        <w:rPr>
          <w:rFonts w:ascii="Times New Roman" w:cs="Times New Roman" w:eastAsia="Times New Roman" w:hAnsi="Times New Roman"/>
          <w:sz w:val="16"/>
          <w:szCs w:val="16"/>
          <w:u w:val="single" w:color="auto"/>
          <w:color w:val="auto"/>
        </w:rPr>
        <w:t>Section 1.6(c)</w:t>
      </w:r>
      <w:r>
        <w:rPr>
          <w:rFonts w:ascii="Times New Roman" w:cs="Times New Roman" w:eastAsia="Times New Roman" w:hAnsi="Times New Roman"/>
          <w:sz w:val="16"/>
          <w:szCs w:val="16"/>
          <w:color w:val="auto"/>
        </w:rPr>
        <w:t>.</w:t>
      </w:r>
    </w:p>
    <w:p>
      <w:pPr>
        <w:spacing w:after="0" w:line="161" w:lineRule="exact"/>
        <w:rPr>
          <w:rFonts w:ascii="Times New Roman" w:cs="Times New Roman" w:eastAsia="Times New Roman" w:hAnsi="Times New Roman"/>
          <w:sz w:val="16"/>
          <w:szCs w:val="16"/>
          <w:color w:val="auto"/>
        </w:rPr>
      </w:pPr>
    </w:p>
    <w:p>
      <w:pPr>
        <w:ind w:left="560" w:right="20" w:firstLine="2017"/>
        <w:spacing w:after="0" w:line="280" w:lineRule="auto"/>
        <w:tabs>
          <w:tab w:leader="none" w:pos="2760" w:val="left"/>
        </w:tabs>
        <w:numPr>
          <w:ilvl w:val="1"/>
          <w:numId w:val="2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first 25% of the Unvested Founder Shares owned by the Sponsors (111,125 Founder Shares) shall vest at such time as a $12.00 Stock Price Level (as defined below) is achieved on or before the date that is five (5) years after the Closing Date.</w:t>
      </w:r>
    </w:p>
    <w:p>
      <w:pPr>
        <w:spacing w:after="0" w:line="144" w:lineRule="exact"/>
        <w:rPr>
          <w:rFonts w:ascii="Times New Roman" w:cs="Times New Roman" w:eastAsia="Times New Roman" w:hAnsi="Times New Roman"/>
          <w:sz w:val="16"/>
          <w:szCs w:val="16"/>
          <w:color w:val="auto"/>
        </w:rPr>
      </w:pPr>
    </w:p>
    <w:p>
      <w:pPr>
        <w:ind w:left="560" w:right="20" w:firstLine="2017"/>
        <w:spacing w:after="0" w:line="280" w:lineRule="auto"/>
        <w:tabs>
          <w:tab w:leader="none" w:pos="2803" w:val="left"/>
        </w:tabs>
        <w:numPr>
          <w:ilvl w:val="1"/>
          <w:numId w:val="2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next 25% of the unvested Founder Shares owned by the Sponsors (111,125 Founder Shares) shall vest at such time as a $15.00 Stock Price Level (as defined below) is achieved on or before the date that is five (5) years after the Closing Date.</w:t>
      </w:r>
    </w:p>
    <w:p>
      <w:pPr>
        <w:spacing w:after="0" w:line="144" w:lineRule="exact"/>
        <w:rPr>
          <w:rFonts w:ascii="Times New Roman" w:cs="Times New Roman" w:eastAsia="Times New Roman" w:hAnsi="Times New Roman"/>
          <w:sz w:val="16"/>
          <w:szCs w:val="16"/>
          <w:color w:val="auto"/>
        </w:rPr>
      </w:pPr>
    </w:p>
    <w:p>
      <w:pPr>
        <w:ind w:left="560" w:right="20" w:firstLine="2017"/>
        <w:spacing w:after="0" w:line="280" w:lineRule="auto"/>
        <w:tabs>
          <w:tab w:leader="none" w:pos="2845" w:val="left"/>
        </w:tabs>
        <w:numPr>
          <w:ilvl w:val="1"/>
          <w:numId w:val="2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next 25% of the unvested Founder Shares owned by the Sponsors (111,125 Founder Shares) shall vest at such time as a $20.00 Stock Price Level (as defined below) is achieved on or before the date that is five (5) years after the Closing Date.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27" w:name="page228"/>
    <w:bookmarkEnd w:id="227"/>
    <w:p>
      <w:pPr>
        <w:ind w:left="560" w:firstLine="2017"/>
        <w:spacing w:after="0" w:line="280" w:lineRule="auto"/>
        <w:tabs>
          <w:tab w:leader="none" w:pos="2842" w:val="left"/>
        </w:tabs>
        <w:numPr>
          <w:ilvl w:val="0"/>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remaining 25% of the unvested Founder Shares owned by the Sponsors (111,125 Founder Shares) shall vest at such time as a $25.00 Stock Price Level (as defined below) is achieved on or before the date that is five (5) years after the Closing Date.</w:t>
      </w:r>
    </w:p>
    <w:p>
      <w:pPr>
        <w:spacing w:after="0" w:line="144" w:lineRule="exact"/>
        <w:rPr>
          <w:rFonts w:ascii="Times New Roman" w:cs="Times New Roman" w:eastAsia="Times New Roman" w:hAnsi="Times New Roman"/>
          <w:sz w:val="16"/>
          <w:szCs w:val="16"/>
          <w:color w:val="auto"/>
        </w:rPr>
      </w:pPr>
    </w:p>
    <w:p>
      <w:pPr>
        <w:jc w:val="both"/>
        <w:ind w:left="560" w:firstLine="2017"/>
        <w:spacing w:after="0" w:line="265" w:lineRule="auto"/>
        <w:tabs>
          <w:tab w:leader="none" w:pos="2799" w:val="left"/>
        </w:tabs>
        <w:numPr>
          <w:ilvl w:val="0"/>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avoidance of doubt, if the applicable Stock Price Level is not achieved on or prior to the date that is five (5) years after the Closing Date, the applicable Unvested Founder Shares shall not vest and shall be automatically forfeited and cancelled for no consideration. For clarity, the applicable Trading Day period for such Stock Price Level shall commence on the date hereof.</w:t>
      </w:r>
    </w:p>
    <w:p>
      <w:pPr>
        <w:spacing w:after="0" w:line="155" w:lineRule="exact"/>
        <w:rPr>
          <w:rFonts w:ascii="Times New Roman" w:cs="Times New Roman" w:eastAsia="Times New Roman" w:hAnsi="Times New Roman"/>
          <w:sz w:val="16"/>
          <w:szCs w:val="16"/>
          <w:color w:val="auto"/>
        </w:rPr>
      </w:pPr>
    </w:p>
    <w:p>
      <w:pPr>
        <w:ind w:left="2880" w:hanging="303"/>
        <w:spacing w:after="0"/>
        <w:tabs>
          <w:tab w:leader="none" w:pos="2880" w:val="left"/>
        </w:tabs>
        <w:numPr>
          <w:ilvl w:val="0"/>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the foregoing, in the event of a Fundamental Change (as defined below), any unvested Founder Shares shall</w:t>
      </w:r>
    </w:p>
    <w:p>
      <w:pPr>
        <w:spacing w:after="0" w:line="23" w:lineRule="exact"/>
        <w:rPr>
          <w:rFonts w:ascii="Times New Roman" w:cs="Times New Roman" w:eastAsia="Times New Roman" w:hAnsi="Times New Roman"/>
          <w:sz w:val="16"/>
          <w:szCs w:val="16"/>
          <w:color w:val="auto"/>
        </w:rPr>
      </w:pPr>
    </w:p>
    <w:p>
      <w:pPr>
        <w:ind w:left="5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automatically vest.</w:t>
      </w:r>
    </w:p>
    <w:p>
      <w:pPr>
        <w:spacing w:after="0" w:line="181" w:lineRule="exact"/>
        <w:rPr>
          <w:rFonts w:ascii="Times New Roman" w:cs="Times New Roman" w:eastAsia="Times New Roman" w:hAnsi="Times New Roman"/>
          <w:sz w:val="16"/>
          <w:szCs w:val="16"/>
          <w:color w:val="auto"/>
        </w:rPr>
      </w:pPr>
    </w:p>
    <w:p>
      <w:pPr>
        <w:ind w:left="2880" w:hanging="303"/>
        <w:spacing w:after="0"/>
        <w:tabs>
          <w:tab w:leader="none" w:pos="2880" w:val="left"/>
        </w:tabs>
        <w:numPr>
          <w:ilvl w:val="0"/>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“Fundamental Change” shall be deemed to have occurred at the time after the Closing if any of the following occurs</w:t>
      </w:r>
    </w:p>
    <w:p>
      <w:pPr>
        <w:spacing w:after="0" w:line="198" w:lineRule="exact"/>
        <w:rPr>
          <w:rFonts w:ascii="Times New Roman" w:cs="Times New Roman" w:eastAsia="Times New Roman" w:hAnsi="Times New Roman"/>
          <w:sz w:val="16"/>
          <w:szCs w:val="16"/>
          <w:color w:val="auto"/>
        </w:rPr>
      </w:pPr>
    </w:p>
    <w:p>
      <w:pPr>
        <w:jc w:val="both"/>
        <w:ind w:left="560" w:firstLine="2166"/>
        <w:spacing w:after="0" w:line="253" w:lineRule="auto"/>
        <w:tabs>
          <w:tab w:leader="none" w:pos="2954" w:val="left"/>
        </w:tabs>
        <w:numPr>
          <w:ilvl w:val="1"/>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“person” or “group” within the meaning of Section 13(d) of the Exchange Act, other than the Company, its direct or indirect wholly owned subsidiaries and the employee benefit plans of the Acquiror and its wholly owned subsidiaries, has become the direct or indirect “beneficial owner,” as defined in Rule 13d-3 under the Exchange Act, of Common Stock of the Acquiror representing more than 50% of the voting power of the Common Stock of the Acquiror and has filed a Schedule TO (or any successor schedule, form or report) or any schedule, form or report under the Exchange Act that discloses such fact, unless such beneficial ownership arises solely as a result of a revocable proxy delivered in response to a public proxy or consent solicitation made pursuant to the applicable rules and regulations under the Exchange Act and is not also then reportable on Schedule 13D or Schedule 13G (or any successor schedule) under the Exchange Act; provided that no person or group shall be deemed to be the beneficial owner of any securities tendered pursuant to a tender or exchange offer made by or on behalf of such person or group until such tendered securities are accepted for purchase or exchange under such offer;</w:t>
      </w:r>
    </w:p>
    <w:p>
      <w:pPr>
        <w:spacing w:after="0" w:line="169" w:lineRule="exact"/>
        <w:rPr>
          <w:rFonts w:ascii="Times New Roman" w:cs="Times New Roman" w:eastAsia="Times New Roman" w:hAnsi="Times New Roman"/>
          <w:sz w:val="16"/>
          <w:szCs w:val="16"/>
          <w:color w:val="auto"/>
        </w:rPr>
      </w:pPr>
    </w:p>
    <w:p>
      <w:pPr>
        <w:jc w:val="both"/>
        <w:ind w:left="560" w:firstLine="2166"/>
        <w:spacing w:after="0" w:line="252" w:lineRule="auto"/>
        <w:tabs>
          <w:tab w:leader="none" w:pos="2948" w:val="left"/>
        </w:tabs>
        <w:numPr>
          <w:ilvl w:val="1"/>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consummation of (A) any recapitalization, reclassification or change of the Common Stock (other than a change to par value or from par value to no par value or changes resulting from a subdivision or combination) as a result of which the Common Stock would be converted into, or exchanged for, stock, other securities, other property or assets; (B) any share exchange, consolidation or merger of the Acquiror pursuant to which the Common Stock will be converted into cash, securities or other property or assets; or (C) any sale, lease or other transfer in one transaction or a series of transactions of all or substantially all of the consolidated assets of the Acquiror and its subsidiaries, taken as a whole, to any person other than one or more of the Acquiror’s direct or indirect wholly owned subsidiaries; provided, however, that neither (i) a transaction described in clause (A) or clause (B) in which the holders of all classes of the Acquiror’s common equity immediately prior to such transaction own, directly or indirectly, more than 50% of all classes of common equity of the continuing or surviving corporation or transferee or the direct or indirect parent thereof immediately after such transaction in substantially the same proportions (relative to each other) as such ownership immediately prior to such transaction nor (ii) any merger of the Acquiror solely for the purpose of change its jurisdiction of incorporation that results in a reclassification, conversion or exchange of outstanding shares of Common Stock solely into shares of common stock of the surviving entity shall, in each case, be a Fundamental Change pursuant to this clause (b);</w:t>
      </w:r>
    </w:p>
    <w:p>
      <w:pPr>
        <w:spacing w:after="0" w:line="169" w:lineRule="exact"/>
        <w:rPr>
          <w:rFonts w:ascii="Times New Roman" w:cs="Times New Roman" w:eastAsia="Times New Roman" w:hAnsi="Times New Roman"/>
          <w:sz w:val="16"/>
          <w:szCs w:val="16"/>
          <w:color w:val="auto"/>
        </w:rPr>
      </w:pPr>
    </w:p>
    <w:p>
      <w:pPr>
        <w:ind w:left="2960" w:hanging="234"/>
        <w:spacing w:after="0"/>
        <w:tabs>
          <w:tab w:leader="none" w:pos="2960" w:val="left"/>
        </w:tabs>
        <w:numPr>
          <w:ilvl w:val="1"/>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stockholders of the Acquiror approve any plan or proposal for the liquidation or dissolution of the Acquiror; or</w:t>
      </w:r>
    </w:p>
    <w:p>
      <w:pPr>
        <w:spacing w:after="0" w:line="198" w:lineRule="exact"/>
        <w:rPr>
          <w:rFonts w:ascii="Times New Roman" w:cs="Times New Roman" w:eastAsia="Times New Roman" w:hAnsi="Times New Roman"/>
          <w:sz w:val="16"/>
          <w:szCs w:val="16"/>
          <w:color w:val="auto"/>
        </w:rPr>
      </w:pPr>
    </w:p>
    <w:p>
      <w:pPr>
        <w:ind w:left="2980" w:hanging="254"/>
        <w:spacing w:after="0"/>
        <w:tabs>
          <w:tab w:leader="none" w:pos="2980" w:val="left"/>
        </w:tabs>
        <w:numPr>
          <w:ilvl w:val="1"/>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avoidance of doubt, for purposes of the definition of “Fundamental Change,” the term “Acquiror” shall include its</w:t>
      </w:r>
    </w:p>
    <w:p>
      <w:pPr>
        <w:spacing w:after="0" w:line="23" w:lineRule="exact"/>
        <w:rPr>
          <w:rFonts w:ascii="Times New Roman" w:cs="Times New Roman" w:eastAsia="Times New Roman" w:hAnsi="Times New Roman"/>
          <w:sz w:val="16"/>
          <w:szCs w:val="16"/>
          <w:color w:val="auto"/>
        </w:rPr>
      </w:pPr>
    </w:p>
    <w:p>
      <w:pPr>
        <w:ind w:left="5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successors and assigns.</w:t>
      </w:r>
    </w:p>
    <w:p>
      <w:pPr>
        <w:spacing w:after="0" w:line="182" w:lineRule="exact"/>
        <w:rPr>
          <w:sz w:val="20"/>
          <w:szCs w:val="20"/>
          <w:color w:val="auto"/>
        </w:rPr>
      </w:pPr>
    </w:p>
    <w:p>
      <w:pPr>
        <w:jc w:val="both"/>
        <w:ind w:firstLine="1716"/>
        <w:spacing w:after="0" w:line="259" w:lineRule="auto"/>
        <w:tabs>
          <w:tab w:leader="none" w:pos="1937" w:val="left"/>
        </w:tabs>
        <w:numPr>
          <w:ilvl w:val="0"/>
          <w:numId w:val="2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Stock Price Level</w:t>
      </w:r>
      <w:r>
        <w:rPr>
          <w:rFonts w:ascii="Times New Roman" w:cs="Times New Roman" w:eastAsia="Times New Roman" w:hAnsi="Times New Roman"/>
          <w:sz w:val="16"/>
          <w:szCs w:val="16"/>
          <w:color w:val="auto"/>
        </w:rPr>
        <w:t>. For purposes of this Sponsor Agreement, the applicable “Stock Price Level” will be considered achieved only when the VWAP of Acquiror Common Stock quoted on the NASDAQ is greater than or equal to the applicable threshold for any forty (40) Trading Days within any sixty (60) Trading Day period. The Stock Price Levels will be equitably adjusted for any stock dividend, subdivision, reclassification, recapitalization, split, combination or exchange of shares, or any similar event affecting the Acquiror Common Stock after the date of the Merger Agreement.</w:t>
      </w:r>
    </w:p>
    <w:p>
      <w:pPr>
        <w:spacing w:after="0" w:line="162" w:lineRule="exact"/>
        <w:rPr>
          <w:sz w:val="20"/>
          <w:szCs w:val="20"/>
          <w:color w:val="auto"/>
        </w:rPr>
      </w:pPr>
    </w:p>
    <w:p>
      <w:pPr>
        <w:jc w:val="both"/>
        <w:ind w:firstLine="1721"/>
        <w:spacing w:after="0" w:line="257" w:lineRule="auto"/>
        <w:rPr>
          <w:sz w:val="20"/>
          <w:szCs w:val="20"/>
          <w:color w:val="auto"/>
        </w:rPr>
      </w:pPr>
      <w:r>
        <w:rPr>
          <w:rFonts w:ascii="Times New Roman" w:cs="Times New Roman" w:eastAsia="Times New Roman" w:hAnsi="Times New Roman"/>
          <w:sz w:val="16"/>
          <w:szCs w:val="16"/>
          <w:color w:val="auto"/>
        </w:rPr>
        <w:t xml:space="preserve">Section 1.8 </w:t>
      </w:r>
      <w:r>
        <w:rPr>
          <w:rFonts w:ascii="Times New Roman" w:cs="Times New Roman" w:eastAsia="Times New Roman" w:hAnsi="Times New Roman"/>
          <w:sz w:val="16"/>
          <w:szCs w:val="16"/>
          <w:u w:val="single" w:color="auto"/>
          <w:color w:val="auto"/>
        </w:rPr>
        <w:t>Outstanding Acquiror Expenses</w:t>
      </w:r>
      <w:r>
        <w:rPr>
          <w:rFonts w:ascii="Times New Roman" w:cs="Times New Roman" w:eastAsia="Times New Roman" w:hAnsi="Times New Roman"/>
          <w:sz w:val="16"/>
          <w:szCs w:val="16"/>
          <w:color w:val="auto"/>
        </w:rPr>
        <w:t>. In accordance with Section 3.09(b) of the Merger Agreement, on the Closing Date following the Closing, Acquiror shall pay or cause to paid by wire transfer of immediately available funds all such Outstanding Acquiror Expenses. If the Outstanding Acquiror Expenses exceed $12,000,000, the Acquiror shall provide the Sponsors with a written report setting forth the list of Outstanding Acquiror Expenses, and each of the Sponsors, severally and not jointly and on a pro rata basis (i.e. Ventoux Acquisition: 67%; Chardan International Investments, LLC: 33%), shall reimburse Acquiror for such excess amounts, by wire transfer of immediately available funds, within 10 Business Days following the Closing Date.</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28" w:name="page229"/>
    <w:bookmarkEnd w:id="228"/>
    <w:p>
      <w:pPr>
        <w:jc w:val="both"/>
        <w:ind w:firstLine="1721"/>
        <w:spacing w:after="0" w:line="255" w:lineRule="auto"/>
        <w:rPr>
          <w:sz w:val="20"/>
          <w:szCs w:val="20"/>
          <w:color w:val="auto"/>
        </w:rPr>
      </w:pPr>
      <w:r>
        <w:rPr>
          <w:rFonts w:ascii="Times New Roman" w:cs="Times New Roman" w:eastAsia="Times New Roman" w:hAnsi="Times New Roman"/>
          <w:sz w:val="16"/>
          <w:szCs w:val="16"/>
          <w:color w:val="auto"/>
        </w:rPr>
        <w:t xml:space="preserve">Section 1.9 </w:t>
      </w:r>
      <w:r>
        <w:rPr>
          <w:rFonts w:ascii="Times New Roman" w:cs="Times New Roman" w:eastAsia="Times New Roman" w:hAnsi="Times New Roman"/>
          <w:sz w:val="16"/>
          <w:szCs w:val="16"/>
          <w:u w:val="single" w:color="auto"/>
          <w:color w:val="auto"/>
        </w:rPr>
        <w:t>Further Assurances</w:t>
      </w:r>
      <w:r>
        <w:rPr>
          <w:rFonts w:ascii="Times New Roman" w:cs="Times New Roman" w:eastAsia="Times New Roman" w:hAnsi="Times New Roman"/>
          <w:sz w:val="16"/>
          <w:szCs w:val="16"/>
          <w:color w:val="auto"/>
        </w:rPr>
        <w:t xml:space="preserve">. In addition to the obligations set forth in </w:t>
      </w:r>
      <w:r>
        <w:rPr>
          <w:rFonts w:ascii="Times New Roman" w:cs="Times New Roman" w:eastAsia="Times New Roman" w:hAnsi="Times New Roman"/>
          <w:sz w:val="16"/>
          <w:szCs w:val="16"/>
          <w:u w:val="single" w:color="auto"/>
          <w:color w:val="auto"/>
        </w:rPr>
        <w:t>Section 1.4</w:t>
      </w:r>
      <w:r>
        <w:rPr>
          <w:rFonts w:ascii="Times New Roman" w:cs="Times New Roman" w:eastAsia="Times New Roman" w:hAnsi="Times New Roman"/>
          <w:sz w:val="16"/>
          <w:szCs w:val="16"/>
          <w:color w:val="auto"/>
        </w:rPr>
        <w:t xml:space="preserve"> through </w:t>
      </w:r>
      <w:r>
        <w:rPr>
          <w:rFonts w:ascii="Times New Roman" w:cs="Times New Roman" w:eastAsia="Times New Roman" w:hAnsi="Times New Roman"/>
          <w:sz w:val="16"/>
          <w:szCs w:val="16"/>
          <w:u w:val="single" w:color="auto"/>
          <w:color w:val="auto"/>
        </w:rPr>
        <w:t>Section 1.7</w:t>
      </w:r>
      <w:r>
        <w:rPr>
          <w:rFonts w:ascii="Times New Roman" w:cs="Times New Roman" w:eastAsia="Times New Roman" w:hAnsi="Times New Roman"/>
          <w:sz w:val="16"/>
          <w:szCs w:val="16"/>
          <w:color w:val="auto"/>
        </w:rPr>
        <w:t xml:space="preserve"> of this Sponsor Agreement, each Sponsor Party shall use its reasonable best efforts to take, or cause to be taken, all actions and do, or cause to be done, all things reasonably necessary under applicable Laws to consummate the Mergers and the other transactions contemplated by the Merger Agreement on the terms and subject to the conditions set forth therein and herein. Notwithstanding anything to the contrary in this Sponsor Agreement, no Sponsor Party shall be obligated to bear any expense, pay any amount or grant any concession in connection with any action required to be taken by this Sponsor Agreement, except for cash expenses incurred incidental to actions required to be taken pursuant to </w:t>
      </w:r>
      <w:r>
        <w:rPr>
          <w:rFonts w:ascii="Times New Roman" w:cs="Times New Roman" w:eastAsia="Times New Roman" w:hAnsi="Times New Roman"/>
          <w:sz w:val="16"/>
          <w:szCs w:val="16"/>
          <w:u w:val="single" w:color="auto"/>
          <w:color w:val="auto"/>
        </w:rPr>
        <w:t>Section 1.4</w:t>
      </w:r>
      <w:r>
        <w:rPr>
          <w:rFonts w:ascii="Times New Roman" w:cs="Times New Roman" w:eastAsia="Times New Roman" w:hAnsi="Times New Roman"/>
          <w:sz w:val="16"/>
          <w:szCs w:val="16"/>
          <w:color w:val="auto"/>
        </w:rPr>
        <w:t xml:space="preserve"> through </w:t>
      </w:r>
      <w:r>
        <w:rPr>
          <w:rFonts w:ascii="Times New Roman" w:cs="Times New Roman" w:eastAsia="Times New Roman" w:hAnsi="Times New Roman"/>
          <w:sz w:val="16"/>
          <w:szCs w:val="16"/>
          <w:u w:val="single" w:color="auto"/>
          <w:color w:val="auto"/>
        </w:rPr>
        <w:t>Section 1.7</w:t>
      </w:r>
      <w:r>
        <w:rPr>
          <w:rFonts w:ascii="Times New Roman" w:cs="Times New Roman" w:eastAsia="Times New Roman" w:hAnsi="Times New Roman"/>
          <w:sz w:val="16"/>
          <w:szCs w:val="16"/>
          <w:color w:val="auto"/>
        </w:rPr>
        <w:t xml:space="preserve"> of this Sponsor Agreement.</w:t>
      </w:r>
    </w:p>
    <w:p>
      <w:pPr>
        <w:spacing w:after="0" w:line="165" w:lineRule="exact"/>
        <w:rPr>
          <w:sz w:val="20"/>
          <w:szCs w:val="20"/>
          <w:color w:val="auto"/>
        </w:rPr>
      </w:pPr>
    </w:p>
    <w:p>
      <w:pPr>
        <w:jc w:val="both"/>
        <w:ind w:right="20" w:firstLine="1721"/>
        <w:spacing w:after="0" w:line="280" w:lineRule="auto"/>
        <w:rPr>
          <w:sz w:val="20"/>
          <w:szCs w:val="20"/>
          <w:color w:val="auto"/>
        </w:rPr>
      </w:pPr>
      <w:r>
        <w:rPr>
          <w:rFonts w:ascii="Times New Roman" w:cs="Times New Roman" w:eastAsia="Times New Roman" w:hAnsi="Times New Roman"/>
          <w:sz w:val="16"/>
          <w:szCs w:val="16"/>
          <w:color w:val="auto"/>
        </w:rPr>
        <w:t xml:space="preserve">Section 1.10 </w:t>
      </w:r>
      <w:r>
        <w:rPr>
          <w:rFonts w:ascii="Times New Roman" w:cs="Times New Roman" w:eastAsia="Times New Roman" w:hAnsi="Times New Roman"/>
          <w:sz w:val="16"/>
          <w:szCs w:val="16"/>
          <w:u w:val="single" w:color="auto"/>
          <w:color w:val="auto"/>
        </w:rPr>
        <w:t>No Inconsistent Agreement</w:t>
      </w:r>
      <w:r>
        <w:rPr>
          <w:rFonts w:ascii="Times New Roman" w:cs="Times New Roman" w:eastAsia="Times New Roman" w:hAnsi="Times New Roman"/>
          <w:sz w:val="16"/>
          <w:szCs w:val="16"/>
          <w:color w:val="auto"/>
        </w:rPr>
        <w:t>. Each Sponsor Party hereby represents and covenants that such Sponsor Party has not entered into, and shall not enter into, any agreement that would restrict, limit or interfere with the performance of such Sponsor Party’s obligations hereunder.</w:t>
      </w:r>
    </w:p>
    <w:p>
      <w:pPr>
        <w:spacing w:after="0" w:line="144" w:lineRule="exact"/>
        <w:rPr>
          <w:sz w:val="20"/>
          <w:szCs w:val="20"/>
          <w:color w:val="auto"/>
        </w:rPr>
      </w:pPr>
    </w:p>
    <w:p>
      <w:pPr>
        <w:jc w:val="both"/>
        <w:ind w:right="20" w:firstLine="1721"/>
        <w:spacing w:after="0" w:line="280" w:lineRule="auto"/>
        <w:rPr>
          <w:sz w:val="20"/>
          <w:szCs w:val="20"/>
          <w:color w:val="auto"/>
        </w:rPr>
      </w:pPr>
      <w:r>
        <w:rPr>
          <w:rFonts w:ascii="Times New Roman" w:cs="Times New Roman" w:eastAsia="Times New Roman" w:hAnsi="Times New Roman"/>
          <w:sz w:val="16"/>
          <w:szCs w:val="16"/>
          <w:u w:val="single" w:color="auto"/>
          <w:color w:val="auto"/>
        </w:rPr>
        <w:t>Section 1.11 No Amendment to Insider Letter</w:t>
      </w:r>
      <w:r>
        <w:rPr>
          <w:rFonts w:ascii="Times New Roman" w:cs="Times New Roman" w:eastAsia="Times New Roman" w:hAnsi="Times New Roman"/>
          <w:sz w:val="16"/>
          <w:szCs w:val="16"/>
          <w:color w:val="auto"/>
        </w:rPr>
        <w:t>. Neither the Sponsor Parties nor Acquiror shall amend, terminate or otherwise modify that certain letter agreement, dated as of December 23, 2020, by and among the Acquiror and the Sponsor Parties (the “</w:t>
      </w:r>
      <w:r>
        <w:rPr>
          <w:rFonts w:ascii="Times New Roman" w:cs="Times New Roman" w:eastAsia="Times New Roman" w:hAnsi="Times New Roman"/>
          <w:sz w:val="16"/>
          <w:szCs w:val="16"/>
          <w:u w:val="single" w:color="auto"/>
          <w:color w:val="auto"/>
        </w:rPr>
        <w:t>Insider Letter</w:t>
      </w:r>
      <w:r>
        <w:rPr>
          <w:rFonts w:ascii="Times New Roman" w:cs="Times New Roman" w:eastAsia="Times New Roman" w:hAnsi="Times New Roman"/>
          <w:sz w:val="16"/>
          <w:szCs w:val="16"/>
          <w:color w:val="auto"/>
        </w:rPr>
        <w:t>”), without the Company’s prior written consent.</w:t>
      </w:r>
    </w:p>
    <w:p>
      <w:pPr>
        <w:spacing w:after="0" w:line="144" w:lineRule="exact"/>
        <w:rPr>
          <w:sz w:val="20"/>
          <w:szCs w:val="20"/>
          <w:color w:val="auto"/>
        </w:rPr>
      </w:pPr>
    </w:p>
    <w:p>
      <w:pPr>
        <w:jc w:val="both"/>
        <w:ind w:right="20" w:firstLine="1721"/>
        <w:spacing w:after="0" w:line="265" w:lineRule="auto"/>
        <w:rPr>
          <w:sz w:val="20"/>
          <w:szCs w:val="20"/>
          <w:color w:val="auto"/>
        </w:rPr>
      </w:pPr>
      <w:r>
        <w:rPr>
          <w:rFonts w:ascii="Times New Roman" w:cs="Times New Roman" w:eastAsia="Times New Roman" w:hAnsi="Times New Roman"/>
          <w:sz w:val="16"/>
          <w:szCs w:val="16"/>
          <w:color w:val="auto"/>
        </w:rPr>
        <w:t xml:space="preserve">Section 1.12 </w:t>
      </w:r>
      <w:r>
        <w:rPr>
          <w:rFonts w:ascii="Times New Roman" w:cs="Times New Roman" w:eastAsia="Times New Roman" w:hAnsi="Times New Roman"/>
          <w:sz w:val="16"/>
          <w:szCs w:val="16"/>
          <w:u w:val="single" w:color="auto"/>
          <w:color w:val="auto"/>
        </w:rPr>
        <w:t>Waiver of Crescent Provision</w:t>
      </w:r>
      <w:r>
        <w:rPr>
          <w:rFonts w:ascii="Times New Roman" w:cs="Times New Roman" w:eastAsia="Times New Roman" w:hAnsi="Times New Roman"/>
          <w:sz w:val="16"/>
          <w:szCs w:val="16"/>
          <w:color w:val="auto"/>
        </w:rPr>
        <w:t>. Each Sponsor Party hereby waives (for itself and for its successors, heirs and assigns), to the fullest extent permitted by law, the provisions of Section 4.4.2 of that certain Warrant Agreement, dated as of December 23, 2020 (as amended from time to time), between Acquiror and Continental Stock Transfer &amp; Trust Company, a New York corporation, as warrant agent.</w:t>
      </w:r>
    </w:p>
    <w:p>
      <w:pPr>
        <w:spacing w:after="0" w:line="15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ARTICLE 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REPRESENTATIONS AND WARRANTIES</w:t>
      </w:r>
    </w:p>
    <w:p>
      <w:pPr>
        <w:spacing w:after="0" w:line="182" w:lineRule="exact"/>
        <w:rPr>
          <w:sz w:val="20"/>
          <w:szCs w:val="20"/>
          <w:color w:val="auto"/>
        </w:rPr>
      </w:pPr>
    </w:p>
    <w:p>
      <w:pPr>
        <w:jc w:val="both"/>
        <w:ind w:right="20" w:firstLine="1721"/>
        <w:spacing w:after="0" w:line="280" w:lineRule="auto"/>
        <w:rPr>
          <w:sz w:val="20"/>
          <w:szCs w:val="20"/>
          <w:color w:val="auto"/>
        </w:rPr>
      </w:pPr>
      <w:r>
        <w:rPr>
          <w:rFonts w:ascii="Times New Roman" w:cs="Times New Roman" w:eastAsia="Times New Roman" w:hAnsi="Times New Roman"/>
          <w:sz w:val="16"/>
          <w:szCs w:val="16"/>
          <w:color w:val="auto"/>
        </w:rPr>
        <w:t xml:space="preserve">Section 2.1 </w:t>
      </w:r>
      <w:r>
        <w:rPr>
          <w:rFonts w:ascii="Times New Roman" w:cs="Times New Roman" w:eastAsia="Times New Roman" w:hAnsi="Times New Roman"/>
          <w:sz w:val="16"/>
          <w:szCs w:val="16"/>
          <w:u w:val="single" w:color="auto"/>
          <w:color w:val="auto"/>
        </w:rPr>
        <w:t>Representations and Warranties of each Sponsor Party</w:t>
      </w:r>
      <w:r>
        <w:rPr>
          <w:rFonts w:ascii="Times New Roman" w:cs="Times New Roman" w:eastAsia="Times New Roman" w:hAnsi="Times New Roman"/>
          <w:sz w:val="16"/>
          <w:szCs w:val="16"/>
          <w:color w:val="auto"/>
        </w:rPr>
        <w:t>. Each Sponsor Party represents and warrants as of the date hereof to Acquiror and the Company (solely with respect to itself, himself or herself and not with respect to any other Sponsor Party) as follows:</w:t>
      </w:r>
    </w:p>
    <w:p>
      <w:pPr>
        <w:spacing w:after="0" w:line="144" w:lineRule="exact"/>
        <w:rPr>
          <w:sz w:val="20"/>
          <w:szCs w:val="20"/>
          <w:color w:val="auto"/>
        </w:rPr>
      </w:pPr>
    </w:p>
    <w:p>
      <w:pPr>
        <w:jc w:val="both"/>
        <w:ind w:firstLine="1716"/>
        <w:spacing w:after="0" w:line="252" w:lineRule="auto"/>
        <w:tabs>
          <w:tab w:leader="none" w:pos="1937" w:val="left"/>
        </w:tabs>
        <w:numPr>
          <w:ilvl w:val="0"/>
          <w:numId w:val="2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Organization; Due Authorization</w:t>
      </w:r>
      <w:r>
        <w:rPr>
          <w:rFonts w:ascii="Times New Roman" w:cs="Times New Roman" w:eastAsia="Times New Roman" w:hAnsi="Times New Roman"/>
          <w:sz w:val="16"/>
          <w:szCs w:val="16"/>
          <w:color w:val="auto"/>
        </w:rPr>
        <w:t>. If such Sponsor Party is not an individual, it is duly organized, validly existing and in good standing under the Laws of the jurisdiction in which it is incorporated, formed, organized or constituted, and the execution, delivery and performance of this Sponsor Agreement and the consummation of the transactions contemplated hereby are within such Sponsor Party’s corporate, limited liability company or organizational powers and have been duly authorized by all necessary corporate, limited liability company or organizational actions on the part of such Sponsor Party. If such Sponsor Party is an individual, such Sponsor Party has full legal capacity, right and authority to execute and deliver this Sponsor Agreement and to perform his or her obligations hereunder. This Sponsor Agreement has been duly executed and delivered by such Sponsor Party and, assuming due authorization, execution and delivery by the other parties to this Sponsor Agreement, this Sponsor Agreement constitutes a legally valid and binding obligation of such Sponsor Party, enforceable against such Sponsor Party in accordance with the terms hereof (except as enforceability may be limited by bankruptcy Laws, other similar Laws affecting creditors’ rights and general principles of equity affecting the availability of specific performance and other equitable remedies). If this Sponsor Agreement is being executed in a representative or fiduciary capacity, the Person signing this Sponsor Agreement has full power and authority to enter into this Sponsor Agreement on behalf of the applicable Sponsor Party.</w:t>
      </w:r>
    </w:p>
    <w:p>
      <w:pPr>
        <w:spacing w:after="0" w:line="171" w:lineRule="exact"/>
        <w:rPr>
          <w:rFonts w:ascii="Times New Roman" w:cs="Times New Roman" w:eastAsia="Times New Roman" w:hAnsi="Times New Roman"/>
          <w:sz w:val="16"/>
          <w:szCs w:val="16"/>
          <w:color w:val="auto"/>
        </w:rPr>
      </w:pPr>
    </w:p>
    <w:p>
      <w:pPr>
        <w:jc w:val="both"/>
        <w:ind w:firstLine="1716"/>
        <w:spacing w:after="0" w:line="253" w:lineRule="auto"/>
        <w:tabs>
          <w:tab w:leader="none" w:pos="1958" w:val="left"/>
        </w:tabs>
        <w:numPr>
          <w:ilvl w:val="0"/>
          <w:numId w:val="2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Ownership</w:t>
      </w:r>
      <w:r>
        <w:rPr>
          <w:rFonts w:ascii="Times New Roman" w:cs="Times New Roman" w:eastAsia="Times New Roman" w:hAnsi="Times New Roman"/>
          <w:sz w:val="16"/>
          <w:szCs w:val="16"/>
          <w:color w:val="auto"/>
        </w:rPr>
        <w:t xml:space="preserve">. The Sponsor Party is the record and beneficial owner of, and has good title to, all of the Sponsor Party’s Subject Securities listed across from the Sponsor Party’s name on </w:t>
      </w:r>
      <w:r>
        <w:rPr>
          <w:rFonts w:ascii="Times New Roman" w:cs="Times New Roman" w:eastAsia="Times New Roman" w:hAnsi="Times New Roman"/>
          <w:sz w:val="16"/>
          <w:szCs w:val="16"/>
          <w:u w:val="single" w:color="auto"/>
          <w:color w:val="auto"/>
        </w:rPr>
        <w:t>Schedule I</w:t>
      </w:r>
      <w:r>
        <w:rPr>
          <w:rFonts w:ascii="Times New Roman" w:cs="Times New Roman" w:eastAsia="Times New Roman" w:hAnsi="Times New Roman"/>
          <w:sz w:val="16"/>
          <w:szCs w:val="16"/>
          <w:color w:val="auto"/>
        </w:rPr>
        <w:t xml:space="preserve"> hereto, and there exist no Liens or any other limitation or restriction (including any restriction on the right to vote, sell or otherwise dispose of such Subject Securities (other than transfer restrictions under the Securities Act)) affecting any such Subject Securities owned by the Sponsor Party, other than Liens pursuant to (i) this Sponsor Agreement, (ii) the Acquiror Organizational Documents, (iii) the Merger Agreement, (iv) the Insider Letter or (v) any applicable securities Laws. The Sponsor Party’s Subject Securities are the only equity securities in Acquiror owned of record or beneficially by the Sponsor Party on the date of this Sponsor Agreement, and none of the Sponsor Party’s Subject Securities are subject to any proxy, voting trust or other agreement or arrangement with respect to the voting of such Subject Securities, except as provided hereunder and under the Insider Letter. Other than the Acquiror Private Placement Warrants held by such Sponsor Party and the Subscription Agreement to which the Sponsor Party is a party, such Sponsor Party does not hold or own any rights to acquire (directly or indirectly) any equity securities of Acquiror or any equity securities convertible into, or which can be exchanged for, equity securities of Acquiror.</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29" w:name="page230"/>
    <w:bookmarkEnd w:id="229"/>
    <w:p>
      <w:pPr>
        <w:jc w:val="both"/>
        <w:ind w:right="20" w:firstLine="1716"/>
        <w:spacing w:after="0" w:line="257" w:lineRule="auto"/>
        <w:tabs>
          <w:tab w:leader="none" w:pos="1937" w:val="left"/>
        </w:tabs>
        <w:numPr>
          <w:ilvl w:val="0"/>
          <w:numId w:val="2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Conflicts</w:t>
      </w:r>
      <w:r>
        <w:rPr>
          <w:rFonts w:ascii="Times New Roman" w:cs="Times New Roman" w:eastAsia="Times New Roman" w:hAnsi="Times New Roman"/>
          <w:sz w:val="16"/>
          <w:szCs w:val="16"/>
          <w:color w:val="auto"/>
        </w:rPr>
        <w:t>. The execution and delivery of this Sponsor Agreement by such Sponsor Party does not, and the performance by such Sponsor Party of his, her or its obligations hereunder will not, (i) if such Sponsor Party is not an individual, conflict with or result in a violation of the organizational documents of such Sponsor Party or (ii) require any consent or approval that has not been given or other action that has not been taken by any Person (including under any Contract binding upon such Sponsor Party or such Sponsor Party’s Subject Securities), in each case, to the extent such consent, approval or other action would prevent, enjoin or materially delay the performance by such Sponsor Party of its, his or her obligations under this Sponsor Agreement.</w:t>
      </w:r>
    </w:p>
    <w:p>
      <w:pPr>
        <w:spacing w:after="0" w:line="162" w:lineRule="exact"/>
        <w:rPr>
          <w:rFonts w:ascii="Times New Roman" w:cs="Times New Roman" w:eastAsia="Times New Roman" w:hAnsi="Times New Roman"/>
          <w:sz w:val="16"/>
          <w:szCs w:val="16"/>
          <w:color w:val="auto"/>
        </w:rPr>
      </w:pPr>
    </w:p>
    <w:p>
      <w:pPr>
        <w:jc w:val="both"/>
        <w:ind w:right="20" w:firstLine="1716"/>
        <w:spacing w:after="0" w:line="265" w:lineRule="auto"/>
        <w:tabs>
          <w:tab w:leader="none" w:pos="1946" w:val="left"/>
        </w:tabs>
        <w:numPr>
          <w:ilvl w:val="0"/>
          <w:numId w:val="2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Litigation</w:t>
      </w:r>
      <w:r>
        <w:rPr>
          <w:rFonts w:ascii="Times New Roman" w:cs="Times New Roman" w:eastAsia="Times New Roman" w:hAnsi="Times New Roman"/>
          <w:sz w:val="16"/>
          <w:szCs w:val="16"/>
          <w:color w:val="auto"/>
        </w:rPr>
        <w:t>. There are no Actions pending against such Sponsor Party, or to the knowledge of such Sponsor Party threatened against such Sponsor Party, before (or, in the case of threatened Actions, that would be before) any arbitrator or any Governmental Authority, which in any manner challenges or seeks to prevent, enjoin or materially delay the performance by such Sponsor Party of its, his or her obligations under this Sponsor Agreement.</w:t>
      </w:r>
    </w:p>
    <w:p>
      <w:pPr>
        <w:spacing w:after="0" w:line="155" w:lineRule="exact"/>
        <w:rPr>
          <w:rFonts w:ascii="Times New Roman" w:cs="Times New Roman" w:eastAsia="Times New Roman" w:hAnsi="Times New Roman"/>
          <w:sz w:val="16"/>
          <w:szCs w:val="16"/>
          <w:color w:val="auto"/>
        </w:rPr>
      </w:pPr>
    </w:p>
    <w:p>
      <w:pPr>
        <w:jc w:val="both"/>
        <w:ind w:firstLine="1716"/>
        <w:spacing w:after="0" w:line="265" w:lineRule="auto"/>
        <w:tabs>
          <w:tab w:leader="none" w:pos="1949" w:val="left"/>
        </w:tabs>
        <w:numPr>
          <w:ilvl w:val="0"/>
          <w:numId w:val="2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Brokerage Fees</w:t>
      </w:r>
      <w:r>
        <w:rPr>
          <w:rFonts w:ascii="Times New Roman" w:cs="Times New Roman" w:eastAsia="Times New Roman" w:hAnsi="Times New Roman"/>
          <w:sz w:val="16"/>
          <w:szCs w:val="16"/>
          <w:color w:val="auto"/>
        </w:rPr>
        <w:t>. Except as described in Section 5.09 of the Merger Agreement (or the corresponding section of the disclosure schedules), no broker, finder, investment banker or other Person is entitled to any brokerage fee, finders’ fee or other commission in connection with the transactions contemplated by the Merger Agreement based upon arrangements made by such Sponsor Party, for which Acquiror or any of its Subsidiaries may become liable.</w:t>
      </w:r>
    </w:p>
    <w:p>
      <w:pPr>
        <w:spacing w:after="0" w:line="155" w:lineRule="exact"/>
        <w:rPr>
          <w:rFonts w:ascii="Times New Roman" w:cs="Times New Roman" w:eastAsia="Times New Roman" w:hAnsi="Times New Roman"/>
          <w:sz w:val="16"/>
          <w:szCs w:val="16"/>
          <w:color w:val="auto"/>
        </w:rPr>
      </w:pPr>
    </w:p>
    <w:p>
      <w:pPr>
        <w:jc w:val="both"/>
        <w:ind w:firstLine="1716"/>
        <w:spacing w:after="0" w:line="255" w:lineRule="auto"/>
        <w:tabs>
          <w:tab w:leader="none" w:pos="1999" w:val="left"/>
        </w:tabs>
        <w:numPr>
          <w:ilvl w:val="0"/>
          <w:numId w:val="2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Fees; Loan Repayments</w:t>
      </w:r>
      <w:r>
        <w:rPr>
          <w:rFonts w:ascii="Times New Roman" w:cs="Times New Roman" w:eastAsia="Times New Roman" w:hAnsi="Times New Roman"/>
          <w:sz w:val="16"/>
          <w:szCs w:val="16"/>
          <w:color w:val="auto"/>
        </w:rPr>
        <w:t>. Except as disclosed in the registration statement on Form S-1 and prospectus filed by Acquiror with the U.S. Securities and Exchange Commission in connection with the underwritten initial public offering of 15,000,000 of Acquiror’s units (plus 2,250,000 Acquiror’s units issued upon exercise of the over-allotment option), neither the Sponsor Parties nor any of their respective Affiliates, nor any of their respective directors or officers, shall receive from Acquiror any finder’s fee, reimbursement, consulting fee, non-cash payments, monies in respect of any repayment of a loan or other compensation prior to, or in connection with any services rendered in order to effectuate, the consummation of Acquiror’s initial Business Combination (regardless of the type of transaction that it is, but including, for the avoidance of doubt, the Mergers).</w:t>
      </w:r>
    </w:p>
    <w:p>
      <w:pPr>
        <w:spacing w:after="0" w:line="165" w:lineRule="exact"/>
        <w:rPr>
          <w:rFonts w:ascii="Times New Roman" w:cs="Times New Roman" w:eastAsia="Times New Roman" w:hAnsi="Times New Roman"/>
          <w:sz w:val="16"/>
          <w:szCs w:val="16"/>
          <w:color w:val="auto"/>
        </w:rPr>
      </w:pPr>
    </w:p>
    <w:p>
      <w:pPr>
        <w:jc w:val="both"/>
        <w:ind w:firstLine="1716"/>
        <w:spacing w:after="0" w:line="259" w:lineRule="auto"/>
        <w:tabs>
          <w:tab w:leader="none" w:pos="1958" w:val="left"/>
        </w:tabs>
        <w:numPr>
          <w:ilvl w:val="0"/>
          <w:numId w:val="2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Affiliate Arrangements</w:t>
      </w:r>
      <w:r>
        <w:rPr>
          <w:rFonts w:ascii="Times New Roman" w:cs="Times New Roman" w:eastAsia="Times New Roman" w:hAnsi="Times New Roman"/>
          <w:sz w:val="16"/>
          <w:szCs w:val="16"/>
          <w:color w:val="auto"/>
        </w:rPr>
        <w:t xml:space="preserve">. Except as set forth on </w:t>
      </w:r>
      <w:r>
        <w:rPr>
          <w:rFonts w:ascii="Times New Roman" w:cs="Times New Roman" w:eastAsia="Times New Roman" w:hAnsi="Times New Roman"/>
          <w:sz w:val="16"/>
          <w:szCs w:val="16"/>
          <w:u w:val="single" w:color="auto"/>
          <w:color w:val="auto"/>
        </w:rPr>
        <w:t>Schedule II</w:t>
      </w:r>
      <w:r>
        <w:rPr>
          <w:rFonts w:ascii="Times New Roman" w:cs="Times New Roman" w:eastAsia="Times New Roman" w:hAnsi="Times New Roman"/>
          <w:sz w:val="16"/>
          <w:szCs w:val="16"/>
          <w:color w:val="auto"/>
        </w:rPr>
        <w:t xml:space="preserve"> attached hereto or any registration statements, reports, schedules, forms, statements and other documents filed or furnished with the SEC by Acquiror, neither such Sponsor Party nor any anyone related by blood, marriage or adoption to such Sponsor Party or, to the knowledge of such Sponsor Party, any Person in which such Sponsor Party has a direct or indirect legal, contractual or beneficial ownership of 5% or greater is party to, or has any rights with respect to or arising from, any Contract with Acquiror or its Subsidiaries.</w:t>
      </w:r>
    </w:p>
    <w:p>
      <w:pPr>
        <w:spacing w:after="0" w:line="161" w:lineRule="exact"/>
        <w:rPr>
          <w:rFonts w:ascii="Times New Roman" w:cs="Times New Roman" w:eastAsia="Times New Roman" w:hAnsi="Times New Roman"/>
          <w:sz w:val="16"/>
          <w:szCs w:val="16"/>
          <w:color w:val="auto"/>
        </w:rPr>
      </w:pPr>
    </w:p>
    <w:p>
      <w:pPr>
        <w:ind w:right="20" w:firstLine="1716"/>
        <w:spacing w:after="0" w:line="280" w:lineRule="auto"/>
        <w:tabs>
          <w:tab w:leader="none" w:pos="1970" w:val="left"/>
        </w:tabs>
        <w:numPr>
          <w:ilvl w:val="0"/>
          <w:numId w:val="2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Acknowledgment</w:t>
      </w:r>
      <w:r>
        <w:rPr>
          <w:rFonts w:ascii="Times New Roman" w:cs="Times New Roman" w:eastAsia="Times New Roman" w:hAnsi="Times New Roman"/>
          <w:sz w:val="16"/>
          <w:szCs w:val="16"/>
          <w:color w:val="auto"/>
        </w:rPr>
        <w:t>. Such Sponsor Party understands and acknowledges that each of Acquiror and the Company is entering into the Merger Agreement in reliance upon such Sponsor Party’s execution and delivery of this Sponsor Agreement.</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30" w:name="page231"/>
    <w:bookmarkEnd w:id="230"/>
    <w:p>
      <w:pPr>
        <w:ind w:left="5140"/>
        <w:spacing w:after="0"/>
        <w:rPr>
          <w:sz w:val="20"/>
          <w:szCs w:val="20"/>
          <w:color w:val="auto"/>
        </w:rPr>
      </w:pPr>
      <w:r>
        <w:rPr>
          <w:rFonts w:ascii="Times New Roman" w:cs="Times New Roman" w:eastAsia="Times New Roman" w:hAnsi="Times New Roman"/>
          <w:sz w:val="16"/>
          <w:szCs w:val="16"/>
          <w:b w:val="1"/>
          <w:bCs w:val="1"/>
          <w:color w:val="auto"/>
        </w:rPr>
        <w:t>ARTICLE III</w:t>
      </w:r>
    </w:p>
    <w:p>
      <w:pPr>
        <w:spacing w:after="0" w:line="2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6"/>
          <w:szCs w:val="16"/>
          <w:b w:val="1"/>
          <w:bCs w:val="1"/>
          <w:u w:val="single" w:color="auto"/>
          <w:color w:val="auto"/>
        </w:rPr>
        <w:t>MISCELLANEOUS</w:t>
      </w:r>
    </w:p>
    <w:p>
      <w:pPr>
        <w:spacing w:after="0" w:line="182" w:lineRule="exact"/>
        <w:rPr>
          <w:sz w:val="20"/>
          <w:szCs w:val="20"/>
          <w:color w:val="auto"/>
        </w:rPr>
      </w:pPr>
    </w:p>
    <w:p>
      <w:pPr>
        <w:jc w:val="both"/>
        <w:ind w:firstLine="1721"/>
        <w:spacing w:after="0" w:line="253" w:lineRule="auto"/>
        <w:rPr>
          <w:sz w:val="20"/>
          <w:szCs w:val="20"/>
          <w:color w:val="auto"/>
        </w:rPr>
      </w:pPr>
      <w:r>
        <w:rPr>
          <w:rFonts w:ascii="Times New Roman" w:cs="Times New Roman" w:eastAsia="Times New Roman" w:hAnsi="Times New Roman"/>
          <w:sz w:val="16"/>
          <w:szCs w:val="16"/>
          <w:color w:val="auto"/>
        </w:rPr>
        <w:t xml:space="preserve">Section 3.1 </w:t>
      </w:r>
      <w:r>
        <w:rPr>
          <w:rFonts w:ascii="Times New Roman" w:cs="Times New Roman" w:eastAsia="Times New Roman" w:hAnsi="Times New Roman"/>
          <w:sz w:val="16"/>
          <w:szCs w:val="16"/>
          <w:u w:val="single" w:color="auto"/>
          <w:color w:val="auto"/>
        </w:rPr>
        <w:t>Termination</w:t>
      </w:r>
      <w:r>
        <w:rPr>
          <w:rFonts w:ascii="Times New Roman" w:cs="Times New Roman" w:eastAsia="Times New Roman" w:hAnsi="Times New Roman"/>
          <w:sz w:val="16"/>
          <w:szCs w:val="16"/>
          <w:color w:val="auto"/>
        </w:rPr>
        <w:t xml:space="preserve">. This Sponsor Agreement and all of its provisions (except for </w:t>
      </w:r>
      <w:r>
        <w:rPr>
          <w:rFonts w:ascii="Times New Roman" w:cs="Times New Roman" w:eastAsia="Times New Roman" w:hAnsi="Times New Roman"/>
          <w:sz w:val="16"/>
          <w:szCs w:val="16"/>
          <w:u w:val="single" w:color="auto"/>
          <w:color w:val="auto"/>
        </w:rPr>
        <w:t>Section 1.6</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1.7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1.8</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1.10</w:t>
      </w:r>
      <w:r>
        <w:rPr>
          <w:rFonts w:ascii="Times New Roman" w:cs="Times New Roman" w:eastAsia="Times New Roman" w:hAnsi="Times New Roman"/>
          <w:sz w:val="16"/>
          <w:szCs w:val="16"/>
          <w:color w:val="auto"/>
        </w:rPr>
        <w:t xml:space="preserve"> of this Sponsor Agreement) shall terminate and be of no further force or effect upon the earliest of (a) the Expiration Time, (b) the liquidation of Acquiror and (c) the written agreement of each Sponsor, Acquiror, and the Company. Upon such termination of this Sponsor Agreement, all obligations of the parties under this Sponsor Agreement will terminate, without any liability or other obligation on the part of any party hereto to any Person in respect hereof or the transactions contemplated hereby, and no party hereto shall have any claim against another (and no person shall have any rights against such party), whether under contract, tort or otherwise, with respect to the subject matter hereof;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the termination of this Sponsor Agreement shall not relieve any party hereto from liability arising from any actual fraud in respect of this Sponsor Agreement occurring prior to such termination. Notwithstanding the foregoing, </w:t>
      </w:r>
      <w:r>
        <w:rPr>
          <w:rFonts w:ascii="Times New Roman" w:cs="Times New Roman" w:eastAsia="Times New Roman" w:hAnsi="Times New Roman"/>
          <w:sz w:val="16"/>
          <w:szCs w:val="16"/>
          <w:u w:val="single" w:color="auto"/>
          <w:color w:val="auto"/>
        </w:rPr>
        <w:t>Section 1.6</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1.7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1.8</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1.10</w:t>
      </w:r>
      <w:r>
        <w:rPr>
          <w:rFonts w:ascii="Times New Roman" w:cs="Times New Roman" w:eastAsia="Times New Roman" w:hAnsi="Times New Roman"/>
          <w:sz w:val="16"/>
          <w:szCs w:val="16"/>
          <w:color w:val="auto"/>
        </w:rPr>
        <w:t xml:space="preserve"> and this </w:t>
      </w:r>
      <w:r>
        <w:rPr>
          <w:rFonts w:ascii="Times New Roman" w:cs="Times New Roman" w:eastAsia="Times New Roman" w:hAnsi="Times New Roman"/>
          <w:sz w:val="16"/>
          <w:szCs w:val="16"/>
          <w:u w:val="single" w:color="auto"/>
          <w:color w:val="auto"/>
        </w:rPr>
        <w:t>Article III</w:t>
      </w:r>
      <w:r>
        <w:rPr>
          <w:rFonts w:ascii="Times New Roman" w:cs="Times New Roman" w:eastAsia="Times New Roman" w:hAnsi="Times New Roman"/>
          <w:sz w:val="16"/>
          <w:szCs w:val="16"/>
          <w:color w:val="auto"/>
        </w:rPr>
        <w:t xml:space="preserve"> shall survive the termination of this Sponsor Agreement.</w:t>
      </w:r>
    </w:p>
    <w:p>
      <w:pPr>
        <w:spacing w:after="0" w:line="169" w:lineRule="exact"/>
        <w:rPr>
          <w:sz w:val="20"/>
          <w:szCs w:val="20"/>
          <w:color w:val="auto"/>
        </w:rPr>
      </w:pPr>
    </w:p>
    <w:p>
      <w:pPr>
        <w:jc w:val="both"/>
        <w:ind w:firstLine="1721"/>
        <w:spacing w:after="0" w:line="253" w:lineRule="auto"/>
        <w:rPr>
          <w:sz w:val="20"/>
          <w:szCs w:val="20"/>
          <w:color w:val="auto"/>
        </w:rPr>
      </w:pPr>
      <w:r>
        <w:rPr>
          <w:rFonts w:ascii="Times New Roman" w:cs="Times New Roman" w:eastAsia="Times New Roman" w:hAnsi="Times New Roman"/>
          <w:sz w:val="16"/>
          <w:szCs w:val="16"/>
          <w:color w:val="auto"/>
        </w:rPr>
        <w:t xml:space="preserve">Section 3.2 </w:t>
      </w:r>
      <w:r>
        <w:rPr>
          <w:rFonts w:ascii="Times New Roman" w:cs="Times New Roman" w:eastAsia="Times New Roman" w:hAnsi="Times New Roman"/>
          <w:sz w:val="16"/>
          <w:szCs w:val="16"/>
          <w:u w:val="single" w:color="auto"/>
          <w:color w:val="auto"/>
        </w:rPr>
        <w:t>Governing Law; Jurisdiction; Jury Trial Waiver</w:t>
      </w:r>
      <w:r>
        <w:rPr>
          <w:rFonts w:ascii="Times New Roman" w:cs="Times New Roman" w:eastAsia="Times New Roman" w:hAnsi="Times New Roman"/>
          <w:sz w:val="16"/>
          <w:szCs w:val="16"/>
          <w:color w:val="auto"/>
        </w:rPr>
        <w:t>. Any Action based upon, arising out of or related to this Sponsor Agreement, or the transactions contemplated hereby, shall be brought in the Court of Chancery of the State of Delaware or, if such court declines to exercise jurisdiction, the District Courts located in the State of Delaware, and each of the parties irrevocably submits to the exclusive jurisdiction of each such court in any such Action, waives any objection it may now or hereafter have to personal jurisdiction, venue or to convenience of forum, agrees that all claims in respect of the Action shall be heard and determined only in any such court, and agrees not to bring any Action arising out of or relating to this Sponsor Agreement or the transactions contemplated hereby in any other court. Nothing herein contained shall be deemed to affect the right of any party to serve process in any manner permitted by Law, or to commence legal proceedings or otherwise proceed against any other party in any other jurisdiction, in each case, to enforce judgments obtained in any Action brought pursuant to this Section 3.2. EACH OF THE PARTIES HERETO HEREBY IRREVOCABLY WAIVES ANY AND ALL RIGHT TO TRIAL BY JURY IN ANY ACTION BASED UPON, ARISING OUT OF OR RELATED TO THIS SPONSOR AGREEMENT OR THE TRANSACTIONS CONTEMPLATED HEREBY.</w:t>
      </w:r>
    </w:p>
    <w:p>
      <w:pPr>
        <w:spacing w:after="0" w:line="166" w:lineRule="exact"/>
        <w:rPr>
          <w:sz w:val="20"/>
          <w:szCs w:val="20"/>
          <w:color w:val="auto"/>
        </w:rPr>
      </w:pPr>
    </w:p>
    <w:p>
      <w:pPr>
        <w:jc w:val="both"/>
        <w:ind w:firstLine="1721"/>
        <w:spacing w:after="0" w:line="265" w:lineRule="auto"/>
        <w:rPr>
          <w:sz w:val="20"/>
          <w:szCs w:val="20"/>
          <w:color w:val="auto"/>
        </w:rPr>
      </w:pPr>
      <w:r>
        <w:rPr>
          <w:rFonts w:ascii="Times New Roman" w:cs="Times New Roman" w:eastAsia="Times New Roman" w:hAnsi="Times New Roman"/>
          <w:sz w:val="16"/>
          <w:szCs w:val="16"/>
          <w:color w:val="auto"/>
        </w:rPr>
        <w:t xml:space="preserve">Section 3.3 </w:t>
      </w:r>
      <w:r>
        <w:rPr>
          <w:rFonts w:ascii="Times New Roman" w:cs="Times New Roman" w:eastAsia="Times New Roman" w:hAnsi="Times New Roman"/>
          <w:sz w:val="16"/>
          <w:szCs w:val="16"/>
          <w:u w:val="single" w:color="auto"/>
          <w:color w:val="auto"/>
        </w:rPr>
        <w:t>Assignment</w:t>
      </w:r>
      <w:r>
        <w:rPr>
          <w:rFonts w:ascii="Times New Roman" w:cs="Times New Roman" w:eastAsia="Times New Roman" w:hAnsi="Times New Roman"/>
          <w:sz w:val="16"/>
          <w:szCs w:val="16"/>
          <w:color w:val="auto"/>
        </w:rPr>
        <w:t xml:space="preserve">. This Sponsor Agreement and all of the provisions hereof will be binding upon and inure to the benefit of the parties hereto and their respective heirs, successors and permitted assigns. Neither this Sponsor Agreement nor any of the rights, interests or obligations hereunder will be assigned (including by operation of law) without the prior written consent of the parties hereto. Any purported assignment or delegation not permitted under this </w:t>
      </w:r>
      <w:r>
        <w:rPr>
          <w:rFonts w:ascii="Times New Roman" w:cs="Times New Roman" w:eastAsia="Times New Roman" w:hAnsi="Times New Roman"/>
          <w:sz w:val="16"/>
          <w:szCs w:val="16"/>
          <w:u w:val="single" w:color="auto"/>
          <w:color w:val="auto"/>
        </w:rPr>
        <w:t>Section 3.3</w:t>
      </w:r>
      <w:r>
        <w:rPr>
          <w:rFonts w:ascii="Times New Roman" w:cs="Times New Roman" w:eastAsia="Times New Roman" w:hAnsi="Times New Roman"/>
          <w:sz w:val="16"/>
          <w:szCs w:val="16"/>
          <w:color w:val="auto"/>
        </w:rPr>
        <w:t xml:space="preserve"> shall be null and void.</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231" w:name="page232"/>
    <w:bookmarkEnd w:id="231"/>
    <w:p>
      <w:pPr>
        <w:jc w:val="both"/>
        <w:ind w:left="4" w:firstLine="1721"/>
        <w:spacing w:after="0" w:line="259" w:lineRule="auto"/>
        <w:rPr>
          <w:sz w:val="20"/>
          <w:szCs w:val="20"/>
          <w:color w:val="auto"/>
        </w:rPr>
      </w:pPr>
      <w:r>
        <w:rPr>
          <w:rFonts w:ascii="Times New Roman" w:cs="Times New Roman" w:eastAsia="Times New Roman" w:hAnsi="Times New Roman"/>
          <w:sz w:val="16"/>
          <w:szCs w:val="16"/>
          <w:color w:val="auto"/>
        </w:rPr>
        <w:t xml:space="preserve">Section 3.4 </w:t>
      </w:r>
      <w:r>
        <w:rPr>
          <w:rFonts w:ascii="Times New Roman" w:cs="Times New Roman" w:eastAsia="Times New Roman" w:hAnsi="Times New Roman"/>
          <w:sz w:val="16"/>
          <w:szCs w:val="16"/>
          <w:u w:val="single" w:color="auto"/>
          <w:color w:val="auto"/>
        </w:rPr>
        <w:t>Specific Performance</w:t>
      </w:r>
      <w:r>
        <w:rPr>
          <w:rFonts w:ascii="Times New Roman" w:cs="Times New Roman" w:eastAsia="Times New Roman" w:hAnsi="Times New Roman"/>
          <w:sz w:val="16"/>
          <w:szCs w:val="16"/>
          <w:color w:val="auto"/>
        </w:rPr>
        <w:t>. The parties hereto agree that irreparable damage may occur in the event that any of the provisions of this Sponsor Agreement were not performed in accordance with their specific terms or were otherwise breached. It is accordingly agreed that the parties hereto shall be entitled to seek an injunction or injunctions to prevent breaches of this Sponsor Agreement and to enforce specifically the terms and provisions of this Sponsor Agreement in the chancery court or any other state or federal court within the State of Delaware, this being in addition to any other remedy to which such party is entitled at law or in equity.</w:t>
      </w:r>
    </w:p>
    <w:p>
      <w:pPr>
        <w:spacing w:after="0" w:line="162" w:lineRule="exact"/>
        <w:rPr>
          <w:sz w:val="20"/>
          <w:szCs w:val="20"/>
          <w:color w:val="auto"/>
        </w:rPr>
      </w:pPr>
    </w:p>
    <w:p>
      <w:pPr>
        <w:jc w:val="both"/>
        <w:ind w:left="4" w:firstLine="1721"/>
        <w:spacing w:after="0" w:line="280" w:lineRule="auto"/>
        <w:rPr>
          <w:sz w:val="20"/>
          <w:szCs w:val="20"/>
          <w:color w:val="auto"/>
        </w:rPr>
      </w:pPr>
      <w:r>
        <w:rPr>
          <w:rFonts w:ascii="Times New Roman" w:cs="Times New Roman" w:eastAsia="Times New Roman" w:hAnsi="Times New Roman"/>
          <w:sz w:val="16"/>
          <w:szCs w:val="16"/>
          <w:color w:val="auto"/>
        </w:rPr>
        <w:t xml:space="preserve">Section 3.5 </w:t>
      </w:r>
      <w:r>
        <w:rPr>
          <w:rFonts w:ascii="Times New Roman" w:cs="Times New Roman" w:eastAsia="Times New Roman" w:hAnsi="Times New Roman"/>
          <w:sz w:val="16"/>
          <w:szCs w:val="16"/>
          <w:u w:val="single" w:color="auto"/>
          <w:color w:val="auto"/>
        </w:rPr>
        <w:t>Amendment</w:t>
      </w:r>
      <w:r>
        <w:rPr>
          <w:rFonts w:ascii="Times New Roman" w:cs="Times New Roman" w:eastAsia="Times New Roman" w:hAnsi="Times New Roman"/>
          <w:sz w:val="16"/>
          <w:szCs w:val="16"/>
          <w:color w:val="auto"/>
        </w:rPr>
        <w:t>. This Sponsor Agreement may not be amended, changed, supplemented, waived or otherwise modified or terminated, except upon the execution and delivery of a written agreement executed by Acquiror, the Company and the Sponsors.</w:t>
      </w:r>
    </w:p>
    <w:p>
      <w:pPr>
        <w:spacing w:after="0" w:line="144" w:lineRule="exact"/>
        <w:rPr>
          <w:sz w:val="20"/>
          <w:szCs w:val="20"/>
          <w:color w:val="auto"/>
        </w:rPr>
      </w:pPr>
    </w:p>
    <w:p>
      <w:pPr>
        <w:jc w:val="both"/>
        <w:ind w:left="4" w:firstLine="1721"/>
        <w:spacing w:after="0" w:line="265" w:lineRule="auto"/>
        <w:rPr>
          <w:sz w:val="20"/>
          <w:szCs w:val="20"/>
          <w:color w:val="auto"/>
        </w:rPr>
      </w:pPr>
      <w:r>
        <w:rPr>
          <w:rFonts w:ascii="Times New Roman" w:cs="Times New Roman" w:eastAsia="Times New Roman" w:hAnsi="Times New Roman"/>
          <w:sz w:val="16"/>
          <w:szCs w:val="16"/>
          <w:color w:val="auto"/>
        </w:rPr>
        <w:t xml:space="preserve">Section 3.6 </w:t>
      </w: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If any provision of this Sponsor Agreement is held invalid or unenforceable by any court of competent jurisdiction, the other provisions of this Sponsor Agreement will remain in full force and effect. Any provision of this Sponsor Agreement held invalid or unenforceable only in part or degree will remain in full force and effect to the extent not held invalid or unenforceable.</w:t>
      </w:r>
    </w:p>
    <w:p>
      <w:pPr>
        <w:spacing w:after="0" w:line="1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 xml:space="preserve">Section 3.7 </w:t>
      </w: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All notices and other communications among the parties hereto shall be in writing and shall be deemed to have been duly given</w:t>
      </w:r>
    </w:p>
    <w:p>
      <w:pPr>
        <w:spacing w:after="0" w:line="24" w:lineRule="exact"/>
        <w:rPr>
          <w:sz w:val="20"/>
          <w:szCs w:val="20"/>
          <w:color w:val="auto"/>
        </w:rPr>
      </w:pPr>
    </w:p>
    <w:p>
      <w:pPr>
        <w:ind w:left="224" w:hanging="224"/>
        <w:spacing w:after="0"/>
        <w:tabs>
          <w:tab w:leader="none" w:pos="224" w:val="left"/>
        </w:tabs>
        <w:numPr>
          <w:ilvl w:val="0"/>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delivered in person, (b) when delivered after posting in the United States mail having been sent registered or certified mail return receipt requested, postage prepaid,</w:t>
      </w:r>
    </w:p>
    <w:p>
      <w:pPr>
        <w:spacing w:after="0" w:line="7" w:lineRule="exact"/>
        <w:rPr>
          <w:rFonts w:ascii="Times New Roman" w:cs="Times New Roman" w:eastAsia="Times New Roman" w:hAnsi="Times New Roman"/>
          <w:sz w:val="16"/>
          <w:szCs w:val="16"/>
          <w:color w:val="auto"/>
        </w:rPr>
      </w:pPr>
    </w:p>
    <w:p>
      <w:pPr>
        <w:ind w:left="4" w:hanging="4"/>
        <w:spacing w:after="0" w:line="258" w:lineRule="auto"/>
        <w:tabs>
          <w:tab w:leader="none" w:pos="223" w:val="left"/>
        </w:tabs>
        <w:numPr>
          <w:ilvl w:val="0"/>
          <w:numId w:val="2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delivered by FedEx or other nationally recognized overnight delivery service or (d) when e-mailed during normal business hours (and otherwise as of the immediately following Business Day), addressed as follows:</w:t>
      </w:r>
    </w:p>
    <w:p>
      <w:pPr>
        <w:spacing w:after="0" w:line="161" w:lineRule="exact"/>
        <w:rPr>
          <w:sz w:val="20"/>
          <w:szCs w:val="20"/>
          <w:color w:val="auto"/>
        </w:rPr>
      </w:pPr>
    </w:p>
    <w:p>
      <w:pPr>
        <w:ind w:left="1144"/>
        <w:spacing w:after="0"/>
        <w:rPr>
          <w:sz w:val="20"/>
          <w:szCs w:val="20"/>
          <w:color w:val="auto"/>
        </w:rPr>
      </w:pPr>
      <w:r>
        <w:rPr>
          <w:rFonts w:ascii="Times New Roman" w:cs="Times New Roman" w:eastAsia="Times New Roman" w:hAnsi="Times New Roman"/>
          <w:sz w:val="16"/>
          <w:szCs w:val="16"/>
          <w:u w:val="single" w:color="auto"/>
          <w:color w:val="auto"/>
        </w:rPr>
        <w:t>If to Acquiror</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1144"/>
        <w:spacing w:after="0"/>
        <w:rPr>
          <w:sz w:val="20"/>
          <w:szCs w:val="20"/>
          <w:color w:val="auto"/>
        </w:rPr>
      </w:pPr>
      <w:r>
        <w:rPr>
          <w:rFonts w:ascii="Times New Roman" w:cs="Times New Roman" w:eastAsia="Times New Roman" w:hAnsi="Times New Roman"/>
          <w:sz w:val="16"/>
          <w:szCs w:val="16"/>
          <w:color w:val="auto"/>
        </w:rPr>
        <w:t>Ventoux CCM Acquisition Corp.</w:t>
      </w:r>
    </w:p>
    <w:p>
      <w:pPr>
        <w:spacing w:after="0" w:line="24" w:lineRule="exact"/>
        <w:rPr>
          <w:sz w:val="20"/>
          <w:szCs w:val="20"/>
          <w:color w:val="auto"/>
        </w:rPr>
      </w:pPr>
    </w:p>
    <w:p>
      <w:pPr>
        <w:ind w:left="1144"/>
        <w:spacing w:after="0"/>
        <w:rPr>
          <w:sz w:val="20"/>
          <w:szCs w:val="20"/>
          <w:color w:val="auto"/>
        </w:rPr>
      </w:pPr>
      <w:r>
        <w:rPr>
          <w:rFonts w:ascii="Times New Roman" w:cs="Times New Roman" w:eastAsia="Times New Roman" w:hAnsi="Times New Roman"/>
          <w:sz w:val="16"/>
          <w:szCs w:val="16"/>
          <w:color w:val="auto"/>
        </w:rPr>
        <w:t>1 East Putnam Avenue, Floor 4</w:t>
      </w:r>
    </w:p>
    <w:p>
      <w:pPr>
        <w:spacing w:after="0" w:line="7" w:lineRule="exact"/>
        <w:rPr>
          <w:sz w:val="20"/>
          <w:szCs w:val="20"/>
          <w:color w:val="auto"/>
        </w:rPr>
      </w:pPr>
    </w:p>
    <w:p>
      <w:pPr>
        <w:ind w:left="1144"/>
        <w:spacing w:after="0"/>
        <w:rPr>
          <w:sz w:val="20"/>
          <w:szCs w:val="20"/>
          <w:color w:val="auto"/>
        </w:rPr>
      </w:pPr>
      <w:r>
        <w:rPr>
          <w:rFonts w:ascii="Times New Roman" w:cs="Times New Roman" w:eastAsia="Times New Roman" w:hAnsi="Times New Roman"/>
          <w:sz w:val="16"/>
          <w:szCs w:val="16"/>
          <w:color w:val="auto"/>
        </w:rPr>
        <w:t>Greenwich, CT 06830</w:t>
      </w:r>
    </w:p>
    <w:p>
      <w:pPr>
        <w:spacing w:after="0" w:line="7" w:lineRule="exact"/>
        <w:rPr>
          <w:sz w:val="20"/>
          <w:szCs w:val="20"/>
          <w:color w:val="auto"/>
        </w:rPr>
      </w:pPr>
    </w:p>
    <w:p>
      <w:pPr>
        <w:ind w:left="1144"/>
        <w:spacing w:after="0"/>
        <w:rPr>
          <w:sz w:val="20"/>
          <w:szCs w:val="20"/>
          <w:color w:val="auto"/>
        </w:rPr>
      </w:pPr>
      <w:r>
        <w:rPr>
          <w:rFonts w:ascii="Times New Roman" w:cs="Times New Roman" w:eastAsia="Times New Roman" w:hAnsi="Times New Roman"/>
          <w:sz w:val="16"/>
          <w:szCs w:val="16"/>
          <w:color w:val="auto"/>
        </w:rPr>
        <w:t>Attention: Edward Scheetz</w:t>
      </w:r>
    </w:p>
    <w:p>
      <w:pPr>
        <w:spacing w:after="0" w:line="7" w:lineRule="exact"/>
        <w:rPr>
          <w:sz w:val="20"/>
          <w:szCs w:val="20"/>
          <w:color w:val="auto"/>
        </w:rPr>
      </w:pPr>
    </w:p>
    <w:p>
      <w:pPr>
        <w:ind w:left="1144"/>
        <w:spacing w:after="0"/>
        <w:rPr>
          <w:sz w:val="20"/>
          <w:szCs w:val="20"/>
          <w:color w:val="auto"/>
        </w:rPr>
      </w:pPr>
      <w:r>
        <w:rPr>
          <w:rFonts w:ascii="Times New Roman" w:cs="Times New Roman" w:eastAsia="Times New Roman" w:hAnsi="Times New Roman"/>
          <w:sz w:val="16"/>
          <w:szCs w:val="16"/>
          <w:color w:val="auto"/>
        </w:rPr>
        <w:t>Email: ed.scheetz@gmail.com</w:t>
      </w:r>
    </w:p>
    <w:p>
      <w:pPr>
        <w:spacing w:after="0" w:line="182" w:lineRule="exact"/>
        <w:rPr>
          <w:sz w:val="20"/>
          <w:szCs w:val="20"/>
          <w:color w:val="auto"/>
        </w:rPr>
      </w:pPr>
    </w:p>
    <w:p>
      <w:pPr>
        <w:ind w:left="1144"/>
        <w:spacing w:after="0"/>
        <w:rPr>
          <w:sz w:val="20"/>
          <w:szCs w:val="20"/>
          <w:color w:val="auto"/>
        </w:rPr>
      </w:pPr>
      <w:r>
        <w:rPr>
          <w:rFonts w:ascii="Times New Roman" w:cs="Times New Roman" w:eastAsia="Times New Roman" w:hAnsi="Times New Roman"/>
          <w:sz w:val="16"/>
          <w:szCs w:val="16"/>
          <w:color w:val="auto"/>
        </w:rPr>
        <w:t>with a copy to (which will not constitute notice):</w:t>
      </w:r>
    </w:p>
    <w:p>
      <w:pPr>
        <w:spacing w:after="0" w:line="198" w:lineRule="exact"/>
        <w:rPr>
          <w:sz w:val="20"/>
          <w:szCs w:val="20"/>
          <w:color w:val="auto"/>
        </w:rPr>
      </w:pPr>
    </w:p>
    <w:p>
      <w:pPr>
        <w:ind w:left="1144"/>
        <w:spacing w:after="0"/>
        <w:rPr>
          <w:sz w:val="20"/>
          <w:szCs w:val="20"/>
          <w:color w:val="auto"/>
        </w:rPr>
      </w:pPr>
      <w:r>
        <w:rPr>
          <w:rFonts w:ascii="Times New Roman" w:cs="Times New Roman" w:eastAsia="Times New Roman" w:hAnsi="Times New Roman"/>
          <w:sz w:val="16"/>
          <w:szCs w:val="16"/>
          <w:color w:val="auto"/>
        </w:rPr>
        <w:t>Woolery &amp; Co.</w:t>
      </w:r>
    </w:p>
    <w:p>
      <w:pPr>
        <w:spacing w:after="0" w:line="24" w:lineRule="exact"/>
        <w:rPr>
          <w:sz w:val="20"/>
          <w:szCs w:val="20"/>
          <w:color w:val="auto"/>
        </w:rPr>
      </w:pPr>
    </w:p>
    <w:p>
      <w:pPr>
        <w:ind w:left="1144"/>
        <w:spacing w:after="0"/>
        <w:rPr>
          <w:sz w:val="20"/>
          <w:szCs w:val="20"/>
          <w:color w:val="auto"/>
        </w:rPr>
      </w:pPr>
      <w:r>
        <w:rPr>
          <w:rFonts w:ascii="Times New Roman" w:cs="Times New Roman" w:eastAsia="Times New Roman" w:hAnsi="Times New Roman"/>
          <w:sz w:val="16"/>
          <w:szCs w:val="16"/>
          <w:color w:val="auto"/>
        </w:rPr>
        <w:t>1 Pier 76</w:t>
      </w:r>
    </w:p>
    <w:p>
      <w:pPr>
        <w:spacing w:after="0" w:line="7" w:lineRule="exact"/>
        <w:rPr>
          <w:sz w:val="20"/>
          <w:szCs w:val="20"/>
          <w:color w:val="auto"/>
        </w:rPr>
      </w:pPr>
    </w:p>
    <w:p>
      <w:pPr>
        <w:ind w:left="1144"/>
        <w:spacing w:after="0"/>
        <w:rPr>
          <w:sz w:val="20"/>
          <w:szCs w:val="20"/>
          <w:color w:val="auto"/>
        </w:rPr>
      </w:pPr>
      <w:r>
        <w:rPr>
          <w:rFonts w:ascii="Times New Roman" w:cs="Times New Roman" w:eastAsia="Times New Roman" w:hAnsi="Times New Roman"/>
          <w:sz w:val="16"/>
          <w:szCs w:val="16"/>
          <w:color w:val="auto"/>
        </w:rPr>
        <w:t>408 12th Ave</w:t>
      </w:r>
    </w:p>
    <w:p>
      <w:pPr>
        <w:spacing w:after="0" w:line="7" w:lineRule="exact"/>
        <w:rPr>
          <w:sz w:val="20"/>
          <w:szCs w:val="20"/>
          <w:color w:val="auto"/>
        </w:rPr>
      </w:pPr>
    </w:p>
    <w:p>
      <w:pPr>
        <w:ind w:left="1144"/>
        <w:spacing w:after="0"/>
        <w:rPr>
          <w:sz w:val="20"/>
          <w:szCs w:val="20"/>
          <w:color w:val="auto"/>
        </w:rPr>
      </w:pPr>
      <w:r>
        <w:rPr>
          <w:rFonts w:ascii="Times New Roman" w:cs="Times New Roman" w:eastAsia="Times New Roman" w:hAnsi="Times New Roman"/>
          <w:sz w:val="16"/>
          <w:szCs w:val="16"/>
          <w:color w:val="auto"/>
        </w:rPr>
        <w:t>New York, NY 10018</w:t>
      </w:r>
    </w:p>
    <w:p>
      <w:pPr>
        <w:spacing w:after="0" w:line="7" w:lineRule="exact"/>
        <w:rPr>
          <w:sz w:val="20"/>
          <w:szCs w:val="20"/>
          <w:color w:val="auto"/>
        </w:rPr>
      </w:pPr>
    </w:p>
    <w:p>
      <w:pPr>
        <w:ind w:left="1144"/>
        <w:spacing w:after="0"/>
        <w:rPr>
          <w:sz w:val="20"/>
          <w:szCs w:val="20"/>
          <w:color w:val="auto"/>
        </w:rPr>
      </w:pPr>
      <w:r>
        <w:rPr>
          <w:rFonts w:ascii="Times New Roman" w:cs="Times New Roman" w:eastAsia="Times New Roman" w:hAnsi="Times New Roman"/>
          <w:sz w:val="16"/>
          <w:szCs w:val="16"/>
          <w:color w:val="auto"/>
        </w:rPr>
        <w:t>Attn: Mathew J. Saur</w:t>
      </w:r>
    </w:p>
    <w:p>
      <w:pPr>
        <w:spacing w:after="0" w:line="7" w:lineRule="exact"/>
        <w:rPr>
          <w:sz w:val="20"/>
          <w:szCs w:val="20"/>
          <w:color w:val="auto"/>
        </w:rPr>
      </w:pPr>
    </w:p>
    <w:p>
      <w:pPr>
        <w:ind w:left="1144"/>
        <w:spacing w:after="0"/>
        <w:rPr>
          <w:sz w:val="20"/>
          <w:szCs w:val="20"/>
          <w:color w:val="auto"/>
        </w:rPr>
      </w:pPr>
      <w:r>
        <w:rPr>
          <w:rFonts w:ascii="Times New Roman" w:cs="Times New Roman" w:eastAsia="Times New Roman" w:hAnsi="Times New Roman"/>
          <w:sz w:val="16"/>
          <w:szCs w:val="16"/>
          <w:color w:val="auto"/>
        </w:rPr>
        <w:t>E-mail: Mathew@wooleryco.com</w:t>
      </w:r>
    </w:p>
    <w:p>
      <w:pPr>
        <w:spacing w:after="0" w:line="182" w:lineRule="exact"/>
        <w:rPr>
          <w:sz w:val="20"/>
          <w:szCs w:val="20"/>
          <w:color w:val="auto"/>
        </w:rPr>
      </w:pPr>
    </w:p>
    <w:p>
      <w:pPr>
        <w:ind w:left="1144"/>
        <w:spacing w:after="0"/>
        <w:rPr>
          <w:sz w:val="20"/>
          <w:szCs w:val="20"/>
          <w:color w:val="auto"/>
        </w:rPr>
      </w:pPr>
      <w:r>
        <w:rPr>
          <w:rFonts w:ascii="Times New Roman" w:cs="Times New Roman" w:eastAsia="Times New Roman" w:hAnsi="Times New Roman"/>
          <w:sz w:val="16"/>
          <w:szCs w:val="16"/>
          <w:color w:val="auto"/>
        </w:rPr>
        <w:t>and</w:t>
      </w:r>
    </w:p>
    <w:p>
      <w:pPr>
        <w:spacing w:after="0" w:line="198" w:lineRule="exact"/>
        <w:rPr>
          <w:sz w:val="20"/>
          <w:szCs w:val="20"/>
          <w:color w:val="auto"/>
        </w:rPr>
      </w:pPr>
    </w:p>
    <w:p>
      <w:pPr>
        <w:ind w:left="1144"/>
        <w:spacing w:after="0"/>
        <w:rPr>
          <w:sz w:val="20"/>
          <w:szCs w:val="20"/>
          <w:color w:val="auto"/>
        </w:rPr>
      </w:pPr>
      <w:r>
        <w:rPr>
          <w:rFonts w:ascii="Times New Roman" w:cs="Times New Roman" w:eastAsia="Times New Roman" w:hAnsi="Times New Roman"/>
          <w:sz w:val="16"/>
          <w:szCs w:val="16"/>
          <w:color w:val="auto"/>
        </w:rPr>
        <w:t>Dentons US LLP</w:t>
      </w:r>
    </w:p>
    <w:p>
      <w:pPr>
        <w:spacing w:after="0" w:line="24" w:lineRule="exact"/>
        <w:rPr>
          <w:sz w:val="20"/>
          <w:szCs w:val="20"/>
          <w:color w:val="auto"/>
        </w:rPr>
      </w:pPr>
    </w:p>
    <w:p>
      <w:pPr>
        <w:ind w:left="1144"/>
        <w:spacing w:after="0"/>
        <w:rPr>
          <w:sz w:val="20"/>
          <w:szCs w:val="20"/>
          <w:color w:val="auto"/>
        </w:rPr>
      </w:pPr>
      <w:r>
        <w:rPr>
          <w:rFonts w:ascii="Times New Roman" w:cs="Times New Roman" w:eastAsia="Times New Roman" w:hAnsi="Times New Roman"/>
          <w:sz w:val="16"/>
          <w:szCs w:val="16"/>
          <w:color w:val="auto"/>
        </w:rPr>
        <w:t>1221 Avenue of the Americas</w:t>
      </w:r>
    </w:p>
    <w:p>
      <w:pPr>
        <w:spacing w:after="0" w:line="7" w:lineRule="exact"/>
        <w:rPr>
          <w:sz w:val="20"/>
          <w:szCs w:val="20"/>
          <w:color w:val="auto"/>
        </w:rPr>
      </w:pPr>
    </w:p>
    <w:p>
      <w:pPr>
        <w:ind w:left="1144"/>
        <w:spacing w:after="0"/>
        <w:rPr>
          <w:sz w:val="20"/>
          <w:szCs w:val="20"/>
          <w:color w:val="auto"/>
        </w:rPr>
      </w:pPr>
      <w:r>
        <w:rPr>
          <w:rFonts w:ascii="Times New Roman" w:cs="Times New Roman" w:eastAsia="Times New Roman" w:hAnsi="Times New Roman"/>
          <w:sz w:val="16"/>
          <w:szCs w:val="16"/>
          <w:color w:val="auto"/>
        </w:rPr>
        <w:t>New York, NY 10020</w:t>
      </w:r>
    </w:p>
    <w:p>
      <w:pPr>
        <w:spacing w:after="0" w:line="7" w:lineRule="exact"/>
        <w:rPr>
          <w:sz w:val="20"/>
          <w:szCs w:val="20"/>
          <w:color w:val="auto"/>
        </w:rPr>
      </w:pPr>
    </w:p>
    <w:p>
      <w:pPr>
        <w:ind w:left="1144"/>
        <w:spacing w:after="0"/>
        <w:rPr>
          <w:sz w:val="20"/>
          <w:szCs w:val="20"/>
          <w:color w:val="auto"/>
        </w:rPr>
      </w:pPr>
      <w:r>
        <w:rPr>
          <w:rFonts w:ascii="Times New Roman" w:cs="Times New Roman" w:eastAsia="Times New Roman" w:hAnsi="Times New Roman"/>
          <w:sz w:val="16"/>
          <w:szCs w:val="16"/>
          <w:color w:val="auto"/>
        </w:rPr>
        <w:t>Attention: Ilan Katz and Brian Lee</w:t>
      </w:r>
    </w:p>
    <w:p>
      <w:pPr>
        <w:spacing w:after="0" w:line="7" w:lineRule="exact"/>
        <w:rPr>
          <w:sz w:val="20"/>
          <w:szCs w:val="20"/>
          <w:color w:val="auto"/>
        </w:rPr>
      </w:pPr>
    </w:p>
    <w:p>
      <w:pPr>
        <w:ind w:left="1144"/>
        <w:spacing w:after="0"/>
        <w:rPr>
          <w:sz w:val="20"/>
          <w:szCs w:val="20"/>
          <w:color w:val="auto"/>
        </w:rPr>
      </w:pPr>
      <w:r>
        <w:rPr>
          <w:rFonts w:ascii="Times New Roman" w:cs="Times New Roman" w:eastAsia="Times New Roman" w:hAnsi="Times New Roman"/>
          <w:sz w:val="16"/>
          <w:szCs w:val="16"/>
          <w:color w:val="auto"/>
        </w:rPr>
        <w:t>Email: ilan.katz@dentons.com and brian.lee@dentons.com</w:t>
      </w:r>
    </w:p>
    <w:p>
      <w:pPr>
        <w:spacing w:after="0" w:line="37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4"/>
          </w:cols>
          <w:pgMar w:left="316" w:top="816" w:right="339" w:bottom="1440" w:gutter="0" w:footer="0" w:header="0"/>
        </w:sectPr>
      </w:pPr>
    </w:p>
    <w:bookmarkStart w:id="232" w:name="page233"/>
    <w:bookmarkEnd w:id="232"/>
    <w:p>
      <w:pPr>
        <w:ind w:left="20"/>
        <w:spacing w:after="0"/>
        <w:rPr>
          <w:sz w:val="20"/>
          <w:szCs w:val="20"/>
          <w:color w:val="auto"/>
        </w:rPr>
      </w:pPr>
      <w:r>
        <w:rPr>
          <w:rFonts w:ascii="Times New Roman" w:cs="Times New Roman" w:eastAsia="Times New Roman" w:hAnsi="Times New Roman"/>
          <w:sz w:val="16"/>
          <w:szCs w:val="16"/>
          <w:u w:val="single" w:color="auto"/>
          <w:color w:val="auto"/>
        </w:rPr>
        <w:t>If to the Company</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 La Carte, Inc.</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985 Industrial Road</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San Carlos, CA 94070</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Attn: Rajat Suri and Ashish Gupta</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E-mail: raj@presto.com and ashish@presto.com</w:t>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with a copy (which shall not constitute notice) to:</w:t>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White &amp; Case LLP</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1221 Avenue of the Americas</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New York, NY 10020-1095</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Attn: Colin Diamond</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E-mail: colin.diamond@whitecase.com</w:t>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and</w:t>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White &amp; Case LLP</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3000 El Camino Real</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2 Palo Alto Square, Suite 900</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Palo Alto, California 94306-2109</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Attn: Tali Sealman</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E-mail: tali.sealman@whitecase.com</w:t>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and</w:t>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White &amp; Case LLP</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609 Main Street Suite 2900</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Houston, Tezas 77007</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Attn: Emery Choi</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E-mail: emery.choi@whitecase.com</w:t>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u w:val="single" w:color="auto"/>
          <w:color w:val="auto"/>
        </w:rPr>
        <w:t>If to a Sponsor Party</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 xml:space="preserve">To such Sponsor Party’s address set forth in </w:t>
      </w:r>
      <w:r>
        <w:rPr>
          <w:rFonts w:ascii="Times New Roman" w:cs="Times New Roman" w:eastAsia="Times New Roman" w:hAnsi="Times New Roman"/>
          <w:sz w:val="16"/>
          <w:szCs w:val="16"/>
          <w:u w:val="single" w:color="auto"/>
          <w:color w:val="auto"/>
        </w:rPr>
        <w:t>Schedule I</w:t>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with a copy to (which will not constitute notice):</w:t>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Woolery &amp; Co.</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 Pier 76</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408 12th Ave</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New York, NY 10018</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Attn: Mathew J. Saur</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E-mail: Mathew@wooleryco.com</w:t>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and</w:t>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Dentons US LLP</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1221 Avenue of the Americas</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New York, NY 10020</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Attention: Ilan Katz and Brian Lee</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Email: ilan.katz@dentons.com and brian.lee@dentons.com</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15240</wp:posOffset>
            </wp:positionV>
            <wp:extent cx="7148195" cy="152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019"/>
          </w:cols>
          <w:pgMar w:left="1440" w:top="816" w:right="1440" w:bottom="1440" w:gutter="0" w:footer="0" w:header="0"/>
        </w:sectPr>
      </w:pPr>
    </w:p>
    <w:bookmarkStart w:id="233" w:name="page234"/>
    <w:bookmarkEnd w:id="233"/>
    <w:p>
      <w:pPr>
        <w:jc w:val="both"/>
        <w:ind w:right="20" w:firstLine="1721"/>
        <w:spacing w:after="0" w:line="280" w:lineRule="auto"/>
        <w:rPr>
          <w:sz w:val="20"/>
          <w:szCs w:val="20"/>
          <w:color w:val="auto"/>
        </w:rPr>
      </w:pPr>
      <w:r>
        <w:rPr>
          <w:rFonts w:ascii="Times New Roman" w:cs="Times New Roman" w:eastAsia="Times New Roman" w:hAnsi="Times New Roman"/>
          <w:sz w:val="16"/>
          <w:szCs w:val="16"/>
          <w:color w:val="auto"/>
        </w:rPr>
        <w:t xml:space="preserve">Section 3.8 </w:t>
      </w: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This Sponsor Agreement may be executed in two or more counterparts (any of which may be delivered by electronic transmission), each of which shall constitute an original, and all of which taken together shall constitute one and the same instrument.</w:t>
      </w:r>
    </w:p>
    <w:p>
      <w:pPr>
        <w:spacing w:after="0" w:line="14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u w:val="single" w:color="auto"/>
          <w:color w:val="auto"/>
        </w:rPr>
        <w:t>Section 3.9 Trust Account Waiver</w:t>
      </w:r>
      <w:r>
        <w:rPr>
          <w:rFonts w:ascii="Times New Roman" w:cs="Times New Roman" w:eastAsia="Times New Roman" w:hAnsi="Times New Roman"/>
          <w:sz w:val="16"/>
          <w:szCs w:val="16"/>
          <w:color w:val="auto"/>
        </w:rPr>
        <w:t xml:space="preserve">. Section 6.05 of the Merger Agreement is hereby incorporated into this Sponsor Agreement, </w:t>
      </w:r>
      <w:r>
        <w:rPr>
          <w:rFonts w:ascii="Times New Roman" w:cs="Times New Roman" w:eastAsia="Times New Roman" w:hAnsi="Times New Roman"/>
          <w:sz w:val="16"/>
          <w:szCs w:val="16"/>
          <w:i w:val="1"/>
          <w:iCs w:val="1"/>
          <w:color w:val="auto"/>
        </w:rPr>
        <w:t>mutatis mutandis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jc w:val="both"/>
        <w:ind w:firstLine="1721"/>
        <w:spacing w:after="0" w:line="265" w:lineRule="auto"/>
        <w:rPr>
          <w:sz w:val="20"/>
          <w:szCs w:val="20"/>
          <w:color w:val="auto"/>
        </w:rPr>
      </w:pPr>
      <w:r>
        <w:rPr>
          <w:rFonts w:ascii="Times New Roman" w:cs="Times New Roman" w:eastAsia="Times New Roman" w:hAnsi="Times New Roman"/>
          <w:sz w:val="16"/>
          <w:szCs w:val="16"/>
          <w:color w:val="auto"/>
        </w:rPr>
        <w:t xml:space="preserve">Section 3.10 </w:t>
      </w: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This Sponsor Agreement and the agreements referenced herein constitute the entire agreement and understanding of the parties hereto in respect of the subject matter hereof and supersede all prior understandings, agreements or representations by or among the parties hereto to the extent they relate in any way to the subject matter hereof.</w:t>
      </w:r>
    </w:p>
    <w:p>
      <w:pPr>
        <w:spacing w:after="0" w:line="155" w:lineRule="exact"/>
        <w:rPr>
          <w:sz w:val="20"/>
          <w:szCs w:val="20"/>
          <w:color w:val="auto"/>
        </w:rPr>
      </w:pPr>
    </w:p>
    <w:p>
      <w:pPr>
        <w:jc w:val="both"/>
        <w:ind w:right="20" w:firstLine="1721"/>
        <w:spacing w:after="0" w:line="265" w:lineRule="auto"/>
        <w:rPr>
          <w:sz w:val="20"/>
          <w:szCs w:val="20"/>
          <w:color w:val="auto"/>
        </w:rPr>
      </w:pPr>
      <w:r>
        <w:rPr>
          <w:rFonts w:ascii="Times New Roman" w:cs="Times New Roman" w:eastAsia="Times New Roman" w:hAnsi="Times New Roman"/>
          <w:sz w:val="16"/>
          <w:szCs w:val="16"/>
          <w:u w:val="single" w:color="auto"/>
          <w:color w:val="auto"/>
        </w:rPr>
        <w:t>Section 3.11 Publicity</w:t>
      </w:r>
      <w:r>
        <w:rPr>
          <w:rFonts w:ascii="Times New Roman" w:cs="Times New Roman" w:eastAsia="Times New Roman" w:hAnsi="Times New Roman"/>
          <w:sz w:val="16"/>
          <w:szCs w:val="16"/>
          <w:color w:val="auto"/>
        </w:rPr>
        <w:t>. Except to the extent required by applicable Law or legal process, neither Acquiror nor the Company may disclose the identities of any direct or indirect members or investors of the Sponsor Parties or their direct or indirect interests in the Sponsor Parties without the relevant Sponsor Party’s prior written consent.</w:t>
      </w:r>
    </w:p>
    <w:p>
      <w:pPr>
        <w:spacing w:after="0" w:line="155" w:lineRule="exact"/>
        <w:rPr>
          <w:sz w:val="20"/>
          <w:szCs w:val="20"/>
          <w:color w:val="auto"/>
        </w:rPr>
      </w:pPr>
    </w:p>
    <w:p>
      <w:pPr>
        <w:jc w:val="both"/>
        <w:ind w:firstLine="1721"/>
        <w:spacing w:after="0" w:line="255" w:lineRule="auto"/>
        <w:rPr>
          <w:sz w:val="20"/>
          <w:szCs w:val="20"/>
          <w:color w:val="auto"/>
        </w:rPr>
      </w:pPr>
      <w:r>
        <w:rPr>
          <w:rFonts w:ascii="Times New Roman" w:cs="Times New Roman" w:eastAsia="Times New Roman" w:hAnsi="Times New Roman"/>
          <w:sz w:val="16"/>
          <w:szCs w:val="16"/>
          <w:u w:val="single" w:color="auto"/>
          <w:color w:val="auto"/>
        </w:rPr>
        <w:t>Section 3.12 Capacity as a Stockholder</w:t>
      </w:r>
      <w:r>
        <w:rPr>
          <w:rFonts w:ascii="Times New Roman" w:cs="Times New Roman" w:eastAsia="Times New Roman" w:hAnsi="Times New Roman"/>
          <w:sz w:val="16"/>
          <w:szCs w:val="16"/>
          <w:color w:val="auto"/>
        </w:rPr>
        <w:t>. Notwithstanding anything herein to the contrary, each Sponsor Party signs this Sponsor Agreement solely in such Person’s capacity as a record owner of, common stock of Acquiror, and not in any other capacity and this Sponsor Agreement shall not limit, prevent or otherwise affect the actions of any Sponsor Party or any Affiliate, employee or designee of the Sponsor Party, or any of their respective Affiliates in his or her capacity, if applicable, as an officer or director of Acquiror, First Merger Sub, Second Merger Sub or any other Person, including in the exercise of his or her fiduciary duties as a director or officer of Acquiror. No Sponsor Party shall be liable or responsible for any breach, default, or violation of any representation, warranty, covenant or agreement by any other Sponsor Party that is also a party hereto and each Sponsor Party shall solely be required to perform its obligations hereunder in its individual capacity.</w:t>
      </w:r>
    </w:p>
    <w:p>
      <w:pPr>
        <w:spacing w:after="0" w:line="16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[THE REMAINDER OF THIS PAGE IS INTENTIONALLY BLANK]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34" w:name="page235"/>
    <w:bookmarkEnd w:id="234"/>
    <w:p>
      <w:pPr>
        <w:ind w:firstLine="574"/>
        <w:spacing w:after="0" w:line="280" w:lineRule="auto"/>
        <w:rPr>
          <w:sz w:val="20"/>
          <w:szCs w:val="20"/>
          <w:color w:val="auto"/>
        </w:rPr>
      </w:pPr>
      <w:r>
        <w:rPr>
          <w:rFonts w:ascii="Times New Roman" w:cs="Times New Roman" w:eastAsia="Times New Roman" w:hAnsi="Times New Roman"/>
          <w:sz w:val="16"/>
          <w:szCs w:val="16"/>
          <w:color w:val="auto"/>
        </w:rPr>
        <w:t>IN WITNESS WHEREOF, the Sponsor Parties, Acquiror, and the Company have each caused this Sponsor Support Agreement to be duly executed as of the date first written above.</w:t>
      </w:r>
    </w:p>
    <w:p>
      <w:pPr>
        <w:spacing w:after="0" w:line="14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SPONSORS:</w:t>
      </w:r>
    </w:p>
    <w:p>
      <w:pPr>
        <w:spacing w:after="0" w:line="19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VENTOUX ACQUISITION HOLDINGS LLC</w:t>
      </w:r>
    </w:p>
    <w:p>
      <w:pPr>
        <w:spacing w:after="0" w:line="200"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6"/>
          <w:szCs w:val="16"/>
          <w:color w:val="auto"/>
        </w:rPr>
        <w:t>By:</w:t>
        <w:tab/>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15240</wp:posOffset>
            </wp:positionV>
            <wp:extent cx="2572385" cy="152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7200"/>
        <w:spacing w:after="0"/>
        <w:tabs>
          <w:tab w:leader="none" w:pos="7740" w:val="left"/>
        </w:tabs>
        <w:rPr>
          <w:sz w:val="20"/>
          <w:szCs w:val="20"/>
          <w:color w:val="auto"/>
        </w:rPr>
      </w:pPr>
      <w:r>
        <w:rPr>
          <w:rFonts w:ascii="Times New Roman" w:cs="Times New Roman" w:eastAsia="Times New Roman" w:hAnsi="Times New Roman"/>
          <w:sz w:val="16"/>
          <w:szCs w:val="16"/>
          <w:color w:val="auto"/>
        </w:rPr>
        <w:t>Name:</w:t>
        <w:tab/>
        <w:t>Edward Scheetz</w:t>
      </w:r>
    </w:p>
    <w:p>
      <w:pPr>
        <w:spacing w:after="0" w:line="24" w:lineRule="exact"/>
        <w:rPr>
          <w:sz w:val="20"/>
          <w:szCs w:val="20"/>
          <w:color w:val="auto"/>
        </w:rPr>
      </w:pPr>
    </w:p>
    <w:p>
      <w:pPr>
        <w:ind w:left="7200"/>
        <w:spacing w:after="0"/>
        <w:tabs>
          <w:tab w:leader="none" w:pos="7740" w:val="left"/>
        </w:tabs>
        <w:rPr>
          <w:sz w:val="20"/>
          <w:szCs w:val="20"/>
          <w:color w:val="auto"/>
        </w:rPr>
      </w:pPr>
      <w:r>
        <w:rPr>
          <w:rFonts w:ascii="Times New Roman" w:cs="Times New Roman" w:eastAsia="Times New Roman" w:hAnsi="Times New Roman"/>
          <w:sz w:val="16"/>
          <w:szCs w:val="16"/>
          <w:color w:val="auto"/>
        </w:rPr>
        <w:t>Title:</w:t>
        <w:tab/>
        <w:t>Chief Executive Officer</w:t>
      </w:r>
    </w:p>
    <w:p>
      <w:pPr>
        <w:spacing w:after="0" w:line="18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CHARDAN INTERNATIONAL INVESTMENTS LLC</w:t>
      </w:r>
    </w:p>
    <w:p>
      <w:pPr>
        <w:spacing w:after="0" w:line="200"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6"/>
          <w:szCs w:val="16"/>
          <w:color w:val="auto"/>
        </w:rPr>
        <w:t>By:</w:t>
        <w:tab/>
        <w:t>/s/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15240</wp:posOffset>
            </wp:positionV>
            <wp:extent cx="2572385" cy="152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7200"/>
        <w:spacing w:after="0"/>
        <w:tabs>
          <w:tab w:leader="none" w:pos="774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Jonas Grossman</w:t>
      </w:r>
    </w:p>
    <w:p>
      <w:pPr>
        <w:spacing w:after="0" w:line="24" w:lineRule="exact"/>
        <w:rPr>
          <w:sz w:val="20"/>
          <w:szCs w:val="20"/>
          <w:color w:val="auto"/>
        </w:rPr>
      </w:pPr>
    </w:p>
    <w:p>
      <w:pPr>
        <w:ind w:left="7200"/>
        <w:spacing w:after="0"/>
        <w:tabs>
          <w:tab w:leader="none" w:pos="7740" w:val="left"/>
        </w:tabs>
        <w:rPr>
          <w:sz w:val="20"/>
          <w:szCs w:val="20"/>
          <w:color w:val="auto"/>
        </w:rPr>
      </w:pPr>
      <w:r>
        <w:rPr>
          <w:rFonts w:ascii="Times New Roman" w:cs="Times New Roman" w:eastAsia="Times New Roman" w:hAnsi="Times New Roman"/>
          <w:sz w:val="16"/>
          <w:szCs w:val="16"/>
          <w:color w:val="auto"/>
        </w:rPr>
        <w:t>Title:</w:t>
        <w:tab/>
        <w:t>Managing Member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Sponsor Support Agreement]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35" w:name="page236"/>
    <w:bookmarkEnd w:id="235"/>
    <w:p>
      <w:pPr>
        <w:ind w:left="5640"/>
        <w:spacing w:after="0"/>
        <w:rPr>
          <w:sz w:val="20"/>
          <w:szCs w:val="20"/>
          <w:color w:val="auto"/>
        </w:rPr>
      </w:pPr>
      <w:r>
        <w:rPr>
          <w:rFonts w:ascii="Times New Roman" w:cs="Times New Roman" w:eastAsia="Times New Roman" w:hAnsi="Times New Roman"/>
          <w:sz w:val="16"/>
          <w:szCs w:val="16"/>
          <w:b w:val="1"/>
          <w:bCs w:val="1"/>
          <w:color w:val="auto"/>
        </w:rPr>
        <w:t>INSIDERS:</w:t>
      </w:r>
    </w:p>
    <w:p>
      <w:pPr>
        <w:spacing w:after="0" w:line="200"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6"/>
          <w:szCs w:val="16"/>
          <w:color w:val="auto"/>
        </w:rPr>
        <w:t>By:</w:t>
        <w:tab/>
        <w:t>/s/ Christian Ahrens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15240</wp:posOffset>
            </wp:positionV>
            <wp:extent cx="2572385" cy="152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Christian Ahrens</w:t>
      </w:r>
    </w:p>
    <w:p>
      <w:pPr>
        <w:spacing w:after="0" w:line="198"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6"/>
          <w:szCs w:val="16"/>
          <w:color w:val="auto"/>
        </w:rPr>
        <w:t>By:</w:t>
        <w:tab/>
        <w:t>/s/ Woodrow H.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15240</wp:posOffset>
            </wp:positionV>
            <wp:extent cx="2572385" cy="152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Woodrow H. Levin</w:t>
      </w:r>
    </w:p>
    <w:p>
      <w:pPr>
        <w:spacing w:after="0" w:line="198"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6"/>
          <w:szCs w:val="16"/>
          <w:color w:val="auto"/>
        </w:rPr>
        <w:t>By:</w:t>
        <w:tab/>
        <w:t>/s/ Julie Atkinson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15240</wp:posOffset>
            </wp:positionV>
            <wp:extent cx="2572385" cy="152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Julie Atkinson</w:t>
      </w:r>
    </w:p>
    <w:p>
      <w:pPr>
        <w:spacing w:after="0" w:line="198"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6"/>
          <w:szCs w:val="16"/>
          <w:color w:val="auto"/>
        </w:rPr>
        <w:t>By:</w:t>
        <w:tab/>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15240</wp:posOffset>
            </wp:positionV>
            <wp:extent cx="2572385" cy="1524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6"/>
          <w:szCs w:val="16"/>
          <w:color w:val="auto"/>
        </w:rPr>
        <w:t>Name:</w:t>
        <w:tab/>
        <w:t>Edward Scheetz</w:t>
      </w:r>
    </w:p>
    <w:p>
      <w:pPr>
        <w:spacing w:after="0" w:line="19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b w:val="1"/>
          <w:bCs w:val="1"/>
          <w:color w:val="auto"/>
        </w:rPr>
        <w:t>Cindat USA LLC</w:t>
      </w:r>
    </w:p>
    <w:p>
      <w:pPr>
        <w:spacing w:after="0" w:line="200"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6"/>
          <w:szCs w:val="16"/>
          <w:color w:val="auto"/>
        </w:rPr>
        <w:t>By:</w:t>
        <w:tab/>
        <w:t>/s/ Bernard Van der Lande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15240</wp:posOffset>
            </wp:positionV>
            <wp:extent cx="2572385" cy="152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jc w:val="right"/>
        <w:ind w:right="899"/>
        <w:spacing w:after="0"/>
        <w:tabs>
          <w:tab w:leader="none" w:pos="146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Bernard Van der Lande</w:t>
      </w:r>
    </w:p>
    <w:p>
      <w:pPr>
        <w:spacing w:after="0" w:line="24"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6"/>
          <w:szCs w:val="16"/>
          <w:color w:val="auto"/>
        </w:rPr>
        <w:t>Title:</w:t>
        <w:tab/>
        <w:t>Managing Member</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[Signature Page to Sponsor Support Agreement]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15240</wp:posOffset>
            </wp:positionV>
            <wp:extent cx="7148195" cy="152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019"/>
          </w:cols>
          <w:pgMar w:left="1440" w:top="814" w:right="1440" w:bottom="1440" w:gutter="0" w:footer="0" w:header="0"/>
        </w:sectPr>
      </w:pPr>
    </w:p>
    <w:bookmarkStart w:id="236" w:name="page237"/>
    <w:bookmarkEnd w:id="236"/>
    <w:p>
      <w:pPr>
        <w:ind w:left="5640"/>
        <w:spacing w:after="0"/>
        <w:rPr>
          <w:sz w:val="20"/>
          <w:szCs w:val="20"/>
          <w:color w:val="auto"/>
        </w:rPr>
      </w:pPr>
      <w:r>
        <w:rPr>
          <w:rFonts w:ascii="Times New Roman" w:cs="Times New Roman" w:eastAsia="Times New Roman" w:hAnsi="Times New Roman"/>
          <w:sz w:val="16"/>
          <w:szCs w:val="16"/>
          <w:b w:val="1"/>
          <w:bCs w:val="1"/>
          <w:color w:val="auto"/>
        </w:rPr>
        <w:t>ACQUIROR:</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b w:val="1"/>
          <w:bCs w:val="1"/>
          <w:color w:val="auto"/>
        </w:rPr>
        <w:t>VENTOUX CCM ACQUISITION CORP.</w:t>
      </w:r>
    </w:p>
    <w:p>
      <w:pPr>
        <w:spacing w:after="0" w:line="212"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6"/>
          <w:szCs w:val="16"/>
          <w:color w:val="auto"/>
        </w:rPr>
        <w:t>By:</w:t>
        <w:tab/>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15240</wp:posOffset>
            </wp:positionV>
            <wp:extent cx="2572385" cy="152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6"/>
          <w:szCs w:val="16"/>
          <w:color w:val="auto"/>
        </w:rPr>
        <w:t>Name:</w:t>
        <w:tab/>
        <w:t>Edward Scheetz</w:t>
      </w:r>
    </w:p>
    <w:p>
      <w:pPr>
        <w:spacing w:after="0" w:line="24"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6"/>
          <w:szCs w:val="16"/>
          <w:color w:val="auto"/>
        </w:rPr>
        <w:t>Title:</w:t>
        <w:tab/>
        <w:t>Chief Executive Officer</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[Signature Page to Sponsor Support Agreement]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15240</wp:posOffset>
            </wp:positionV>
            <wp:extent cx="7148195" cy="152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019"/>
          </w:cols>
          <w:pgMar w:left="1440" w:top="814" w:right="1440" w:bottom="1440" w:gutter="0" w:footer="0" w:header="0"/>
        </w:sectPr>
      </w:pPr>
    </w:p>
    <w:bookmarkStart w:id="237" w:name="page238"/>
    <w:bookmarkEnd w:id="237"/>
    <w:p>
      <w:pPr>
        <w:ind w:left="5640"/>
        <w:spacing w:after="0"/>
        <w:rPr>
          <w:sz w:val="20"/>
          <w:szCs w:val="20"/>
          <w:color w:val="auto"/>
        </w:rPr>
      </w:pPr>
      <w:r>
        <w:rPr>
          <w:rFonts w:ascii="Times New Roman" w:cs="Times New Roman" w:eastAsia="Times New Roman" w:hAnsi="Times New Roman"/>
          <w:sz w:val="16"/>
          <w:szCs w:val="16"/>
          <w:b w:val="1"/>
          <w:bCs w:val="1"/>
          <w:color w:val="auto"/>
        </w:rPr>
        <w:t>COMPANY:</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b w:val="1"/>
          <w:bCs w:val="1"/>
          <w:color w:val="auto"/>
        </w:rPr>
        <w:t>E LA CARTE, INC.</w:t>
      </w:r>
    </w:p>
    <w:p>
      <w:pPr>
        <w:spacing w:after="0" w:line="200"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6"/>
          <w:szCs w:val="16"/>
          <w:color w:val="auto"/>
        </w:rPr>
        <w:t>By:</w:t>
        <w:tab/>
        <w:t>/s/ Rajat Suri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15240</wp:posOffset>
            </wp:positionV>
            <wp:extent cx="2572385" cy="152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Rajat Suri</w:t>
      </w:r>
    </w:p>
    <w:p>
      <w:pPr>
        <w:spacing w:after="0" w:line="24" w:lineRule="exact"/>
        <w:rPr>
          <w:sz w:val="20"/>
          <w:szCs w:val="20"/>
          <w:color w:val="auto"/>
        </w:rPr>
      </w:pPr>
    </w:p>
    <w:p>
      <w:pPr>
        <w:jc w:val="both"/>
        <w:ind w:left="6080"/>
        <w:spacing w:after="0"/>
        <w:tabs>
          <w:tab w:leader="none" w:pos="6620" w:val="left"/>
        </w:tabs>
        <w:rPr>
          <w:sz w:val="20"/>
          <w:szCs w:val="20"/>
          <w:color w:val="auto"/>
        </w:rPr>
      </w:pPr>
      <w:r>
        <w:rPr>
          <w:rFonts w:ascii="Times New Roman" w:cs="Times New Roman" w:eastAsia="Times New Roman" w:hAnsi="Times New Roman"/>
          <w:sz w:val="16"/>
          <w:szCs w:val="16"/>
          <w:color w:val="auto"/>
        </w:rPr>
        <w:t>Title:</w:t>
        <w:tab/>
        <w:t>Chief Executive Officer</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[Signature Page to Sponsor Support Agreement]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15240</wp:posOffset>
            </wp:positionV>
            <wp:extent cx="7148195" cy="152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019"/>
          </w:cols>
          <w:pgMar w:left="1440" w:top="814" w:right="1440" w:bottom="1440" w:gutter="0" w:footer="0" w:header="0"/>
        </w:sectPr>
      </w:pPr>
    </w:p>
    <w:bookmarkStart w:id="238" w:name="page239"/>
    <w:bookmarkEnd w:id="238"/>
    <w:p>
      <w:pPr>
        <w:jc w:val="right"/>
        <w:spacing w:after="0"/>
        <w:rPr>
          <w:sz w:val="20"/>
          <w:szCs w:val="20"/>
          <w:color w:val="auto"/>
        </w:rPr>
      </w:pPr>
      <w:r>
        <w:rPr>
          <w:rFonts w:ascii="Times New Roman" w:cs="Times New Roman" w:eastAsia="Times New Roman" w:hAnsi="Times New Roman"/>
          <w:sz w:val="16"/>
          <w:szCs w:val="16"/>
          <w:b w:val="1"/>
          <w:bCs w:val="1"/>
          <w:color w:val="auto"/>
        </w:rPr>
        <w:t>Exhibit 10.7</w:t>
      </w:r>
    </w:p>
    <w:p>
      <w:pPr>
        <w:spacing w:after="0" w:line="19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u w:val="single" w:color="auto"/>
          <w:color w:val="auto"/>
        </w:rPr>
        <w:t>FORM OF GOVERNANCE AGREEMENT</w:t>
      </w:r>
    </w:p>
    <w:p>
      <w:pPr>
        <w:spacing w:after="0" w:line="198"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b w:val="1"/>
          <w:bCs w:val="1"/>
          <w:color w:val="auto"/>
        </w:rPr>
        <w:t>THIS GOVERNANCE AGREEMENT</w:t>
      </w:r>
      <w:r>
        <w:rPr>
          <w:rFonts w:ascii="Times New Roman" w:cs="Times New Roman" w:eastAsia="Times New Roman" w:hAnsi="Times New Roman"/>
          <w:sz w:val="16"/>
          <w:szCs w:val="16"/>
          <w:color w:val="auto"/>
        </w:rPr>
        <w:t>, dated as of [●], 2022, is entered into by and among (i) Presto Automation Inc., a Delaware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w:t>
      </w:r>
    </w:p>
    <w:p>
      <w:pPr>
        <w:spacing w:after="0" w:line="26" w:lineRule="exact"/>
        <w:rPr>
          <w:sz w:val="20"/>
          <w:szCs w:val="20"/>
          <w:color w:val="auto"/>
        </w:rPr>
      </w:pPr>
    </w:p>
    <w:p>
      <w:pPr>
        <w:jc w:val="both"/>
        <w:ind w:left="4" w:right="20" w:hanging="4"/>
        <w:spacing w:after="0" w:line="252" w:lineRule="auto"/>
        <w:tabs>
          <w:tab w:leader="none" w:pos="246" w:val="left"/>
        </w:tabs>
        <w:numPr>
          <w:ilvl w:val="0"/>
          <w:numId w:val="2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REMUS Stockholders (as defined herein), (iii) Rajat Suri (“</w:t>
      </w:r>
      <w:r>
        <w:rPr>
          <w:rFonts w:ascii="Times New Roman" w:cs="Times New Roman" w:eastAsia="Times New Roman" w:hAnsi="Times New Roman"/>
          <w:sz w:val="16"/>
          <w:szCs w:val="16"/>
          <w:u w:val="single" w:color="auto"/>
          <w:color w:val="auto"/>
        </w:rPr>
        <w:t>Chief Executive Officer</w:t>
      </w:r>
      <w:r>
        <w:rPr>
          <w:rFonts w:ascii="Times New Roman" w:cs="Times New Roman" w:eastAsia="Times New Roman" w:hAnsi="Times New Roman"/>
          <w:sz w:val="16"/>
          <w:szCs w:val="16"/>
          <w:color w:val="auto"/>
        </w:rPr>
        <w:t>”), (iv) Presto CA LLC, a Delaware limited liability company (“CA,” and together with the REMUS Stockholders and the Chief Executive Officer, collectively, the “</w:t>
      </w:r>
      <w:r>
        <w:rPr>
          <w:rFonts w:ascii="Times New Roman" w:cs="Times New Roman" w:eastAsia="Times New Roman" w:hAnsi="Times New Roman"/>
          <w:sz w:val="16"/>
          <w:szCs w:val="16"/>
          <w:u w:val="single" w:color="auto"/>
          <w:color w:val="auto"/>
        </w:rPr>
        <w:t>Principal Stockholders</w:t>
      </w:r>
      <w:r>
        <w:rPr>
          <w:rFonts w:ascii="Times New Roman" w:cs="Times New Roman" w:eastAsia="Times New Roman" w:hAnsi="Times New Roman"/>
          <w:sz w:val="16"/>
          <w:szCs w:val="16"/>
          <w:color w:val="auto"/>
        </w:rPr>
        <w:t>” and each a “</w:t>
      </w:r>
      <w:r>
        <w:rPr>
          <w:rFonts w:ascii="Times New Roman" w:cs="Times New Roman" w:eastAsia="Times New Roman" w:hAnsi="Times New Roman"/>
          <w:sz w:val="16"/>
          <w:szCs w:val="16"/>
          <w:u w:val="single" w:color="auto"/>
          <w:color w:val="auto"/>
        </w:rPr>
        <w:t>Principal Stockholder</w:t>
      </w:r>
      <w:r>
        <w:rPr>
          <w:rFonts w:ascii="Times New Roman" w:cs="Times New Roman" w:eastAsia="Times New Roman" w:hAnsi="Times New Roman"/>
          <w:sz w:val="16"/>
          <w:szCs w:val="16"/>
          <w:color w:val="auto"/>
        </w:rPr>
        <w:t xml:space="preserve">”) and (v) solely for purposes </w:t>
      </w:r>
      <w:r>
        <w:rPr>
          <w:rFonts w:ascii="Times New Roman" w:cs="Times New Roman" w:eastAsia="Times New Roman" w:hAnsi="Times New Roman"/>
          <w:sz w:val="16"/>
          <w:szCs w:val="16"/>
          <w:u w:val="single" w:color="auto"/>
          <w:color w:val="auto"/>
        </w:rPr>
        <w:t>Section 2.3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2.5</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Article III</w:t>
      </w:r>
      <w:r>
        <w:rPr>
          <w:rFonts w:ascii="Times New Roman" w:cs="Times New Roman" w:eastAsia="Times New Roman" w:hAnsi="Times New Roman"/>
          <w:sz w:val="16"/>
          <w:szCs w:val="16"/>
          <w:color w:val="auto"/>
        </w:rPr>
        <w:t>, I2BF Global Investments Ltd., a Cayman Islands exempted company (“</w:t>
      </w:r>
      <w:r>
        <w:rPr>
          <w:rFonts w:ascii="Times New Roman" w:cs="Times New Roman" w:eastAsia="Times New Roman" w:hAnsi="Times New Roman"/>
          <w:sz w:val="16"/>
          <w:szCs w:val="16"/>
          <w:u w:val="single" w:color="auto"/>
          <w:color w:val="auto"/>
        </w:rPr>
        <w:t>I2BF</w:t>
      </w:r>
      <w:r>
        <w:rPr>
          <w:rFonts w:ascii="Times New Roman" w:cs="Times New Roman" w:eastAsia="Times New Roman" w:hAnsi="Times New Roman"/>
          <w:sz w:val="16"/>
          <w:szCs w:val="16"/>
          <w:color w:val="auto"/>
        </w:rPr>
        <w:t xml:space="preserve">”). Capitalized terms used herein without definition shall have the meanings set forth in </w:t>
      </w:r>
      <w:r>
        <w:rPr>
          <w:rFonts w:ascii="Times New Roman" w:cs="Times New Roman" w:eastAsia="Times New Roman" w:hAnsi="Times New Roman"/>
          <w:sz w:val="16"/>
          <w:szCs w:val="16"/>
          <w:u w:val="single" w:color="auto"/>
          <w:color w:val="auto"/>
        </w:rPr>
        <w:t>Section 1.1</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WITNESSETH:</w:t>
      </w:r>
    </w:p>
    <w:p>
      <w:pPr>
        <w:spacing w:after="0" w:line="200" w:lineRule="exact"/>
        <w:rPr>
          <w:sz w:val="20"/>
          <w:szCs w:val="20"/>
          <w:color w:val="auto"/>
        </w:rPr>
      </w:pPr>
    </w:p>
    <w:p>
      <w:pPr>
        <w:jc w:val="both"/>
        <w:ind w:left="4" w:right="20" w:firstLine="574"/>
        <w:spacing w:after="0" w:line="265" w:lineRule="auto"/>
        <w:rPr>
          <w:sz w:val="20"/>
          <w:szCs w:val="20"/>
          <w:color w:val="auto"/>
        </w:rPr>
      </w:pPr>
      <w:r>
        <w:rPr>
          <w:rFonts w:ascii="Times New Roman" w:cs="Times New Roman" w:eastAsia="Times New Roman" w:hAnsi="Times New Roman"/>
          <w:sz w:val="16"/>
          <w:szCs w:val="16"/>
          <w:color w:val="auto"/>
        </w:rPr>
        <w:t>WHEREAS, E La Carte, Inc. entered into that certain Agreement and Plan of Merger, dated as of November 10, 2021 (as amended or supplemented from time to time, the “</w:t>
      </w:r>
      <w:r>
        <w:rPr>
          <w:rFonts w:ascii="Times New Roman" w:cs="Times New Roman" w:eastAsia="Times New Roman" w:hAnsi="Times New Roman"/>
          <w:sz w:val="16"/>
          <w:szCs w:val="16"/>
          <w:u w:val="single" w:color="auto"/>
          <w:color w:val="auto"/>
        </w:rPr>
        <w:t>Merger Agreement</w:t>
      </w:r>
      <w:r>
        <w:rPr>
          <w:rFonts w:ascii="Times New Roman" w:cs="Times New Roman" w:eastAsia="Times New Roman" w:hAnsi="Times New Roman"/>
          <w:sz w:val="16"/>
          <w:szCs w:val="16"/>
          <w:color w:val="auto"/>
        </w:rPr>
        <w:t>”), with Ventoux CCM Acquisition Corp. (“</w:t>
      </w:r>
      <w:r>
        <w:rPr>
          <w:rFonts w:ascii="Times New Roman" w:cs="Times New Roman" w:eastAsia="Times New Roman" w:hAnsi="Times New Roman"/>
          <w:sz w:val="16"/>
          <w:szCs w:val="16"/>
          <w:u w:val="single" w:color="auto"/>
          <w:color w:val="auto"/>
        </w:rPr>
        <w:t>Ventoux</w:t>
      </w:r>
      <w:r>
        <w:rPr>
          <w:rFonts w:ascii="Times New Roman" w:cs="Times New Roman" w:eastAsia="Times New Roman" w:hAnsi="Times New Roman"/>
          <w:sz w:val="16"/>
          <w:szCs w:val="16"/>
          <w:color w:val="auto"/>
        </w:rPr>
        <w:t>”), Ventoux Merger Sub Inc., a Delaware corporation and a direct, wholly-owned subsidiary of Ventoux, and Ventoux Merger Sub II LLC, a Delaware limited liability company and a direct, wholly-owned subsidiary of Ventoux;</w:t>
      </w:r>
    </w:p>
    <w:p>
      <w:pPr>
        <w:spacing w:after="0" w:line="155" w:lineRule="exact"/>
        <w:rPr>
          <w:sz w:val="20"/>
          <w:szCs w:val="20"/>
          <w:color w:val="auto"/>
        </w:rPr>
      </w:pPr>
    </w:p>
    <w:p>
      <w:pPr>
        <w:jc w:val="both"/>
        <w:ind w:left="4" w:right="20" w:firstLine="574"/>
        <w:spacing w:after="0" w:line="280" w:lineRule="auto"/>
        <w:rPr>
          <w:sz w:val="20"/>
          <w:szCs w:val="20"/>
          <w:color w:val="auto"/>
        </w:rPr>
      </w:pPr>
      <w:r>
        <w:rPr>
          <w:rFonts w:ascii="Times New Roman" w:cs="Times New Roman" w:eastAsia="Times New Roman" w:hAnsi="Times New Roman"/>
          <w:sz w:val="16"/>
          <w:szCs w:val="16"/>
          <w:color w:val="auto"/>
        </w:rPr>
        <w:t>WHEREAS, on the date hereof, the parties to the Merger Agreement consummated the transactions contemplated by the Merger Agreement (the “</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and the Principal Stockholders received shares of common stock, par value $0.0001 per share, of the Company (“</w:t>
      </w:r>
      <w:r>
        <w:rPr>
          <w:rFonts w:ascii="Times New Roman" w:cs="Times New Roman" w:eastAsia="Times New Roman" w:hAnsi="Times New Roman"/>
          <w:sz w:val="16"/>
          <w:szCs w:val="16"/>
          <w:u w:val="single" w:color="auto"/>
          <w:color w:val="auto"/>
        </w:rPr>
        <w:t>Common Stock</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left="4" w:right="20" w:firstLine="574"/>
        <w:spacing w:after="0" w:line="280" w:lineRule="auto"/>
        <w:rPr>
          <w:sz w:val="20"/>
          <w:szCs w:val="20"/>
          <w:color w:val="auto"/>
        </w:rPr>
      </w:pPr>
      <w:r>
        <w:rPr>
          <w:rFonts w:ascii="Times New Roman" w:cs="Times New Roman" w:eastAsia="Times New Roman" w:hAnsi="Times New Roman"/>
          <w:sz w:val="16"/>
          <w:szCs w:val="16"/>
          <w:color w:val="auto"/>
        </w:rPr>
        <w:t>WHEREAS, immediately after the completion of the Merger, the Principal Stockholders will own approximately [●]% of the issued and outstanding Company Shares (as defined below); and</w:t>
      </w:r>
    </w:p>
    <w:p>
      <w:pPr>
        <w:spacing w:after="0" w:line="144"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WHEREAS, the parties hereto desire to provide for certain governance rights and other matters for the period on and after the effective time of the Merger.</w:t>
      </w:r>
    </w:p>
    <w:p>
      <w:pPr>
        <w:spacing w:after="0" w:line="198"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NOW, THEREFORE, in consideration of the mutual agreements and understandings set forth herein, the parties hereto hereby agree as follows:</w:t>
      </w:r>
    </w:p>
    <w:p>
      <w:pPr>
        <w:spacing w:after="0" w:line="19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ARTICLE I</w:t>
      </w:r>
    </w:p>
    <w:p>
      <w:pPr>
        <w:spacing w:after="0" w:line="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CERTAIN DEFINITIONS</w:t>
      </w:r>
    </w:p>
    <w:p>
      <w:pPr>
        <w:spacing w:after="0" w:line="182"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 xml:space="preserve">Section 1.1 </w:t>
      </w:r>
      <w:r>
        <w:rPr>
          <w:rFonts w:ascii="Times New Roman" w:cs="Times New Roman" w:eastAsia="Times New Roman" w:hAnsi="Times New Roman"/>
          <w:sz w:val="16"/>
          <w:szCs w:val="16"/>
          <w:u w:val="single" w:color="auto"/>
          <w:color w:val="auto"/>
        </w:rPr>
        <w:t>Definitions</w:t>
      </w:r>
      <w:r>
        <w:rPr>
          <w:rFonts w:ascii="Times New Roman" w:cs="Times New Roman" w:eastAsia="Times New Roman" w:hAnsi="Times New Roman"/>
          <w:sz w:val="16"/>
          <w:szCs w:val="16"/>
          <w:color w:val="auto"/>
        </w:rPr>
        <w:t>. As used in this Agreement, the following terms shall have the following respective meanings:</w:t>
      </w:r>
    </w:p>
    <w:p>
      <w:pPr>
        <w:spacing w:after="0" w:line="198" w:lineRule="exact"/>
        <w:rPr>
          <w:sz w:val="20"/>
          <w:szCs w:val="20"/>
          <w:color w:val="auto"/>
        </w:rPr>
      </w:pPr>
    </w:p>
    <w:p>
      <w:pPr>
        <w:jc w:val="both"/>
        <w:ind w:left="4" w:firstLine="574"/>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Affiliate</w:t>
      </w:r>
      <w:r>
        <w:rPr>
          <w:rFonts w:ascii="Times New Roman" w:cs="Times New Roman" w:eastAsia="Times New Roman" w:hAnsi="Times New Roman"/>
          <w:sz w:val="16"/>
          <w:szCs w:val="16"/>
          <w:color w:val="auto"/>
        </w:rPr>
        <w:t>” shall mean, with respect to any Person, any Person directly or indirectly controlling, controlled by or under common control with such first Person. For these purposes, (i) “control” means the possession, direct or indirect, of the power to direct or cause the direction of the management and policies of such Person, whether through ownership of voting securities, by contract or otherwise, and (ii) a Person shall be deemed to be an Affiliate of another Person if such Person has formed a “group” (within the meaning of Section 13(d) of the Securities Exchange Act of 1934, as amended) for the purpose of acquiring, holding, voting or disposing of voting securities of the Company.</w:t>
      </w:r>
    </w:p>
    <w:p>
      <w:pPr>
        <w:spacing w:after="0" w:line="162" w:lineRule="exact"/>
        <w:rPr>
          <w:sz w:val="20"/>
          <w:szCs w:val="20"/>
          <w:color w:val="auto"/>
        </w:rPr>
      </w:pPr>
    </w:p>
    <w:p>
      <w:pPr>
        <w:jc w:val="both"/>
        <w:ind w:left="4"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shall mean this Governance Agreement as in effect on the date hereof and as hereafter from time to time amended, modified or supplemented in accordance with the terms hereof.</w:t>
      </w:r>
    </w:p>
    <w:p>
      <w:pPr>
        <w:spacing w:after="0" w:line="144"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Board Designees</w:t>
      </w:r>
      <w:r>
        <w:rPr>
          <w:rFonts w:ascii="Times New Roman" w:cs="Times New Roman" w:eastAsia="Times New Roman" w:hAnsi="Times New Roman"/>
          <w:sz w:val="16"/>
          <w:szCs w:val="16"/>
          <w:color w:val="auto"/>
        </w:rPr>
        <w:t xml:space="preserve">” shall mean the directors designated by the Principal Stockholders pursuant to </w:t>
      </w:r>
      <w:r>
        <w:rPr>
          <w:rFonts w:ascii="Times New Roman" w:cs="Times New Roman" w:eastAsia="Times New Roman" w:hAnsi="Times New Roman"/>
          <w:sz w:val="16"/>
          <w:szCs w:val="16"/>
          <w:u w:val="single" w:color="auto"/>
          <w:color w:val="auto"/>
        </w:rPr>
        <w:t>Section 2.1</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Board of Directors</w:t>
      </w:r>
      <w:r>
        <w:rPr>
          <w:rFonts w:ascii="Times New Roman" w:cs="Times New Roman" w:eastAsia="Times New Roman" w:hAnsi="Times New Roman"/>
          <w:sz w:val="16"/>
          <w:szCs w:val="16"/>
          <w:color w:val="auto"/>
        </w:rPr>
        <w:t>” shall mean the Board of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394335</wp:posOffset>
            </wp:positionV>
            <wp:extent cx="7148195" cy="152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1" w:right="319" w:bottom="1440" w:gutter="0" w:footer="0" w:header="0"/>
        </w:sectPr>
      </w:pPr>
    </w:p>
    <w:bookmarkStart w:id="239" w:name="page240"/>
    <w:bookmarkEnd w:id="239"/>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Bylaws</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2.2(a)</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Chief Executive Officer</w:t>
      </w:r>
      <w:r>
        <w:rPr>
          <w:rFonts w:ascii="Times New Roman" w:cs="Times New Roman" w:eastAsia="Times New Roman" w:hAnsi="Times New Roman"/>
          <w:sz w:val="16"/>
          <w:szCs w:val="16"/>
          <w:color w:val="auto"/>
        </w:rPr>
        <w:t>” shall have the meaning set forth in the preamble.</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Chief Executive Officer Designee</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2.1(f)</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CA</w:t>
      </w:r>
      <w:r>
        <w:rPr>
          <w:rFonts w:ascii="Times New Roman" w:cs="Times New Roman" w:eastAsia="Times New Roman" w:hAnsi="Times New Roman"/>
          <w:sz w:val="16"/>
          <w:szCs w:val="16"/>
          <w:color w:val="auto"/>
        </w:rPr>
        <w:t>” shall have the meaning set forth in the preamble.</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CA Designee</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2.1(e)</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Common Stock</w:t>
      </w:r>
      <w:r>
        <w:rPr>
          <w:rFonts w:ascii="Times New Roman" w:cs="Times New Roman" w:eastAsia="Times New Roman" w:hAnsi="Times New Roman"/>
          <w:sz w:val="16"/>
          <w:szCs w:val="16"/>
          <w:color w:val="auto"/>
        </w:rPr>
        <w:t>” shall have the meaning set forth in the recitals.</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shall have the meaning set forth in the preamble.</w:t>
      </w:r>
    </w:p>
    <w:p>
      <w:pPr>
        <w:spacing w:after="0" w:line="198" w:lineRule="exact"/>
        <w:rPr>
          <w:sz w:val="20"/>
          <w:szCs w:val="20"/>
          <w:color w:val="auto"/>
        </w:rPr>
      </w:pPr>
    </w:p>
    <w:p>
      <w:pPr>
        <w:jc w:val="both"/>
        <w:ind w:right="20" w:firstLine="574"/>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Shares</w:t>
      </w:r>
      <w:r>
        <w:rPr>
          <w:rFonts w:ascii="Times New Roman" w:cs="Times New Roman" w:eastAsia="Times New Roman" w:hAnsi="Times New Roman"/>
          <w:sz w:val="16"/>
          <w:szCs w:val="16"/>
          <w:color w:val="auto"/>
        </w:rPr>
        <w:t>” means (i) all shares of Common Stock that are not then subject to vesting (including shares that were at one time subject to vesting to the extent they have vested), (ii) all shares of Common Stock issuable upon exercise, conversion or exchange of any option, warrant or convertible security that are not then subject to vesting (including shares that were at one time subject to vesting to the extent they have vested) and (iii) all shares of Common Stock directly or indirectly issued or issuable with respect to the securities referred to in clauses (i) or (ii) above by way of unit or stock dividend or unit or stock split, or in connection with a combination of units or shares, recapitalization, merger, consolidation or other reorganization.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shall have the meaning set forth in the preamble.</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Merger Agreement</w:t>
      </w:r>
      <w:r>
        <w:rPr>
          <w:rFonts w:ascii="Times New Roman" w:cs="Times New Roman" w:eastAsia="Times New Roman" w:hAnsi="Times New Roman"/>
          <w:sz w:val="16"/>
          <w:szCs w:val="16"/>
          <w:color w:val="auto"/>
        </w:rPr>
        <w:t>” shall have the meaning set forth in the preamble.</w:t>
      </w:r>
    </w:p>
    <w:p>
      <w:pPr>
        <w:spacing w:after="0" w:line="198" w:lineRule="exact"/>
        <w:rPr>
          <w:sz w:val="20"/>
          <w:szCs w:val="20"/>
          <w:color w:val="auto"/>
        </w:rPr>
      </w:pPr>
    </w:p>
    <w:p>
      <w:pPr>
        <w:jc w:val="both"/>
        <w:ind w:firstLine="574"/>
        <w:spacing w:after="0" w:line="25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Necessary Action</w:t>
      </w:r>
      <w:r>
        <w:rPr>
          <w:rFonts w:ascii="Times New Roman" w:cs="Times New Roman" w:eastAsia="Times New Roman" w:hAnsi="Times New Roman"/>
          <w:sz w:val="16"/>
          <w:szCs w:val="16"/>
          <w:color w:val="auto"/>
        </w:rPr>
        <w:t xml:space="preserve">” means, with respect to a specified result, all commercially reasonable actions required to cause such result that are within the power of a specified Person, including (i) voting or providing a written consent or proxy with respect to the Company Shares, (ii) causing the adoption of stockholders’ resolutions and amendments to the organizational documents of the Company, (iii) executing agreements and instruments, (iv) making, or causing to be made, with governmental, administrative or regulatory authorities, all filings, registrations or similar actions that are required to achieve such result and (v) causing members of the Board of Directors, subject to any fiduciary duties that such members may have as directors of the Company (including pursuant to </w:t>
      </w:r>
      <w:r>
        <w:rPr>
          <w:rFonts w:ascii="Times New Roman" w:cs="Times New Roman" w:eastAsia="Times New Roman" w:hAnsi="Times New Roman"/>
          <w:sz w:val="16"/>
          <w:szCs w:val="16"/>
          <w:u w:val="single" w:color="auto"/>
          <w:color w:val="auto"/>
        </w:rPr>
        <w:t>Section 2.1(e)</w:t>
      </w:r>
      <w:r>
        <w:rPr>
          <w:rFonts w:ascii="Times New Roman" w:cs="Times New Roman" w:eastAsia="Times New Roman" w:hAnsi="Times New Roman"/>
          <w:sz w:val="16"/>
          <w:szCs w:val="16"/>
          <w:color w:val="auto"/>
        </w:rPr>
        <w:t>), to act in a certain manner, including causing members of the Board of Directors or any nominating or similar committee of the Board of Directors to recommend the appointment or nomination of any Board Designees as provided by this Agreement.</w:t>
      </w:r>
    </w:p>
    <w:p>
      <w:pPr>
        <w:spacing w:after="0" w:line="167"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Person</w:t>
      </w:r>
      <w:r>
        <w:rPr>
          <w:rFonts w:ascii="Times New Roman" w:cs="Times New Roman" w:eastAsia="Times New Roman" w:hAnsi="Times New Roman"/>
          <w:sz w:val="16"/>
          <w:szCs w:val="16"/>
          <w:color w:val="auto"/>
        </w:rPr>
        <w:t>” shall mean an individual, corporation, company, limited liability company, association, partnership, joint venture, organization, business, trust or any other entity or organization, including a government or any subdivision or agency thereof.</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Principal Stockholders</w:t>
      </w:r>
      <w:r>
        <w:rPr>
          <w:rFonts w:ascii="Times New Roman" w:cs="Times New Roman" w:eastAsia="Times New Roman" w:hAnsi="Times New Roman"/>
          <w:sz w:val="16"/>
          <w:szCs w:val="16"/>
          <w:color w:val="auto"/>
        </w:rPr>
        <w:t>” shall have the meaning set forth in the preamble.</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REMUS Designee</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2.1(d)</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REMUS Stockholders</w:t>
      </w:r>
      <w:r>
        <w:rPr>
          <w:rFonts w:ascii="Times New Roman" w:cs="Times New Roman" w:eastAsia="Times New Roman" w:hAnsi="Times New Roman"/>
          <w:sz w:val="16"/>
          <w:szCs w:val="16"/>
          <w:color w:val="auto"/>
        </w:rPr>
        <w:t>” means, collectively, those entities set forth under the heading “REMUS Stockholders” on the signature pages hereto.</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40" w:name="page241"/>
    <w:bookmarkEnd w:id="240"/>
    <w:p>
      <w:pPr>
        <w:jc w:val="center"/>
        <w:spacing w:after="0"/>
        <w:rPr>
          <w:sz w:val="20"/>
          <w:szCs w:val="20"/>
          <w:color w:val="auto"/>
        </w:rPr>
      </w:pPr>
      <w:r>
        <w:rPr>
          <w:rFonts w:ascii="Times New Roman" w:cs="Times New Roman" w:eastAsia="Times New Roman" w:hAnsi="Times New Roman"/>
          <w:sz w:val="16"/>
          <w:szCs w:val="16"/>
          <w:b w:val="1"/>
          <w:bCs w:val="1"/>
          <w:color w:val="auto"/>
        </w:rPr>
        <w:t>ARTICLE 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CORPORATE GOVERNANCE</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Section 2.1 </w:t>
      </w:r>
      <w:r>
        <w:rPr>
          <w:rFonts w:ascii="Times New Roman" w:cs="Times New Roman" w:eastAsia="Times New Roman" w:hAnsi="Times New Roman"/>
          <w:sz w:val="16"/>
          <w:szCs w:val="16"/>
          <w:u w:val="single" w:color="auto"/>
          <w:color w:val="auto"/>
        </w:rPr>
        <w:t>Board of Directors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3" w:lineRule="auto"/>
        <w:tabs>
          <w:tab w:leader="none" w:pos="1387" w:val="left"/>
        </w:tabs>
        <w:numPr>
          <w:ilvl w:val="0"/>
          <w:numId w:val="2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Composition of Initial Board</w:t>
      </w:r>
      <w:r>
        <w:rPr>
          <w:rFonts w:ascii="Times New Roman" w:cs="Times New Roman" w:eastAsia="Times New Roman" w:hAnsi="Times New Roman"/>
          <w:sz w:val="16"/>
          <w:szCs w:val="16"/>
          <w:color w:val="auto"/>
        </w:rPr>
        <w:t>. The Company and the Principal Stockholders shall take all Necessary Action to cause the Board of Directors to be comprised of eight directors. The initial seven members of the Board of Directors shall be (i) Krishna Gupta, whom shall be deemed to have been designated by the REMUS Stockholders, (ii) Rajat Suri, whom shall be deemed to have been designated by the Chief Executive Officer, and (iii) Keith Kravcik, Ed Scheetz, Gail Zauder, Ilya Golubovich, and Kim Axel Lopdrup, with the vacancy to be filled after the date of this Agreement by an individual proposed by the Company’s Nominating and Governance Committee and approved by the Board of Directors. Krishna Gupta shall initially serve as the Chairperson of the Board of Directors and shall continue in such role after the 2023 annual meeting of stockholders until the earlier of (1) such time as he is no longer a director of the Company, and (2) the succeeding annual meeting of stockholders of the Company at which the class of directors of which he is a member is subject to reelection. The foregoing directors shall be divided into three classes of directors, each of whose members shall serve for staggered three-year terms as follows:</w:t>
      </w:r>
    </w:p>
    <w:p>
      <w:pPr>
        <w:spacing w:after="0" w:line="169" w:lineRule="exact"/>
        <w:rPr>
          <w:rFonts w:ascii="Times New Roman" w:cs="Times New Roman" w:eastAsia="Times New Roman" w:hAnsi="Times New Roman"/>
          <w:sz w:val="16"/>
          <w:szCs w:val="16"/>
          <w:color w:val="auto"/>
        </w:rPr>
      </w:pPr>
    </w:p>
    <w:p>
      <w:pPr>
        <w:ind w:left="1940" w:hanging="224"/>
        <w:spacing w:after="0"/>
        <w:tabs>
          <w:tab w:leader="none" w:pos="1940" w:val="left"/>
        </w:tabs>
        <w:numPr>
          <w:ilvl w:val="1"/>
          <w:numId w:val="2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Class I directors shall initially be Krishna Gupta, Keith Kravcik and Ed Scheetz;</w:t>
      </w:r>
    </w:p>
    <w:p>
      <w:pPr>
        <w:spacing w:after="0" w:line="198" w:lineRule="exact"/>
        <w:rPr>
          <w:rFonts w:ascii="Times New Roman" w:cs="Times New Roman" w:eastAsia="Times New Roman" w:hAnsi="Times New Roman"/>
          <w:sz w:val="16"/>
          <w:szCs w:val="16"/>
          <w:color w:val="auto"/>
        </w:rPr>
      </w:pPr>
    </w:p>
    <w:p>
      <w:pPr>
        <w:ind w:left="2000" w:hanging="284"/>
        <w:spacing w:after="0"/>
        <w:tabs>
          <w:tab w:leader="none" w:pos="2000" w:val="left"/>
        </w:tabs>
        <w:numPr>
          <w:ilvl w:val="1"/>
          <w:numId w:val="2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Class II directors shall initially be Ilya Golubovich and the Chief Executive Officer; and</w:t>
      </w:r>
    </w:p>
    <w:p>
      <w:pPr>
        <w:spacing w:after="0" w:line="198" w:lineRule="exact"/>
        <w:rPr>
          <w:rFonts w:ascii="Times New Roman" w:cs="Times New Roman" w:eastAsia="Times New Roman" w:hAnsi="Times New Roman"/>
          <w:sz w:val="16"/>
          <w:szCs w:val="16"/>
          <w:color w:val="auto"/>
        </w:rPr>
      </w:pPr>
    </w:p>
    <w:p>
      <w:pPr>
        <w:ind w:left="2040" w:hanging="324"/>
        <w:spacing w:after="0"/>
        <w:tabs>
          <w:tab w:leader="none" w:pos="2040" w:val="left"/>
        </w:tabs>
        <w:numPr>
          <w:ilvl w:val="1"/>
          <w:numId w:val="2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Class III directors shall initially be Kim Axel Lopdrup and Gail Zauder.</w:t>
      </w:r>
    </w:p>
    <w:p>
      <w:pPr>
        <w:spacing w:after="0" w:line="198" w:lineRule="exact"/>
        <w:rPr>
          <w:rFonts w:ascii="Times New Roman" w:cs="Times New Roman" w:eastAsia="Times New Roman" w:hAnsi="Times New Roman"/>
          <w:sz w:val="16"/>
          <w:szCs w:val="16"/>
          <w:color w:val="auto"/>
        </w:rPr>
      </w:pPr>
    </w:p>
    <w:p>
      <w:pPr>
        <w:ind w:left="1400" w:hanging="257"/>
        <w:spacing w:after="0"/>
        <w:tabs>
          <w:tab w:leader="none" w:pos="1400" w:val="left"/>
        </w:tabs>
        <w:numPr>
          <w:ilvl w:val="0"/>
          <w:numId w:val="2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Board Size</w:t>
      </w:r>
      <w:r>
        <w:rPr>
          <w:rFonts w:ascii="Times New Roman" w:cs="Times New Roman" w:eastAsia="Times New Roman" w:hAnsi="Times New Roman"/>
          <w:sz w:val="16"/>
          <w:szCs w:val="16"/>
          <w:color w:val="auto"/>
        </w:rPr>
        <w:t>. Any change to the size of the Board of Directors must be authorized by the affirmative vote of a majority of the entire Board of Directors.</w:t>
      </w:r>
    </w:p>
    <w:p>
      <w:pPr>
        <w:spacing w:after="0" w:line="198" w:lineRule="exact"/>
        <w:rPr>
          <w:rFonts w:ascii="Times New Roman" w:cs="Times New Roman" w:eastAsia="Times New Roman" w:hAnsi="Times New Roman"/>
          <w:sz w:val="16"/>
          <w:szCs w:val="16"/>
          <w:color w:val="auto"/>
        </w:rPr>
      </w:pPr>
    </w:p>
    <w:p>
      <w:pPr>
        <w:jc w:val="both"/>
        <w:ind w:firstLine="1143"/>
        <w:spacing w:after="0" w:line="257" w:lineRule="auto"/>
        <w:tabs>
          <w:tab w:leader="none" w:pos="1403" w:val="left"/>
        </w:tabs>
        <w:numPr>
          <w:ilvl w:val="0"/>
          <w:numId w:val="2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initial Class I directors, other than Mr. Scheetz, shall be nominated for reelection by stockholders at the 2023 annual meeting of stockholders and, subject to Section 2.1(e), shall hold office until the annual meeting of stockholders in 2026 or until their earlier resignation, removal or death. Class II directors shall be nominated for reelection by the stockholders at the 2024 annual meeting of stockholders and shall hold office until the annual meeting of stockholders in 2027 or until their earlier resignation, removal or death. Class III directors shall be nominated for reelection by the stockholders at the 2025 annual meeting of stockholders and shall and shall hold office until the annual meeting of stockholders in 2028 or until their earlier resignation, removal or death.</w:t>
      </w:r>
    </w:p>
    <w:p>
      <w:pPr>
        <w:spacing w:after="0" w:line="162" w:lineRule="exact"/>
        <w:rPr>
          <w:rFonts w:ascii="Times New Roman" w:cs="Times New Roman" w:eastAsia="Times New Roman" w:hAnsi="Times New Roman"/>
          <w:sz w:val="16"/>
          <w:szCs w:val="16"/>
          <w:color w:val="auto"/>
        </w:rPr>
      </w:pPr>
    </w:p>
    <w:p>
      <w:pPr>
        <w:ind w:left="1400" w:hanging="257"/>
        <w:spacing w:after="0"/>
        <w:tabs>
          <w:tab w:leader="none" w:pos="1400" w:val="left"/>
        </w:tabs>
        <w:numPr>
          <w:ilvl w:val="0"/>
          <w:numId w:val="2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REMUS Representation</w:t>
      </w:r>
      <w:r>
        <w:rPr>
          <w:rFonts w:ascii="Times New Roman" w:cs="Times New Roman" w:eastAsia="Times New Roman" w:hAnsi="Times New Roman"/>
          <w:sz w:val="16"/>
          <w:szCs w:val="16"/>
          <w:color w:val="auto"/>
        </w:rPr>
        <w:t>.</w:t>
      </w:r>
    </w:p>
    <w:p>
      <w:pPr>
        <w:spacing w:after="0" w:line="198" w:lineRule="exact"/>
        <w:rPr>
          <w:rFonts w:ascii="Times New Roman" w:cs="Times New Roman" w:eastAsia="Times New Roman" w:hAnsi="Times New Roman"/>
          <w:sz w:val="16"/>
          <w:szCs w:val="16"/>
          <w:color w:val="auto"/>
        </w:rPr>
      </w:pPr>
    </w:p>
    <w:p>
      <w:pPr>
        <w:jc w:val="both"/>
        <w:ind w:firstLine="1716"/>
        <w:spacing w:after="0" w:line="257" w:lineRule="auto"/>
        <w:tabs>
          <w:tab w:leader="none" w:pos="1963" w:val="left"/>
        </w:tabs>
        <w:numPr>
          <w:ilvl w:val="1"/>
          <w:numId w:val="2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event that Gail Zauder resigns or is removed within the 12 months following the consummation of the Merger, the REMUS Stockholders shall have the exclusive right to designate a successor for appointment. Thereafter, any successor to Ms. Zauder shall be determined and designated for election or appointment by the Company’s Nominating and Governance Committee with approval by the Board of Directors. For the avoidance of doubt, any successor director designated by the REMUS Stockholders pursuant to this </w:t>
      </w:r>
      <w:r>
        <w:rPr>
          <w:rFonts w:ascii="Times New Roman" w:cs="Times New Roman" w:eastAsia="Times New Roman" w:hAnsi="Times New Roman"/>
          <w:sz w:val="16"/>
          <w:szCs w:val="16"/>
          <w:u w:val="single" w:color="auto"/>
          <w:color w:val="auto"/>
        </w:rPr>
        <w:t>Section 2.1(d)(i)</w:t>
      </w:r>
      <w:r>
        <w:rPr>
          <w:rFonts w:ascii="Times New Roman" w:cs="Times New Roman" w:eastAsia="Times New Roman" w:hAnsi="Times New Roman"/>
          <w:sz w:val="16"/>
          <w:szCs w:val="16"/>
          <w:color w:val="auto"/>
        </w:rPr>
        <w:t xml:space="preserve"> shall not be considered a REMUS Designee for purposes of the REMUS Stockholders’ right to nominate a Class I director pursuant to Section 2.1(d)(ii).</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241" w:name="page242"/>
    <w:bookmarkEnd w:id="241"/>
    <w:p>
      <w:pPr>
        <w:jc w:val="both"/>
        <w:ind w:firstLine="1716"/>
        <w:spacing w:after="0" w:line="259" w:lineRule="auto"/>
        <w:tabs>
          <w:tab w:leader="none" w:pos="1995" w:val="left"/>
        </w:tabs>
        <w:numPr>
          <w:ilvl w:val="1"/>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so long as the REMUS Stockholders and any of their respective Affiliates hold, in the aggregate, not less than five percent of the Company’s outstanding voting securities, the REMUS Stockholders shall be entitled (but not obligated) to nominate for election and require the Company and the Principal Stockholders to take Necessary Action to include a single Class I director (a “</w:t>
      </w:r>
      <w:r>
        <w:rPr>
          <w:rFonts w:ascii="Times New Roman" w:cs="Times New Roman" w:eastAsia="Times New Roman" w:hAnsi="Times New Roman"/>
          <w:sz w:val="16"/>
          <w:szCs w:val="16"/>
          <w:u w:val="single" w:color="auto"/>
          <w:color w:val="auto"/>
        </w:rPr>
        <w:t>REMUS Designee</w:t>
      </w:r>
      <w:r>
        <w:rPr>
          <w:rFonts w:ascii="Times New Roman" w:cs="Times New Roman" w:eastAsia="Times New Roman" w:hAnsi="Times New Roman"/>
          <w:sz w:val="16"/>
          <w:szCs w:val="16"/>
          <w:color w:val="auto"/>
        </w:rPr>
        <w:t>”) in the slate of nominees recommended by the Board of Directors for election as directors at each applicable annual or special meeting of stockholders at which directors are to be elected.</w:t>
      </w:r>
    </w:p>
    <w:p>
      <w:pPr>
        <w:spacing w:after="0" w:line="161" w:lineRule="exact"/>
        <w:rPr>
          <w:rFonts w:ascii="Times New Roman" w:cs="Times New Roman" w:eastAsia="Times New Roman" w:hAnsi="Times New Roman"/>
          <w:sz w:val="16"/>
          <w:szCs w:val="16"/>
          <w:color w:val="auto"/>
        </w:rPr>
      </w:pPr>
    </w:p>
    <w:p>
      <w:pPr>
        <w:jc w:val="both"/>
        <w:ind w:firstLine="1143"/>
        <w:spacing w:after="0" w:line="253" w:lineRule="auto"/>
        <w:tabs>
          <w:tab w:leader="none" w:pos="1403"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CA Representation</w:t>
      </w:r>
      <w:r>
        <w:rPr>
          <w:rFonts w:ascii="Times New Roman" w:cs="Times New Roman" w:eastAsia="Times New Roman" w:hAnsi="Times New Roman"/>
          <w:sz w:val="16"/>
          <w:szCs w:val="16"/>
          <w:color w:val="auto"/>
        </w:rPr>
        <w:t>. For so long as CA and its Affiliates hold, in the aggregate, not less than 75.0%, collectively, of the shares of Common Stock they hold immediately following the consummation of the transactions contemplated by the Merger Agreement, CA shall be entitled (but not obligated) to nominate for election and require the Company and the Principal Stockholders to take Necessary Action to include a single Class I director (a “</w:t>
      </w:r>
      <w:r>
        <w:rPr>
          <w:rFonts w:ascii="Times New Roman" w:cs="Times New Roman" w:eastAsia="Times New Roman" w:hAnsi="Times New Roman"/>
          <w:sz w:val="16"/>
          <w:szCs w:val="16"/>
          <w:u w:val="single" w:color="auto"/>
          <w:color w:val="auto"/>
        </w:rPr>
        <w:t>CA Designee</w:t>
      </w:r>
      <w:r>
        <w:rPr>
          <w:rFonts w:ascii="Times New Roman" w:cs="Times New Roman" w:eastAsia="Times New Roman" w:hAnsi="Times New Roman"/>
          <w:sz w:val="16"/>
          <w:szCs w:val="16"/>
          <w:color w:val="auto"/>
        </w:rPr>
        <w:t xml:space="preserve">”) in the slate of nominees recommended by the Board of Directors for election as directors at each applicable annual or special meeting of stockholders at which directors are to be elected;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any provision of this Agreement to the contrary notwithstanding, within three business days of the date on which CA and its Affiliates hold, in the aggregate, less than 75.0%, collectively, of the shares of Common Stock they hold immediately following the consummation of the transactions contemplated by the Merger Agreement, CA shall notify the Company and, promptly following the written request of the Nominating and Governance Committee of the Board of Directors, shall cause the CA Designee to execute and deliver an irrevocable written resignation from the Board of Directors and any committees on which he or she then sits.</w:t>
      </w:r>
    </w:p>
    <w:p>
      <w:pPr>
        <w:spacing w:after="0" w:line="169" w:lineRule="exact"/>
        <w:rPr>
          <w:rFonts w:ascii="Times New Roman" w:cs="Times New Roman" w:eastAsia="Times New Roman" w:hAnsi="Times New Roman"/>
          <w:sz w:val="16"/>
          <w:szCs w:val="16"/>
          <w:color w:val="auto"/>
        </w:rPr>
      </w:pPr>
    </w:p>
    <w:p>
      <w:pPr>
        <w:jc w:val="both"/>
        <w:ind w:firstLine="1143"/>
        <w:spacing w:after="0" w:line="259" w:lineRule="auto"/>
        <w:tabs>
          <w:tab w:leader="none" w:pos="1398"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Chief Executive Officer Representation</w:t>
      </w:r>
      <w:r>
        <w:rPr>
          <w:rFonts w:ascii="Times New Roman" w:cs="Times New Roman" w:eastAsia="Times New Roman" w:hAnsi="Times New Roman"/>
          <w:sz w:val="16"/>
          <w:szCs w:val="16"/>
          <w:color w:val="auto"/>
        </w:rPr>
        <w:t>. For so long as the Chief Executive Officer and his Affiliates hold, in the aggregate, not less than five percent of the Company’s outstanding voting securities, the Chief Executive Officer shall be entitled (but not obligated) to nominate for election and require the Company and the Principal Stockholders to take Necessary Action to include a single Class II director (a “</w:t>
      </w:r>
      <w:r>
        <w:rPr>
          <w:rFonts w:ascii="Times New Roman" w:cs="Times New Roman" w:eastAsia="Times New Roman" w:hAnsi="Times New Roman"/>
          <w:sz w:val="16"/>
          <w:szCs w:val="16"/>
          <w:u w:val="single" w:color="auto"/>
          <w:color w:val="auto"/>
        </w:rPr>
        <w:t>Chief Executive Officer Designee</w:t>
      </w:r>
      <w:r>
        <w:rPr>
          <w:rFonts w:ascii="Times New Roman" w:cs="Times New Roman" w:eastAsia="Times New Roman" w:hAnsi="Times New Roman"/>
          <w:sz w:val="16"/>
          <w:szCs w:val="16"/>
          <w:color w:val="auto"/>
        </w:rPr>
        <w:t>”) in the slate of nominees recommended by the Board of Directors for election as directors at each applicable annual or special meeting of stockholders at which directors are to be elected.</w:t>
      </w:r>
    </w:p>
    <w:p>
      <w:pPr>
        <w:spacing w:after="0" w:line="161" w:lineRule="exact"/>
        <w:rPr>
          <w:rFonts w:ascii="Times New Roman" w:cs="Times New Roman" w:eastAsia="Times New Roman" w:hAnsi="Times New Roman"/>
          <w:sz w:val="16"/>
          <w:szCs w:val="16"/>
          <w:color w:val="auto"/>
        </w:rPr>
      </w:pPr>
    </w:p>
    <w:p>
      <w:pPr>
        <w:jc w:val="both"/>
        <w:ind w:right="20" w:firstLine="1143"/>
        <w:spacing w:after="0" w:line="252" w:lineRule="auto"/>
        <w:tabs>
          <w:tab w:leader="none" w:pos="1424"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Additional Obligations</w:t>
      </w:r>
      <w:r>
        <w:rPr>
          <w:rFonts w:ascii="Times New Roman" w:cs="Times New Roman" w:eastAsia="Times New Roman" w:hAnsi="Times New Roman"/>
          <w:sz w:val="16"/>
          <w:szCs w:val="16"/>
          <w:color w:val="auto"/>
        </w:rPr>
        <w:t xml:space="preserve">. An individual designated by a Principal Stockholder for election (including pursuant to </w:t>
      </w:r>
      <w:r>
        <w:rPr>
          <w:rFonts w:ascii="Times New Roman" w:cs="Times New Roman" w:eastAsia="Times New Roman" w:hAnsi="Times New Roman"/>
          <w:sz w:val="16"/>
          <w:szCs w:val="16"/>
          <w:u w:val="single" w:color="auto"/>
          <w:color w:val="auto"/>
        </w:rPr>
        <w:t>Sections 2.1(d)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(e)</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(f)</w:t>
      </w:r>
      <w:r>
        <w:rPr>
          <w:rFonts w:ascii="Times New Roman" w:cs="Times New Roman" w:eastAsia="Times New Roman" w:hAnsi="Times New Roman"/>
          <w:sz w:val="16"/>
          <w:szCs w:val="16"/>
          <w:color w:val="auto"/>
        </w:rPr>
        <w:t xml:space="preserve">) as a director shall comply with the requirements of the charter for, and related guidelines of, the Company’s Nominating and Governance Committee. Notwithstanding anything to the contrary in this </w:t>
      </w:r>
      <w:r>
        <w:rPr>
          <w:rFonts w:ascii="Times New Roman" w:cs="Times New Roman" w:eastAsia="Times New Roman" w:hAnsi="Times New Roman"/>
          <w:sz w:val="16"/>
          <w:szCs w:val="16"/>
          <w:u w:val="single" w:color="auto"/>
          <w:color w:val="auto"/>
        </w:rPr>
        <w:t>Article II</w:t>
      </w:r>
      <w:r>
        <w:rPr>
          <w:rFonts w:ascii="Times New Roman" w:cs="Times New Roman" w:eastAsia="Times New Roman" w:hAnsi="Times New Roman"/>
          <w:sz w:val="16"/>
          <w:szCs w:val="16"/>
          <w:color w:val="auto"/>
        </w:rPr>
        <w:t xml:space="preserve">, in the event that the Board of Directors determines in good faith, after consultation with outside legal counsel, that its nomination, appointment or election of a particular Board Designee pursuant to this </w:t>
      </w:r>
      <w:r>
        <w:rPr>
          <w:rFonts w:ascii="Times New Roman" w:cs="Times New Roman" w:eastAsia="Times New Roman" w:hAnsi="Times New Roman"/>
          <w:sz w:val="16"/>
          <w:szCs w:val="16"/>
          <w:u w:val="single" w:color="auto"/>
          <w:color w:val="auto"/>
        </w:rPr>
        <w:t>Section 2.1</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2.2</w:t>
      </w:r>
      <w:r>
        <w:rPr>
          <w:rFonts w:ascii="Times New Roman" w:cs="Times New Roman" w:eastAsia="Times New Roman" w:hAnsi="Times New Roman"/>
          <w:sz w:val="16"/>
          <w:szCs w:val="16"/>
          <w:color w:val="auto"/>
        </w:rPr>
        <w:t xml:space="preserve"> would constitute a breach of its fiduciary duties to the Company’s stockholders or does not otherwise comply with any requirements of the charter for, or related guidelines of, the Nominating and Governance Committee, then the Board of Directors shall inform such Principal Stockholder of such determination in writing and explain in reasonable detail the basis for such determination and shall designate another individual designated for nomination, election or appointment to the Board of Directors by such Principal Stockholder, and the Board of Directors and the Company shall take all of the actions required by this </w:t>
      </w:r>
      <w:r>
        <w:rPr>
          <w:rFonts w:ascii="Times New Roman" w:cs="Times New Roman" w:eastAsia="Times New Roman" w:hAnsi="Times New Roman"/>
          <w:sz w:val="16"/>
          <w:szCs w:val="16"/>
          <w:u w:val="single" w:color="auto"/>
          <w:color w:val="auto"/>
        </w:rPr>
        <w:t>Article II</w:t>
      </w:r>
      <w:r>
        <w:rPr>
          <w:rFonts w:ascii="Times New Roman" w:cs="Times New Roman" w:eastAsia="Times New Roman" w:hAnsi="Times New Roman"/>
          <w:sz w:val="16"/>
          <w:szCs w:val="16"/>
          <w:color w:val="auto"/>
        </w:rPr>
        <w:t xml:space="preserve"> with respect to the election of such substitute Board Designee. It is hereby acknowledged and agreed that the fact that a particular Board Designee is an Affiliate, director, professional, partner, member, manager, employee or agent of a Principal Stockholder or is not an independent director shall not in and of itself constitute an acceptable basis for such determination by the Board of Directors.</w:t>
      </w:r>
    </w:p>
    <w:p>
      <w:pPr>
        <w:spacing w:after="0" w:line="171" w:lineRule="exact"/>
        <w:rPr>
          <w:rFonts w:ascii="Times New Roman" w:cs="Times New Roman" w:eastAsia="Times New Roman" w:hAnsi="Times New Roman"/>
          <w:sz w:val="16"/>
          <w:szCs w:val="16"/>
          <w:color w:val="auto"/>
        </w:rPr>
      </w:pPr>
    </w:p>
    <w:p>
      <w:pPr>
        <w:jc w:val="both"/>
        <w:ind w:firstLine="1143"/>
        <w:spacing w:after="0" w:line="257" w:lineRule="auto"/>
        <w:tabs>
          <w:tab w:leader="none" w:pos="1412"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Replacement of Board Designees</w:t>
      </w:r>
      <w:r>
        <w:rPr>
          <w:rFonts w:ascii="Times New Roman" w:cs="Times New Roman" w:eastAsia="Times New Roman" w:hAnsi="Times New Roman"/>
          <w:sz w:val="16"/>
          <w:szCs w:val="16"/>
          <w:color w:val="auto"/>
        </w:rPr>
        <w:t xml:space="preserve">. Except as provided in </w:t>
      </w:r>
      <w:r>
        <w:rPr>
          <w:rFonts w:ascii="Times New Roman" w:cs="Times New Roman" w:eastAsia="Times New Roman" w:hAnsi="Times New Roman"/>
          <w:sz w:val="16"/>
          <w:szCs w:val="16"/>
          <w:u w:val="single" w:color="auto"/>
          <w:color w:val="auto"/>
        </w:rPr>
        <w:t>Sections 2.1(d)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(e)</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(f)</w:t>
      </w:r>
      <w:r>
        <w:rPr>
          <w:rFonts w:ascii="Times New Roman" w:cs="Times New Roman" w:eastAsia="Times New Roman" w:hAnsi="Times New Roman"/>
          <w:sz w:val="16"/>
          <w:szCs w:val="16"/>
          <w:color w:val="auto"/>
        </w:rPr>
        <w:t xml:space="preserve">, as applicable, with respect to decreases in ownership of the Principal Stockholders, (i) each Principal Stockholder shall have the exclusive right to request the resignation of its Board Designee from the Board of Directors and (ii) each Principal Stockholder shall have the exclusive right to designate a replacement director to fill the vacancy (for the remainder of the then current term) created by reason of death, disability, removal or resignation of its Board Designee, and, subject to the provisions of </w:t>
      </w:r>
      <w:r>
        <w:rPr>
          <w:rFonts w:ascii="Times New Roman" w:cs="Times New Roman" w:eastAsia="Times New Roman" w:hAnsi="Times New Roman"/>
          <w:sz w:val="16"/>
          <w:szCs w:val="16"/>
          <w:u w:val="single" w:color="auto"/>
          <w:color w:val="auto"/>
        </w:rPr>
        <w:t>Section 2.1(g)</w:t>
      </w:r>
      <w:r>
        <w:rPr>
          <w:rFonts w:ascii="Times New Roman" w:cs="Times New Roman" w:eastAsia="Times New Roman" w:hAnsi="Times New Roman"/>
          <w:sz w:val="16"/>
          <w:szCs w:val="16"/>
          <w:color w:val="auto"/>
        </w:rPr>
        <w:t>, the Company and the Principal Stockholders shall take all Necessary Action to cause any such vacancies to be filled by the replacement director designated by such designating Principal Stockholder as promptly as reasonably practicable.</w:t>
      </w:r>
    </w:p>
    <w:p>
      <w:pPr>
        <w:spacing w:after="0" w:line="162" w:lineRule="exact"/>
        <w:rPr>
          <w:rFonts w:ascii="Times New Roman" w:cs="Times New Roman" w:eastAsia="Times New Roman" w:hAnsi="Times New Roman"/>
          <w:sz w:val="16"/>
          <w:szCs w:val="16"/>
          <w:color w:val="auto"/>
        </w:rPr>
      </w:pPr>
    </w:p>
    <w:p>
      <w:pPr>
        <w:jc w:val="both"/>
        <w:ind w:firstLine="1143"/>
        <w:spacing w:after="0" w:line="259" w:lineRule="auto"/>
        <w:tabs>
          <w:tab w:leader="none" w:pos="1389"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Other Nominations; Vacancies</w:t>
      </w:r>
      <w:r>
        <w:rPr>
          <w:rFonts w:ascii="Times New Roman" w:cs="Times New Roman" w:eastAsia="Times New Roman" w:hAnsi="Times New Roman"/>
          <w:sz w:val="16"/>
          <w:szCs w:val="16"/>
          <w:color w:val="auto"/>
        </w:rPr>
        <w:t xml:space="preserve">. Notwithstanding anything contained in this Agreement to the contrary, other than the Principal Stockholders’ rights to (i) nominate individuals for election as specifically set forth in </w:t>
      </w:r>
      <w:r>
        <w:rPr>
          <w:rFonts w:ascii="Times New Roman" w:cs="Times New Roman" w:eastAsia="Times New Roman" w:hAnsi="Times New Roman"/>
          <w:sz w:val="16"/>
          <w:szCs w:val="16"/>
          <w:u w:val="single" w:color="auto"/>
          <w:color w:val="auto"/>
        </w:rPr>
        <w:t>Sections 2.1(d)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(e)</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(f)</w:t>
      </w:r>
      <w:r>
        <w:rPr>
          <w:rFonts w:ascii="Times New Roman" w:cs="Times New Roman" w:eastAsia="Times New Roman" w:hAnsi="Times New Roman"/>
          <w:sz w:val="16"/>
          <w:szCs w:val="16"/>
          <w:color w:val="auto"/>
        </w:rPr>
        <w:t xml:space="preserve"> and (ii) designate replacement directors in accordance with </w:t>
      </w:r>
      <w:r>
        <w:rPr>
          <w:rFonts w:ascii="Times New Roman" w:cs="Times New Roman" w:eastAsia="Times New Roman" w:hAnsi="Times New Roman"/>
          <w:sz w:val="16"/>
          <w:szCs w:val="16"/>
          <w:u w:val="single" w:color="auto"/>
          <w:color w:val="auto"/>
        </w:rPr>
        <w:t>Section 2.1(h)</w:t>
      </w:r>
      <w:r>
        <w:rPr>
          <w:rFonts w:ascii="Times New Roman" w:cs="Times New Roman" w:eastAsia="Times New Roman" w:hAnsi="Times New Roman"/>
          <w:sz w:val="16"/>
          <w:szCs w:val="16"/>
          <w:color w:val="auto"/>
        </w:rPr>
        <w:t>, no Principal Stockholder shall have any right nominate or designate any individual for election or appointment to the Board of Directors, or to fill any vacancy on the Board of Directors, whether such vacancy is caused by a change to the size of the Board of Directors or by the resignation, removal or death of a director.</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42" w:name="page243"/>
    <w:bookmarkEnd w:id="242"/>
    <w:p>
      <w:pPr>
        <w:ind w:left="560"/>
        <w:spacing w:after="0"/>
        <w:rPr>
          <w:sz w:val="20"/>
          <w:szCs w:val="20"/>
          <w:color w:val="auto"/>
        </w:rPr>
      </w:pPr>
      <w:r>
        <w:rPr>
          <w:rFonts w:ascii="Times New Roman" w:cs="Times New Roman" w:eastAsia="Times New Roman" w:hAnsi="Times New Roman"/>
          <w:sz w:val="16"/>
          <w:szCs w:val="16"/>
          <w:color w:val="auto"/>
        </w:rPr>
        <w:t xml:space="preserve">Section 2.2 </w:t>
      </w:r>
      <w:r>
        <w:rPr>
          <w:rFonts w:ascii="Times New Roman" w:cs="Times New Roman" w:eastAsia="Times New Roman" w:hAnsi="Times New Roman"/>
          <w:sz w:val="16"/>
          <w:szCs w:val="16"/>
          <w:u w:val="single" w:color="auto"/>
          <w:color w:val="auto"/>
        </w:rPr>
        <w:t>Committees of the Board of Directors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9" w:lineRule="auto"/>
        <w:tabs>
          <w:tab w:leader="none" w:pos="1403" w:val="left"/>
        </w:tabs>
        <w:numPr>
          <w:ilvl w:val="0"/>
          <w:numId w:val="2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the Principal Stockholders acknowledge and agree that the Board of Directors may, by resolution, designate from among the directors one or more committees, each of which shall be comprised of one or more directors. Any such committee, to the extent provided in the resolution forming such committee, shall have and may exercise the authority of the Board of Directors, subject to the limitations set forth in the charter, bylaws (as they may be amended from time to time, the “</w:t>
      </w:r>
      <w:r>
        <w:rPr>
          <w:rFonts w:ascii="Times New Roman" w:cs="Times New Roman" w:eastAsia="Times New Roman" w:hAnsi="Times New Roman"/>
          <w:sz w:val="16"/>
          <w:szCs w:val="16"/>
          <w:u w:val="single" w:color="auto"/>
          <w:color w:val="auto"/>
        </w:rPr>
        <w:t>Bylaws</w:t>
      </w:r>
      <w:r>
        <w:rPr>
          <w:rFonts w:ascii="Times New Roman" w:cs="Times New Roman" w:eastAsia="Times New Roman" w:hAnsi="Times New Roman"/>
          <w:sz w:val="16"/>
          <w:szCs w:val="16"/>
          <w:color w:val="auto"/>
        </w:rPr>
        <w:t>”) and applicable law. The Board of Directors may dissolve any committee or remove any member of a committee at any time.</w:t>
      </w:r>
    </w:p>
    <w:p>
      <w:pPr>
        <w:spacing w:after="0" w:line="161" w:lineRule="exact"/>
        <w:rPr>
          <w:rFonts w:ascii="Times New Roman" w:cs="Times New Roman" w:eastAsia="Times New Roman" w:hAnsi="Times New Roman"/>
          <w:sz w:val="16"/>
          <w:szCs w:val="16"/>
          <w:color w:val="auto"/>
        </w:rPr>
      </w:pPr>
    </w:p>
    <w:p>
      <w:pPr>
        <w:ind w:right="20" w:firstLine="1143"/>
        <w:spacing w:after="0" w:line="280" w:lineRule="auto"/>
        <w:tabs>
          <w:tab w:leader="none" w:pos="1436" w:val="left"/>
        </w:tabs>
        <w:numPr>
          <w:ilvl w:val="0"/>
          <w:numId w:val="2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of Directors shall constitute and charter an Audit Committee, a Compensation Committee and a Nominating and Governance Committee, comprised solely of independent directors and with an initial constitution as follows:</w:t>
      </w:r>
    </w:p>
    <w:p>
      <w:pPr>
        <w:spacing w:after="0" w:line="144" w:lineRule="exact"/>
        <w:rPr>
          <w:rFonts w:ascii="Times New Roman" w:cs="Times New Roman" w:eastAsia="Times New Roman" w:hAnsi="Times New Roman"/>
          <w:sz w:val="16"/>
          <w:szCs w:val="16"/>
          <w:color w:val="auto"/>
        </w:rPr>
      </w:pPr>
    </w:p>
    <w:p>
      <w:pPr>
        <w:ind w:left="1940" w:hanging="224"/>
        <w:spacing w:after="0"/>
        <w:tabs>
          <w:tab w:leader="none" w:pos="1940" w:val="left"/>
        </w:tabs>
        <w:numPr>
          <w:ilvl w:val="1"/>
          <w:numId w:val="2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members of the Audit Committee shall initially be Gail Zauder (Chair), Ilya Golubovich and Keith Kravcik;</w:t>
      </w:r>
    </w:p>
    <w:p>
      <w:pPr>
        <w:spacing w:after="0" w:line="198" w:lineRule="exact"/>
        <w:rPr>
          <w:rFonts w:ascii="Times New Roman" w:cs="Times New Roman" w:eastAsia="Times New Roman" w:hAnsi="Times New Roman"/>
          <w:sz w:val="16"/>
          <w:szCs w:val="16"/>
          <w:color w:val="auto"/>
        </w:rPr>
      </w:pPr>
    </w:p>
    <w:p>
      <w:pPr>
        <w:ind w:left="2000" w:hanging="284"/>
        <w:spacing w:after="0"/>
        <w:tabs>
          <w:tab w:leader="none" w:pos="2000" w:val="left"/>
        </w:tabs>
        <w:numPr>
          <w:ilvl w:val="1"/>
          <w:numId w:val="2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members of the Compensation Committee shall initially be Kim Axel Lopdrup (Chair), Ilya Golubovich and Gail Zauder; and</w:t>
      </w:r>
    </w:p>
    <w:p>
      <w:pPr>
        <w:spacing w:after="0" w:line="198" w:lineRule="exact"/>
        <w:rPr>
          <w:rFonts w:ascii="Times New Roman" w:cs="Times New Roman" w:eastAsia="Times New Roman" w:hAnsi="Times New Roman"/>
          <w:sz w:val="16"/>
          <w:szCs w:val="16"/>
          <w:color w:val="auto"/>
        </w:rPr>
      </w:pPr>
    </w:p>
    <w:p>
      <w:pPr>
        <w:ind w:left="2040" w:hanging="324"/>
        <w:spacing w:after="0"/>
        <w:tabs>
          <w:tab w:leader="none" w:pos="2040" w:val="left"/>
        </w:tabs>
        <w:numPr>
          <w:ilvl w:val="1"/>
          <w:numId w:val="2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members of the Nominating and Governance Committee shall initially be Ilya Golubovich (Chair), Krishna Gupta and Keith Kravcik.</w:t>
      </w:r>
    </w:p>
    <w:p>
      <w:pPr>
        <w:spacing w:after="0" w:line="198" w:lineRule="exact"/>
        <w:rPr>
          <w:rFonts w:ascii="Times New Roman" w:cs="Times New Roman" w:eastAsia="Times New Roman" w:hAnsi="Times New Roman"/>
          <w:sz w:val="16"/>
          <w:szCs w:val="16"/>
          <w:color w:val="auto"/>
        </w:rPr>
      </w:pPr>
    </w:p>
    <w:p>
      <w:pPr>
        <w:jc w:val="both"/>
        <w:ind w:right="20" w:firstLine="1143"/>
        <w:spacing w:after="0" w:line="257" w:lineRule="auto"/>
        <w:tabs>
          <w:tab w:leader="none" w:pos="1439" w:val="left"/>
        </w:tabs>
        <w:numPr>
          <w:ilvl w:val="0"/>
          <w:numId w:val="2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members of each committee shall be appointed by the Board of Directors in accordance with the Bylaws based on recommendations from the Nominating and Governance Committee of the Board of Directors, and shall serve at the discretion of the Board of Directors. The Board of Directors may remove any member of any committee at any time with or without cause, and vacancies occurring on the committee shall be filled by the Board of Directors. The Board of Directors shall appoint a Chairperson of each committee to preside at all meetings of such committee. If a Chairperson is not designated or present at a meeting of a committee, the members of the committee may designate a Chairperson by majority vote of the committee membership.</w:t>
      </w:r>
    </w:p>
    <w:p>
      <w:pPr>
        <w:spacing w:after="0" w:line="162"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 xml:space="preserve">Section 2.3 </w:t>
      </w:r>
      <w:r>
        <w:rPr>
          <w:rFonts w:ascii="Times New Roman" w:cs="Times New Roman" w:eastAsia="Times New Roman" w:hAnsi="Times New Roman"/>
          <w:sz w:val="16"/>
          <w:szCs w:val="16"/>
          <w:u w:val="single" w:color="auto"/>
          <w:color w:val="auto"/>
        </w:rPr>
        <w:t>Voting Agreement</w:t>
      </w:r>
      <w:r>
        <w:rPr>
          <w:rFonts w:ascii="Times New Roman" w:cs="Times New Roman" w:eastAsia="Times New Roman" w:hAnsi="Times New Roman"/>
          <w:sz w:val="16"/>
          <w:szCs w:val="16"/>
          <w:color w:val="auto"/>
        </w:rPr>
        <w:t>. Each Principal Stockholder agrees, in person or by proxy, to cast all votes to which such Principal Stockholder is entitled in respect of its Company Shares, whether at any annual or special meeting, by written consent or otherwise, so as to cause to be elected to the Board of Directors those individuals designated in accordance with Section 2.1 and 2.2 and to otherwise effect the intent of this Article II.</w:t>
      </w:r>
    </w:p>
    <w:p>
      <w:pPr>
        <w:spacing w:after="0" w:line="155"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 xml:space="preserve">Section 2.4 </w:t>
      </w:r>
      <w:r>
        <w:rPr>
          <w:rFonts w:ascii="Times New Roman" w:cs="Times New Roman" w:eastAsia="Times New Roman" w:hAnsi="Times New Roman"/>
          <w:sz w:val="16"/>
          <w:szCs w:val="16"/>
          <w:u w:val="single" w:color="auto"/>
          <w:color w:val="auto"/>
        </w:rPr>
        <w:t>Agreement of Company</w:t>
      </w:r>
      <w:r>
        <w:rPr>
          <w:rFonts w:ascii="Times New Roman" w:cs="Times New Roman" w:eastAsia="Times New Roman" w:hAnsi="Times New Roman"/>
          <w:sz w:val="16"/>
          <w:szCs w:val="16"/>
          <w:color w:val="auto"/>
        </w:rPr>
        <w:t xml:space="preserve">. The Company hereby agrees that it will take all Necessary Actions to cause the matters addressed by this </w:t>
      </w:r>
      <w:r>
        <w:rPr>
          <w:rFonts w:ascii="Times New Roman" w:cs="Times New Roman" w:eastAsia="Times New Roman" w:hAnsi="Times New Roman"/>
          <w:sz w:val="16"/>
          <w:szCs w:val="16"/>
          <w:u w:val="single" w:color="auto"/>
          <w:color w:val="auto"/>
        </w:rPr>
        <w:t>Article II</w:t>
      </w:r>
      <w:r>
        <w:rPr>
          <w:rFonts w:ascii="Times New Roman" w:cs="Times New Roman" w:eastAsia="Times New Roman" w:hAnsi="Times New Roman"/>
          <w:sz w:val="16"/>
          <w:szCs w:val="16"/>
          <w:color w:val="auto"/>
        </w:rPr>
        <w:t xml:space="preserve"> to be carried out in accordance with the provisions thereof. Without limiting the foregoing, the Secretary of the Company or such other officer or employee of the Company who may be fulfilling the duties of the Secretary, shall not record any vote or consent or other action contrary to the terms of this </w:t>
      </w:r>
      <w:r>
        <w:rPr>
          <w:rFonts w:ascii="Times New Roman" w:cs="Times New Roman" w:eastAsia="Times New Roman" w:hAnsi="Times New Roman"/>
          <w:sz w:val="16"/>
          <w:szCs w:val="16"/>
          <w:u w:val="single" w:color="auto"/>
          <w:color w:val="auto"/>
        </w:rPr>
        <w:t>Article II</w:t>
      </w:r>
      <w:r>
        <w:rPr>
          <w:rFonts w:ascii="Times New Roman" w:cs="Times New Roman" w:eastAsia="Times New Roman" w:hAnsi="Times New Roman"/>
          <w:sz w:val="16"/>
          <w:szCs w:val="16"/>
          <w:color w:val="auto"/>
        </w:rPr>
        <w:t>.</w:t>
      </w:r>
    </w:p>
    <w:p>
      <w:pPr>
        <w:spacing w:after="0" w:line="155" w:lineRule="exact"/>
        <w:rPr>
          <w:sz w:val="20"/>
          <w:szCs w:val="20"/>
          <w:color w:val="auto"/>
        </w:rPr>
      </w:pPr>
    </w:p>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 xml:space="preserve">Section 2.5 </w:t>
      </w:r>
      <w:r>
        <w:rPr>
          <w:rFonts w:ascii="Times New Roman" w:cs="Times New Roman" w:eastAsia="Times New Roman" w:hAnsi="Times New Roman"/>
          <w:sz w:val="16"/>
          <w:szCs w:val="16"/>
          <w:u w:val="single" w:color="auto"/>
          <w:color w:val="auto"/>
        </w:rPr>
        <w:t>Restrictions on Other Agreements</w:t>
      </w:r>
      <w:r>
        <w:rPr>
          <w:rFonts w:ascii="Times New Roman" w:cs="Times New Roman" w:eastAsia="Times New Roman" w:hAnsi="Times New Roman"/>
          <w:sz w:val="16"/>
          <w:szCs w:val="16"/>
          <w:color w:val="auto"/>
        </w:rPr>
        <w:t>. No Principal Stockholder shall grant any proxy or enter into or agree to be bound by any voting trust, agreement or arrangement of any kind with any Person with respect to its Company Shares if and to the extent the terms thereof conflict with the provisions of this Agreement (whether or not such proxy, voting trust, agreements or arrangements are with other Principal Stockholders, I2BF, holders of Company Shares that are not parties to this Agreement or otherwise).</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43" w:name="page244"/>
    <w:bookmarkEnd w:id="243"/>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ARTICLE III</w:t>
      </w:r>
    </w:p>
    <w:p>
      <w:pPr>
        <w:spacing w:after="0" w:line="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REPRESENTATIONS AND WARRANTIES</w:t>
      </w:r>
    </w:p>
    <w:p>
      <w:pPr>
        <w:spacing w:after="0" w:line="182" w:lineRule="exact"/>
        <w:rPr>
          <w:sz w:val="20"/>
          <w:szCs w:val="20"/>
          <w:color w:val="auto"/>
        </w:rPr>
      </w:pPr>
    </w:p>
    <w:p>
      <w:pPr>
        <w:jc w:val="both"/>
        <w:ind w:left="4" w:right="20" w:firstLine="574"/>
        <w:spacing w:after="0" w:line="280" w:lineRule="auto"/>
        <w:rPr>
          <w:sz w:val="20"/>
          <w:szCs w:val="20"/>
          <w:color w:val="auto"/>
        </w:rPr>
      </w:pPr>
      <w:r>
        <w:rPr>
          <w:rFonts w:ascii="Times New Roman" w:cs="Times New Roman" w:eastAsia="Times New Roman" w:hAnsi="Times New Roman"/>
          <w:sz w:val="16"/>
          <w:szCs w:val="16"/>
          <w:color w:val="auto"/>
        </w:rPr>
        <w:t>Each of the parties to this Agreement hereby represents and warrants to each other party to this Agreement, severally on behalf of itself and not jointly, that as of the date such party executes this Agreement:</w:t>
      </w:r>
    </w:p>
    <w:p>
      <w:pPr>
        <w:spacing w:after="0" w:line="144" w:lineRule="exact"/>
        <w:rPr>
          <w:sz w:val="20"/>
          <w:szCs w:val="20"/>
          <w:color w:val="auto"/>
        </w:rPr>
      </w:pPr>
    </w:p>
    <w:p>
      <w:pPr>
        <w:jc w:val="both"/>
        <w:ind w:left="4" w:firstLine="574"/>
        <w:spacing w:after="0" w:line="253" w:lineRule="auto"/>
        <w:rPr>
          <w:sz w:val="20"/>
          <w:szCs w:val="20"/>
          <w:color w:val="auto"/>
        </w:rPr>
      </w:pPr>
      <w:r>
        <w:rPr>
          <w:rFonts w:ascii="Times New Roman" w:cs="Times New Roman" w:eastAsia="Times New Roman" w:hAnsi="Times New Roman"/>
          <w:sz w:val="16"/>
          <w:szCs w:val="16"/>
          <w:color w:val="auto"/>
        </w:rPr>
        <w:t xml:space="preserve">Section 3.1 </w:t>
      </w:r>
      <w:r>
        <w:rPr>
          <w:rFonts w:ascii="Times New Roman" w:cs="Times New Roman" w:eastAsia="Times New Roman" w:hAnsi="Times New Roman"/>
          <w:sz w:val="16"/>
          <w:szCs w:val="16"/>
          <w:u w:val="single" w:color="auto"/>
          <w:color w:val="auto"/>
        </w:rPr>
        <w:t>Existence; Authority; Enforceability</w:t>
      </w:r>
      <w:r>
        <w:rPr>
          <w:rFonts w:ascii="Times New Roman" w:cs="Times New Roman" w:eastAsia="Times New Roman" w:hAnsi="Times New Roman"/>
          <w:sz w:val="16"/>
          <w:szCs w:val="16"/>
          <w:color w:val="auto"/>
        </w:rPr>
        <w:t>. Such party has the power and authority to enter into this Agreement and to carry out its obligations hereunder. If such party is an entity, it is duly organized and validly existing under the laws of its jurisdiction of organization, and the execution of this Agreement, and the consummation of the transactions contemplated herein, have been authorized by all necessary action, and no other act or proceeding on its part is necessary to authorize the execution of this Agreement or the consummation of any of the transactions contemplated hereby. If such party is a natural person, such person has full capacity to contract. This Agreement has been duly executed by each of the parties hereto and constitutes his or its legal, valid and binding obligation, enforceable against him or it in accordance with its terms, except as enforcement may be limited by applicable bankruptcy, insolvency, reorganization, moratorium, fraudulent transfer and similar laws relating to or affecting creditors’ rights generally, or by the general principles of equity. No representation is made by any party with respect to the regulatory effect of this Agreement, and each of the parties has had an opportunity to consult with counsel as to his or its rights and responsibilities under this Agreement. No party makes any representation to any other party as to future law or regulation or the future interpretation of existing laws or regulations by any governmental authority or self-regulatory organization.</w:t>
      </w:r>
    </w:p>
    <w:p>
      <w:pPr>
        <w:spacing w:after="0" w:line="166"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 xml:space="preserve">Section 3.2 </w:t>
      </w:r>
      <w:r>
        <w:rPr>
          <w:rFonts w:ascii="Times New Roman" w:cs="Times New Roman" w:eastAsia="Times New Roman" w:hAnsi="Times New Roman"/>
          <w:sz w:val="16"/>
          <w:szCs w:val="16"/>
          <w:u w:val="single" w:color="auto"/>
          <w:color w:val="auto"/>
        </w:rPr>
        <w:t>Absence of Conflicts</w:t>
      </w:r>
      <w:r>
        <w:rPr>
          <w:rFonts w:ascii="Times New Roman" w:cs="Times New Roman" w:eastAsia="Times New Roman" w:hAnsi="Times New Roman"/>
          <w:sz w:val="16"/>
          <w:szCs w:val="16"/>
          <w:color w:val="auto"/>
        </w:rPr>
        <w:t>. The execution and delivery by such party of this Agreement and the performance of its obligations hereunder does not and will not</w:t>
      </w:r>
    </w:p>
    <w:p>
      <w:pPr>
        <w:spacing w:after="0" w:line="24" w:lineRule="exact"/>
        <w:rPr>
          <w:sz w:val="20"/>
          <w:szCs w:val="20"/>
          <w:color w:val="auto"/>
        </w:rPr>
      </w:pPr>
    </w:p>
    <w:p>
      <w:pPr>
        <w:jc w:val="both"/>
        <w:ind w:left="4" w:right="20" w:hanging="4"/>
        <w:spacing w:after="0" w:line="252" w:lineRule="auto"/>
        <w:tabs>
          <w:tab w:leader="none" w:pos="208" w:val="left"/>
        </w:tabs>
        <w:numPr>
          <w:ilvl w:val="0"/>
          <w:numId w:val="2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conflict with, or result in the breach of, any provision of the constitutive documents of such party, if any; (ii) result in any violation, breach, conflict, default or event of default (or an event which with notice, lapse of time, or both, would constitute a default or event of default), or give rise to any right of acceleration or termination or any additional payment obligation, under the terms of any contract, agreement or permit to which such party is a party or by which such party’s assets or operations are bound or affected; or (iii) violate any law applicable to such party.</w:t>
      </w:r>
    </w:p>
    <w:p>
      <w:pPr>
        <w:spacing w:after="0" w:line="167" w:lineRule="exact"/>
        <w:rPr>
          <w:sz w:val="20"/>
          <w:szCs w:val="20"/>
          <w:color w:val="auto"/>
        </w:rPr>
      </w:pPr>
    </w:p>
    <w:p>
      <w:pPr>
        <w:jc w:val="both"/>
        <w:ind w:left="4"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Section 3.3 </w:t>
      </w:r>
      <w:r>
        <w:rPr>
          <w:rFonts w:ascii="Times New Roman" w:cs="Times New Roman" w:eastAsia="Times New Roman" w:hAnsi="Times New Roman"/>
          <w:sz w:val="16"/>
          <w:szCs w:val="16"/>
          <w:u w:val="single" w:color="auto"/>
          <w:color w:val="auto"/>
        </w:rPr>
        <w:t>Consents</w:t>
      </w:r>
      <w:r>
        <w:rPr>
          <w:rFonts w:ascii="Times New Roman" w:cs="Times New Roman" w:eastAsia="Times New Roman" w:hAnsi="Times New Roman"/>
          <w:sz w:val="16"/>
          <w:szCs w:val="16"/>
          <w:color w:val="auto"/>
        </w:rPr>
        <w:t>. Other than any consents which have already been obtained, no consent, waiver, approval, authorization, exemption, registration, license or declaration is required to be made or obtained by such party in connection with the execution, delivery or performance of this Agreement.</w:t>
      </w:r>
    </w:p>
    <w:p>
      <w:pPr>
        <w:spacing w:after="0" w:line="14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ARTICLE IV</w:t>
      </w:r>
    </w:p>
    <w:p>
      <w:pPr>
        <w:spacing w:after="0" w:line="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MISCELLAENOUS</w:t>
      </w:r>
    </w:p>
    <w:p>
      <w:pPr>
        <w:spacing w:after="0" w:line="182" w:lineRule="exact"/>
        <w:rPr>
          <w:sz w:val="20"/>
          <w:szCs w:val="20"/>
          <w:color w:val="auto"/>
        </w:rPr>
      </w:pPr>
    </w:p>
    <w:p>
      <w:pPr>
        <w:jc w:val="both"/>
        <w:ind w:left="4" w:firstLine="574"/>
        <w:spacing w:after="0" w:line="255" w:lineRule="auto"/>
        <w:rPr>
          <w:sz w:val="20"/>
          <w:szCs w:val="20"/>
          <w:color w:val="auto"/>
        </w:rPr>
      </w:pPr>
      <w:r>
        <w:rPr>
          <w:rFonts w:ascii="Times New Roman" w:cs="Times New Roman" w:eastAsia="Times New Roman" w:hAnsi="Times New Roman"/>
          <w:sz w:val="16"/>
          <w:szCs w:val="16"/>
          <w:color w:val="auto"/>
        </w:rPr>
        <w:t xml:space="preserve">Section 4.1 </w:t>
      </w:r>
      <w:r>
        <w:rPr>
          <w:rFonts w:ascii="Times New Roman" w:cs="Times New Roman" w:eastAsia="Times New Roman" w:hAnsi="Times New Roman"/>
          <w:sz w:val="16"/>
          <w:szCs w:val="16"/>
          <w:u w:val="single" w:color="auto"/>
          <w:color w:val="auto"/>
        </w:rPr>
        <w:t>Termination</w:t>
      </w:r>
      <w:r>
        <w:rPr>
          <w:rFonts w:ascii="Times New Roman" w:cs="Times New Roman" w:eastAsia="Times New Roman" w:hAnsi="Times New Roman"/>
          <w:sz w:val="16"/>
          <w:szCs w:val="16"/>
          <w:color w:val="auto"/>
        </w:rPr>
        <w:t xml:space="preserve">. This Agreement shall terminate and be of no further force and effect (a) solely with respect to a party hereto, in the event that such party ceases to own any shares of Common Stock, (b) upon the written agreement of the Principal Stockholders to terminate this Agreement or (c) subject to the final sentence of </w:t>
      </w:r>
      <w:r>
        <w:rPr>
          <w:rFonts w:ascii="Times New Roman" w:cs="Times New Roman" w:eastAsia="Times New Roman" w:hAnsi="Times New Roman"/>
          <w:sz w:val="16"/>
          <w:szCs w:val="16"/>
          <w:u w:val="single" w:color="auto"/>
          <w:color w:val="auto"/>
        </w:rPr>
        <w:t>Section 4.7</w:t>
      </w:r>
      <w:r>
        <w:rPr>
          <w:rFonts w:ascii="Times New Roman" w:cs="Times New Roman" w:eastAsia="Times New Roman" w:hAnsi="Times New Roman"/>
          <w:sz w:val="16"/>
          <w:szCs w:val="16"/>
          <w:color w:val="auto"/>
        </w:rPr>
        <w:t xml:space="preserve"> of this Agreement, if its provisions become illegal or are interpreted by any governmental authority to be illegal, or any exchange on which the Common Stock are traded asserts in writing that its existence will threaten the continued listing of the Common Stock on such exchange. In the event of a circumstance contemplated by clause (a) of this </w:t>
      </w:r>
      <w:r>
        <w:rPr>
          <w:rFonts w:ascii="Times New Roman" w:cs="Times New Roman" w:eastAsia="Times New Roman" w:hAnsi="Times New Roman"/>
          <w:sz w:val="16"/>
          <w:szCs w:val="16"/>
          <w:u w:val="single" w:color="auto"/>
          <w:color w:val="auto"/>
        </w:rPr>
        <w:t>Section 4.1</w:t>
      </w:r>
      <w:r>
        <w:rPr>
          <w:rFonts w:ascii="Times New Roman" w:cs="Times New Roman" w:eastAsia="Times New Roman" w:hAnsi="Times New Roman"/>
          <w:sz w:val="16"/>
          <w:szCs w:val="16"/>
          <w:color w:val="auto"/>
        </w:rPr>
        <w:t>, this Agreement shall remain in full force and effect with respect to the remaining parties hereto, and for purposes of this Agreement, the party ceasing to own any shares of Common Stock shall have no further rights or benefits hereunder.</w:t>
      </w:r>
    </w:p>
    <w:p>
      <w:pPr>
        <w:spacing w:after="0" w:line="165" w:lineRule="exact"/>
        <w:rPr>
          <w:sz w:val="20"/>
          <w:szCs w:val="20"/>
          <w:color w:val="auto"/>
        </w:rPr>
      </w:pPr>
    </w:p>
    <w:p>
      <w:pPr>
        <w:jc w:val="both"/>
        <w:ind w:left="4" w:right="20" w:firstLine="574"/>
        <w:spacing w:after="0" w:line="257" w:lineRule="auto"/>
        <w:rPr>
          <w:sz w:val="20"/>
          <w:szCs w:val="20"/>
          <w:color w:val="auto"/>
        </w:rPr>
      </w:pPr>
      <w:r>
        <w:rPr>
          <w:rFonts w:ascii="Times New Roman" w:cs="Times New Roman" w:eastAsia="Times New Roman" w:hAnsi="Times New Roman"/>
          <w:sz w:val="16"/>
          <w:szCs w:val="16"/>
          <w:color w:val="auto"/>
        </w:rPr>
        <w:t xml:space="preserve">Section 4.2 </w:t>
      </w:r>
      <w:r>
        <w:rPr>
          <w:rFonts w:ascii="Times New Roman" w:cs="Times New Roman" w:eastAsia="Times New Roman" w:hAnsi="Times New Roman"/>
          <w:sz w:val="16"/>
          <w:szCs w:val="16"/>
          <w:u w:val="single" w:color="auto"/>
          <w:color w:val="auto"/>
        </w:rPr>
        <w:t>Successors and Assigns; Beneficiaries</w:t>
      </w:r>
      <w:r>
        <w:rPr>
          <w:rFonts w:ascii="Times New Roman" w:cs="Times New Roman" w:eastAsia="Times New Roman" w:hAnsi="Times New Roman"/>
          <w:sz w:val="16"/>
          <w:szCs w:val="16"/>
          <w:color w:val="auto"/>
        </w:rPr>
        <w:t xml:space="preserve">. Except as otherwise provided herein, all of the terms and provisions of this Agreement shall be binding upon, shall inure to the benefit of and shall be enforceable by the respective successors and permitted assigns of the parties hereto. This Agreement may not be assigned without the express prior written consent of the other parties hereto, and any attempted assignment, without such consents, will be null and void;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each Principal Stockholder (from time to time party hereto) shall be entitled to assign (solely in connection with a transfer of Common Stock) to any of its Affiliates, without such prior written consent, any of its rights and obligations hereunder;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that any such Affiliate agrees be bound by the obligations hereunder.</w:t>
      </w:r>
    </w:p>
    <w:p>
      <w:pPr>
        <w:spacing w:after="0" w:line="35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4" w:right="319" w:bottom="1440" w:gutter="0" w:footer="0" w:header="0"/>
        </w:sectPr>
      </w:pPr>
    </w:p>
    <w:bookmarkStart w:id="244" w:name="page245"/>
    <w:bookmarkEnd w:id="244"/>
    <w:p>
      <w:pPr>
        <w:ind w:left="560"/>
        <w:spacing w:after="0"/>
        <w:rPr>
          <w:sz w:val="20"/>
          <w:szCs w:val="20"/>
          <w:color w:val="auto"/>
        </w:rPr>
      </w:pPr>
      <w:r>
        <w:rPr>
          <w:rFonts w:ascii="Times New Roman" w:cs="Times New Roman" w:eastAsia="Times New Roman" w:hAnsi="Times New Roman"/>
          <w:sz w:val="16"/>
          <w:szCs w:val="16"/>
          <w:color w:val="auto"/>
        </w:rPr>
        <w:t xml:space="preserve">Section 4.3 </w:t>
      </w:r>
      <w:r>
        <w:rPr>
          <w:rFonts w:ascii="Times New Roman" w:cs="Times New Roman" w:eastAsia="Times New Roman" w:hAnsi="Times New Roman"/>
          <w:sz w:val="16"/>
          <w:szCs w:val="16"/>
          <w:u w:val="single" w:color="auto"/>
          <w:color w:val="auto"/>
        </w:rPr>
        <w:t>Amendment and Modification; Waiver of Compliance</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1400" w:hanging="257"/>
        <w:spacing w:after="0"/>
        <w:tabs>
          <w:tab w:leader="none" w:pos="1400"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may be amended only by a written instrument duly executed by the Company and the Principal Stockholders.</w:t>
      </w:r>
    </w:p>
    <w:p>
      <w:pPr>
        <w:spacing w:after="0" w:line="198" w:lineRule="exact"/>
        <w:rPr>
          <w:rFonts w:ascii="Times New Roman" w:cs="Times New Roman" w:eastAsia="Times New Roman" w:hAnsi="Times New Roman"/>
          <w:sz w:val="16"/>
          <w:szCs w:val="16"/>
          <w:color w:val="auto"/>
        </w:rPr>
      </w:pPr>
    </w:p>
    <w:p>
      <w:pPr>
        <w:jc w:val="both"/>
        <w:ind w:firstLine="1143"/>
        <w:spacing w:after="0" w:line="265" w:lineRule="auto"/>
        <w:tabs>
          <w:tab w:leader="none" w:pos="1412"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provided in this Agreement, any failure of any of the parties to comply with any obligation, covenant, agreement or condition herein may be waived by the party entitled to the benefits thereof only by a written instrument signed by the party granting such waiver, but such waiver or failure to insist upon strict compliance with such obligation, covenant, agreement or condition shall not operate as a waiver of, or estoppel with respect to, any subsequent or other failure.</w:t>
      </w:r>
    </w:p>
    <w:p>
      <w:pPr>
        <w:spacing w:after="0" w:line="155"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 xml:space="preserve">Section 4.4 </w:t>
      </w: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Any notice, request, claim, demand, document and other communication hereunder to any party shall be effective upon receipt (or refusal of receipt) and shall be in writing and delivered personally or sent by electronic mail, facsimile, or first class mail, or by Federal Express, United Parcel Service or other similar courier or other similar means of communication, as follows:</w:t>
      </w:r>
    </w:p>
    <w:p>
      <w:pPr>
        <w:spacing w:after="0" w:line="155" w:lineRule="exact"/>
        <w:rPr>
          <w:sz w:val="20"/>
          <w:szCs w:val="20"/>
          <w:color w:val="auto"/>
        </w:rPr>
      </w:pPr>
    </w:p>
    <w:p>
      <w:pPr>
        <w:ind w:left="1400" w:hanging="257"/>
        <w:spacing w:after="0"/>
        <w:tabs>
          <w:tab w:leader="none" w:pos="1400" w:val="left"/>
        </w:tabs>
        <w:numPr>
          <w:ilvl w:val="0"/>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to the Company, addressed to [●];</w:t>
      </w:r>
    </w:p>
    <w:p>
      <w:pPr>
        <w:spacing w:after="0" w:line="198" w:lineRule="exact"/>
        <w:rPr>
          <w:rFonts w:ascii="Times New Roman" w:cs="Times New Roman" w:eastAsia="Times New Roman" w:hAnsi="Times New Roman"/>
          <w:sz w:val="16"/>
          <w:szCs w:val="16"/>
          <w:color w:val="auto"/>
        </w:rPr>
      </w:pPr>
    </w:p>
    <w:p>
      <w:pPr>
        <w:ind w:left="1400" w:hanging="257"/>
        <w:spacing w:after="0"/>
        <w:tabs>
          <w:tab w:leader="none" w:pos="1400" w:val="left"/>
        </w:tabs>
        <w:numPr>
          <w:ilvl w:val="0"/>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to the REMUS Stockholders, addressed to [●];</w:t>
      </w:r>
    </w:p>
    <w:p>
      <w:pPr>
        <w:spacing w:after="0" w:line="198" w:lineRule="exact"/>
        <w:rPr>
          <w:rFonts w:ascii="Times New Roman" w:cs="Times New Roman" w:eastAsia="Times New Roman" w:hAnsi="Times New Roman"/>
          <w:sz w:val="16"/>
          <w:szCs w:val="16"/>
          <w:color w:val="auto"/>
        </w:rPr>
      </w:pPr>
    </w:p>
    <w:p>
      <w:pPr>
        <w:ind w:left="1400" w:hanging="257"/>
        <w:spacing w:after="0"/>
        <w:tabs>
          <w:tab w:leader="none" w:pos="1400" w:val="left"/>
        </w:tabs>
        <w:numPr>
          <w:ilvl w:val="0"/>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to I2BF, addressed to [●];</w:t>
      </w:r>
    </w:p>
    <w:p>
      <w:pPr>
        <w:spacing w:after="0" w:line="198" w:lineRule="exact"/>
        <w:rPr>
          <w:rFonts w:ascii="Times New Roman" w:cs="Times New Roman" w:eastAsia="Times New Roman" w:hAnsi="Times New Roman"/>
          <w:sz w:val="16"/>
          <w:szCs w:val="16"/>
          <w:color w:val="auto"/>
        </w:rPr>
      </w:pPr>
    </w:p>
    <w:p>
      <w:pPr>
        <w:ind w:left="1400" w:hanging="257"/>
        <w:spacing w:after="0"/>
        <w:tabs>
          <w:tab w:leader="none" w:pos="1400" w:val="left"/>
        </w:tabs>
        <w:numPr>
          <w:ilvl w:val="0"/>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to CA, addressed to [●]; and</w:t>
      </w:r>
    </w:p>
    <w:p>
      <w:pPr>
        <w:spacing w:after="0" w:line="198" w:lineRule="exact"/>
        <w:rPr>
          <w:rFonts w:ascii="Times New Roman" w:cs="Times New Roman" w:eastAsia="Times New Roman" w:hAnsi="Times New Roman"/>
          <w:sz w:val="16"/>
          <w:szCs w:val="16"/>
          <w:color w:val="auto"/>
        </w:rPr>
      </w:pPr>
    </w:p>
    <w:p>
      <w:pPr>
        <w:ind w:left="1400" w:hanging="257"/>
        <w:spacing w:after="0"/>
        <w:tabs>
          <w:tab w:leader="none" w:pos="1400" w:val="left"/>
        </w:tabs>
        <w:numPr>
          <w:ilvl w:val="0"/>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to the Chief Executive Officer, addressed to [●];</w:t>
      </w:r>
    </w:p>
    <w:p>
      <w:pPr>
        <w:spacing w:after="0" w:line="198"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or, in each case, to such other address or electronic mail address as such party may designate in writing to each Principal Stockholder by written notice given in the manner specified herein.</w:t>
      </w:r>
    </w:p>
    <w:p>
      <w:pPr>
        <w:spacing w:after="0" w:line="144"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All such communications shall be deemed to have been given, delivered or made when so delivered by hand or sent by electronic mail or facsimile (with confirmed receipt or transmission), on the next business day if sent by overnight courier service (with confirmed delivery) or when received if sent by first class mail.</w:t>
      </w:r>
    </w:p>
    <w:p>
      <w:pPr>
        <w:spacing w:after="0" w:line="144" w:lineRule="exact"/>
        <w:rPr>
          <w:sz w:val="20"/>
          <w:szCs w:val="20"/>
          <w:color w:val="auto"/>
        </w:rPr>
      </w:pPr>
    </w:p>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 xml:space="preserve">Section 4.5 </w:t>
      </w:r>
      <w:r>
        <w:rPr>
          <w:rFonts w:ascii="Times New Roman" w:cs="Times New Roman" w:eastAsia="Times New Roman" w:hAnsi="Times New Roman"/>
          <w:sz w:val="16"/>
          <w:szCs w:val="16"/>
          <w:u w:val="single" w:color="auto"/>
          <w:color w:val="auto"/>
        </w:rPr>
        <w:t>Specific Performance</w:t>
      </w:r>
      <w:r>
        <w:rPr>
          <w:rFonts w:ascii="Times New Roman" w:cs="Times New Roman" w:eastAsia="Times New Roman" w:hAnsi="Times New Roman"/>
          <w:sz w:val="16"/>
          <w:szCs w:val="16"/>
          <w:color w:val="auto"/>
        </w:rPr>
        <w:t>. Each party hereto acknowledges and agrees that in the event of any breach of this Agreement by any of them, the other parties hereto would be irreparably harmed and could not be made whole by monetary damages. Each party accordingly agrees to waive the defense in any action for specific performance that a remedy at law would be adequate and agrees that the parties, in addition to any other remedy to which they may be entitled at law or in equity, shall be entitled to specific performance of this Agreement without the posting of bond.</w:t>
      </w:r>
    </w:p>
    <w:p>
      <w:pPr>
        <w:spacing w:after="0" w:line="162"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 xml:space="preserve">Section 4.6 </w:t>
      </w: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The provisions of this Agreement and the other writings referred to herein or delivered pursuant hereto which form a part hereof contain the entire agreement among the parties hereto with respect to the subject matter hereof and supersede all prior oral and written agreements and memoranda and undertakings among the parties hereto with regard to such subject matter.</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45" w:name="page246"/>
    <w:bookmarkEnd w:id="245"/>
    <w:p>
      <w:pPr>
        <w:jc w:val="both"/>
        <w:ind w:firstLine="574"/>
        <w:spacing w:after="0" w:line="254" w:lineRule="auto"/>
        <w:rPr>
          <w:sz w:val="20"/>
          <w:szCs w:val="20"/>
          <w:color w:val="auto"/>
        </w:rPr>
      </w:pPr>
      <w:r>
        <w:rPr>
          <w:rFonts w:ascii="Times New Roman" w:cs="Times New Roman" w:eastAsia="Times New Roman" w:hAnsi="Times New Roman"/>
          <w:sz w:val="16"/>
          <w:szCs w:val="16"/>
          <w:color w:val="auto"/>
        </w:rPr>
        <w:t xml:space="preserve">Section 4.7 </w:t>
      </w: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xml:space="preserve">. If any provision of this Agreement, or the application of such provision to any Person or circumstance or in any jurisdiction, shall be held to be invalid or unenforceable to any extent, (i) the remainder of this Agreement shall not be affected thereby, and each other provision hereof shall be valid and enforceable to the fullest extent permitted by law, (ii) as to such Person or circumstance or in such jurisdiction such provision shall be reformed to be valid and enforceable to the fullest extent permitted by law and (iii) the application of such provision to other Persons or circumstances or in other jurisdictions shall not be affected thereby. If this Agreement would be required to be terminated pursuant to clause (c) of </w:t>
      </w:r>
      <w:r>
        <w:rPr>
          <w:rFonts w:ascii="Times New Roman" w:cs="Times New Roman" w:eastAsia="Times New Roman" w:hAnsi="Times New Roman"/>
          <w:sz w:val="16"/>
          <w:szCs w:val="16"/>
          <w:u w:val="single" w:color="auto"/>
          <w:color w:val="auto"/>
        </w:rPr>
        <w:t>Section 4.1</w:t>
      </w:r>
      <w:r>
        <w:rPr>
          <w:rFonts w:ascii="Times New Roman" w:cs="Times New Roman" w:eastAsia="Times New Roman" w:hAnsi="Times New Roman"/>
          <w:sz w:val="16"/>
          <w:szCs w:val="16"/>
          <w:color w:val="auto"/>
        </w:rPr>
        <w:t xml:space="preserve"> of this Agreement, the parties to this Agreement shall use their respective reasonable best efforts to cause the provisions of this Agreement to be reformed, prior to any such termination, to the fullest extent possible to both effectuate the intent of the parties to this Agreement (as of the date of this Agreement) and not cause the termination of this Agreement pursuant to </w:t>
      </w:r>
      <w:r>
        <w:rPr>
          <w:rFonts w:ascii="Times New Roman" w:cs="Times New Roman" w:eastAsia="Times New Roman" w:hAnsi="Times New Roman"/>
          <w:sz w:val="16"/>
          <w:szCs w:val="16"/>
          <w:u w:val="single" w:color="auto"/>
          <w:color w:val="auto"/>
        </w:rPr>
        <w:t>Section 4.1</w:t>
      </w:r>
      <w:r>
        <w:rPr>
          <w:rFonts w:ascii="Times New Roman" w:cs="Times New Roman" w:eastAsia="Times New Roman" w:hAnsi="Times New Roman"/>
          <w:sz w:val="16"/>
          <w:szCs w:val="16"/>
          <w:color w:val="auto"/>
        </w:rPr>
        <w:t xml:space="preserve"> of this Agreement.</w:t>
      </w:r>
    </w:p>
    <w:p>
      <w:pPr>
        <w:spacing w:after="0" w:line="167" w:lineRule="exact"/>
        <w:rPr>
          <w:sz w:val="20"/>
          <w:szCs w:val="20"/>
          <w:color w:val="auto"/>
        </w:rPr>
      </w:pPr>
    </w:p>
    <w:p>
      <w:pPr>
        <w:jc w:val="both"/>
        <w:ind w:firstLine="574"/>
        <w:spacing w:after="0" w:line="251" w:lineRule="auto"/>
        <w:rPr>
          <w:sz w:val="20"/>
          <w:szCs w:val="20"/>
          <w:color w:val="auto"/>
        </w:rPr>
      </w:pPr>
      <w:r>
        <w:rPr>
          <w:rFonts w:ascii="Times New Roman" w:cs="Times New Roman" w:eastAsia="Times New Roman" w:hAnsi="Times New Roman"/>
          <w:sz w:val="16"/>
          <w:szCs w:val="16"/>
          <w:color w:val="auto"/>
        </w:rPr>
        <w:t xml:space="preserve">Section 4.8 </w:t>
      </w:r>
      <w:r>
        <w:rPr>
          <w:rFonts w:ascii="Times New Roman" w:cs="Times New Roman" w:eastAsia="Times New Roman" w:hAnsi="Times New Roman"/>
          <w:sz w:val="16"/>
          <w:szCs w:val="16"/>
          <w:u w:val="single" w:color="auto"/>
          <w:color w:val="auto"/>
        </w:rPr>
        <w:t>CHOICE OF LAW AND VENUE; WAIVER OF RIGHT TO JURY TRIAL</w:t>
      </w:r>
      <w:r>
        <w:rPr>
          <w:rFonts w:ascii="Times New Roman" w:cs="Times New Roman" w:eastAsia="Times New Roman" w:hAnsi="Times New Roman"/>
          <w:sz w:val="16"/>
          <w:szCs w:val="16"/>
          <w:color w:val="auto"/>
        </w:rPr>
        <w:t>. THIS AGREEMENT SHALL BE GOVERNED BY, CONSTRUED, APPLIED AND ENFORCED IN ACCORDANCE WITH THE INTERNAL LAWS OF THE STATE OF DELAWARE. IN THE EVENT ANY PARTY TO THIS AGREEMENT COMMENCES ANY LITIGATION, PROCEEDING OR OTHER LEGAL ACTION IN CONNECTION WITH OR RELATING TO THIS AGREEMENT, ANY RELATED AGREEMENT OR ANY MATTERS DESCRIBED OR CONTEMPLATED HEREIN OR THEREIN, THE PARTIES TO THIS AGREEMENT HEREBY (1) AGREE UNDER ALL CIRCUMSTANCES ABSOLUTELY AND IRREVOCABLY TO INSTITUTE ANY LITIGATION, PROCEEDING OR OTHER LEGAL ACTION IN A COURT OF COMPETENT JURISDICTION LOCATED WITHIN THE STATE OF DELAWARE, WHETHER A STATE OR FEDERAL COURT; (2) AGREE THAT IN THE EVENT OF ANY SUCH LITIGATION, PROCEEDING OR ACTION, SUCH PARTIES WILL CONSENT AND SUBMIT TO THE PERSONAL JURISDICTION OF ANY SUCH COURT DESCRIBED IN CLAUSE (1) OF THIS SECTION AND TO SERVICE OF PROCESS UPON THEM IN ACCORDANCE WITH THE RULES AND STATUTES GOVERNING SERVICE OF PROCESS (IT BEING UNDERSTOOD THAT NOTHING IN THIS SECTION SHALL BE DEEMED TO PREVENT ANY PARTY FROM SEEKING TO REMOVE ANY ACTION TO A FEDERAL COURT IN THE STATE OF DELAWARE); (3) AGREE TO WAIVE TO THE FULL EXTENT PERMITTED BY LAW ANY OBJECTION THAT THEY MAY NOW OR HEREAFTER HAVE TO THE VENUE OF ANY SUCH LITIGATION, PROCEEDING OR ACTION IN ANY SUCH COURT OR THAT ANY SUCH LITIGATION, PROCEEDING OR ACTION WAS BROUGHT IN ANY INCONVENIENT FORUM; (4) AGREE, AFTER CONSULTATION WITH COUNSEL, TO WAIVE ANY RIGHTS TO A JURY TRIAL TO RESOLVE ANY DISPUTES OR CLAIMS RELATING TO THIS AGREEMENT; (5) AGREE TO SERVICE OF PROCESS IN ANY LEGAL PROCEEDING BY MAILING OF COPIES THEREOF TO SUCH PARTY AT ITS ADDRESS SET FORTH HEREIN FOR COMMUNICATIONS TO SUCH PARTY; (6) AGREE THAT ANY SERVICE MADE AS PROVIDED HEREIN SHALL BE EFFECTIVE AND BINDING SERVICE IN EVERY RESPECT; AND (7) AGREE THAT NOTHING HEREIN SHALL AFFECT THE RIGHTS OF ANY PARTY TO EFFECT SERVICE OF PROCESS IN ANY OTHER MANNER PERMITTED BY LAW.</w:t>
      </w:r>
    </w:p>
    <w:p>
      <w:pPr>
        <w:spacing w:after="0" w:line="170"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Section 4.9 </w:t>
      </w: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This Agreement may be executed in two or more counterparts, each of which shall be deemed an original, but all of which together shall constitute one and the same instrument.</w:t>
      </w:r>
    </w:p>
    <w:p>
      <w:pPr>
        <w:spacing w:after="0" w:line="144"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 xml:space="preserve">Section 4.10 </w:t>
      </w:r>
      <w:r>
        <w:rPr>
          <w:rFonts w:ascii="Times New Roman" w:cs="Times New Roman" w:eastAsia="Times New Roman" w:hAnsi="Times New Roman"/>
          <w:sz w:val="16"/>
          <w:szCs w:val="16"/>
          <w:u w:val="single" w:color="auto"/>
          <w:color w:val="auto"/>
        </w:rPr>
        <w:t>Further Assurances</w:t>
      </w:r>
      <w:r>
        <w:rPr>
          <w:rFonts w:ascii="Times New Roman" w:cs="Times New Roman" w:eastAsia="Times New Roman" w:hAnsi="Times New Roman"/>
          <w:sz w:val="16"/>
          <w:szCs w:val="16"/>
          <w:color w:val="auto"/>
        </w:rPr>
        <w:t>. At any time or from time to time after the date hereof, the parties hereto agree to cooperate with each other, and at the request of any other party, to execute and deliver any further instruments or documents and to take all such further action as any other party may reasonably request in order to evidence or effectuate the provisions of this Agreement and to otherwise carry out the intent of the parties hereunder.</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6"/>
          <w:szCs w:val="16"/>
          <w:color w:val="auto"/>
        </w:rPr>
        <w:t>IN WITNESS WHEREOF, each of the undersigned has signed this Governance Agreement as of the date first above written.</w:t>
      </w:r>
    </w:p>
    <w:p>
      <w:pPr>
        <w:spacing w:after="0" w:line="19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5"/>
          <w:szCs w:val="15"/>
          <w:b w:val="1"/>
          <w:bCs w:val="1"/>
          <w:color w:val="auto"/>
        </w:rPr>
        <w:t>PRESTO AUTOMATION INC.</w:t>
      </w:r>
    </w:p>
    <w:p>
      <w:pPr>
        <w:spacing w:after="0" w:line="21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By:</w:t>
      </w:r>
    </w:p>
    <w:p>
      <w:pPr>
        <w:spacing w:after="0" w:line="3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-113030</wp:posOffset>
            </wp:positionV>
            <wp:extent cx="2496820" cy="1524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Title:</w:t>
      </w:r>
    </w:p>
    <w:p>
      <w:pPr>
        <w:spacing w:after="0" w:line="38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15240</wp:posOffset>
            </wp:positionV>
            <wp:extent cx="7148195" cy="1524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579"/>
          </w:cols>
          <w:pgMar w:left="880" w:top="816" w:right="1440" w:bottom="1440" w:gutter="0" w:footer="0" w:header="0"/>
        </w:sectPr>
      </w:pPr>
    </w:p>
    <w:bookmarkStart w:id="247" w:name="page248"/>
    <w:bookmarkEnd w:id="247"/>
    <w:p>
      <w:pPr>
        <w:ind w:left="5640"/>
        <w:spacing w:after="0"/>
        <w:rPr>
          <w:sz w:val="20"/>
          <w:szCs w:val="20"/>
          <w:color w:val="auto"/>
        </w:rPr>
      </w:pPr>
      <w:r>
        <w:rPr>
          <w:rFonts w:ascii="Times New Roman" w:cs="Times New Roman" w:eastAsia="Times New Roman" w:hAnsi="Times New Roman"/>
          <w:sz w:val="16"/>
          <w:szCs w:val="16"/>
          <w:b w:val="1"/>
          <w:bCs w:val="1"/>
          <w:color w:val="auto"/>
        </w:rPr>
        <w:t>REMUS STOCKHOLDERS:</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b w:val="1"/>
          <w:bCs w:val="1"/>
          <w:color w:val="auto"/>
        </w:rPr>
        <w:t>ROMULUS CAPITAL I, L.P.</w:t>
      </w:r>
    </w:p>
    <w:p>
      <w:pPr>
        <w:spacing w:after="0" w:line="198"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6"/>
          <w:szCs w:val="16"/>
          <w:b w:val="1"/>
          <w:bCs w:val="1"/>
          <w:color w:val="auto"/>
        </w:rPr>
        <w:t>By:</w:t>
      </w:r>
      <w:r>
        <w:rPr>
          <w:sz w:val="20"/>
          <w:szCs w:val="20"/>
          <w:color w:val="auto"/>
        </w:rPr>
        <w:tab/>
      </w:r>
      <w:r>
        <w:rPr>
          <w:rFonts w:ascii="Times New Roman" w:cs="Times New Roman" w:eastAsia="Times New Roman" w:hAnsi="Times New Roman"/>
          <w:sz w:val="16"/>
          <w:szCs w:val="16"/>
          <w:b w:val="1"/>
          <w:bCs w:val="1"/>
          <w:color w:val="auto"/>
        </w:rPr>
        <w:t>Romulus Capital Partners I, LLC, its General Partner</w:t>
      </w:r>
    </w:p>
    <w:p>
      <w:pPr>
        <w:spacing w:after="0" w:line="20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22860</wp:posOffset>
            </wp:positionV>
            <wp:extent cx="2496820" cy="1524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Name:</w:t>
      </w:r>
    </w:p>
    <w:p>
      <w:pPr>
        <w:spacing w:after="0" w:line="2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Title:</w:t>
      </w:r>
    </w:p>
    <w:p>
      <w:pPr>
        <w:spacing w:after="0" w:line="18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b w:val="1"/>
          <w:bCs w:val="1"/>
          <w:color w:val="auto"/>
        </w:rPr>
        <w:t>ROMULUS CAPITAL II, L.P.</w:t>
      </w:r>
    </w:p>
    <w:p>
      <w:pPr>
        <w:spacing w:after="0" w:line="198"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5"/>
          <w:szCs w:val="15"/>
          <w:b w:val="1"/>
          <w:bCs w:val="1"/>
          <w:color w:val="auto"/>
        </w:rPr>
        <w:t>By:</w:t>
      </w:r>
      <w:r>
        <w:rPr>
          <w:sz w:val="20"/>
          <w:szCs w:val="20"/>
          <w:color w:val="auto"/>
        </w:rPr>
        <w:tab/>
      </w:r>
      <w:r>
        <w:rPr>
          <w:rFonts w:ascii="Times New Roman" w:cs="Times New Roman" w:eastAsia="Times New Roman" w:hAnsi="Times New Roman"/>
          <w:sz w:val="15"/>
          <w:szCs w:val="15"/>
          <w:b w:val="1"/>
          <w:bCs w:val="1"/>
          <w:color w:val="auto"/>
        </w:rPr>
        <w:t>Romulus Capital Partners II, LLC, its General Partner</w:t>
      </w:r>
    </w:p>
    <w:p>
      <w:pPr>
        <w:spacing w:after="0" w:line="21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22860</wp:posOffset>
            </wp:positionV>
            <wp:extent cx="2496820" cy="152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Name:</w:t>
      </w:r>
    </w:p>
    <w:p>
      <w:pPr>
        <w:spacing w:after="0" w:line="2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Title:</w:t>
      </w:r>
    </w:p>
    <w:p>
      <w:pPr>
        <w:spacing w:after="0" w:line="18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b w:val="1"/>
          <w:bCs w:val="1"/>
          <w:color w:val="auto"/>
        </w:rPr>
        <w:t>ROMULUS CAPITAL III, L.P.</w:t>
      </w:r>
    </w:p>
    <w:p>
      <w:pPr>
        <w:spacing w:after="0" w:line="198"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5"/>
          <w:szCs w:val="15"/>
          <w:b w:val="1"/>
          <w:bCs w:val="1"/>
          <w:color w:val="auto"/>
        </w:rPr>
        <w:t>By:</w:t>
      </w:r>
      <w:r>
        <w:rPr>
          <w:sz w:val="20"/>
          <w:szCs w:val="20"/>
          <w:color w:val="auto"/>
        </w:rPr>
        <w:tab/>
      </w:r>
      <w:r>
        <w:rPr>
          <w:rFonts w:ascii="Times New Roman" w:cs="Times New Roman" w:eastAsia="Times New Roman" w:hAnsi="Times New Roman"/>
          <w:sz w:val="15"/>
          <w:szCs w:val="15"/>
          <w:b w:val="1"/>
          <w:bCs w:val="1"/>
          <w:color w:val="auto"/>
        </w:rPr>
        <w:t>Romulus Capital Partners II, LLC, its General Partner</w:t>
      </w:r>
    </w:p>
    <w:p>
      <w:pPr>
        <w:spacing w:after="0" w:line="21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22860</wp:posOffset>
            </wp:positionV>
            <wp:extent cx="2496820" cy="152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Name:</w:t>
      </w:r>
    </w:p>
    <w:p>
      <w:pPr>
        <w:spacing w:after="0" w:line="2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Title:</w:t>
      </w:r>
    </w:p>
    <w:p>
      <w:pPr>
        <w:spacing w:after="0" w:line="18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b w:val="1"/>
          <w:bCs w:val="1"/>
          <w:color w:val="auto"/>
        </w:rPr>
        <w:t>ROMULUS ELC B3 SPECIAL OPPORTUNITY, L.P.</w:t>
      </w:r>
    </w:p>
    <w:p>
      <w:pPr>
        <w:spacing w:after="0" w:line="20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22860</wp:posOffset>
            </wp:positionV>
            <wp:extent cx="2496820" cy="152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Name:</w:t>
      </w:r>
    </w:p>
    <w:p>
      <w:pPr>
        <w:spacing w:after="0" w:line="2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Title:</w:t>
      </w:r>
    </w:p>
    <w:p>
      <w:pPr>
        <w:spacing w:after="0" w:line="18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b w:val="1"/>
          <w:bCs w:val="1"/>
          <w:color w:val="auto"/>
        </w:rPr>
        <w:t>ZAFFRAN SPECIAL OPPORTUNITIES LLC</w:t>
      </w:r>
    </w:p>
    <w:p>
      <w:pPr>
        <w:spacing w:after="0" w:line="20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22860</wp:posOffset>
            </wp:positionV>
            <wp:extent cx="2496820" cy="1524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Name:</w:t>
      </w:r>
    </w:p>
    <w:p>
      <w:pPr>
        <w:spacing w:after="0" w:line="2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Title:</w:t>
      </w:r>
    </w:p>
    <w:p>
      <w:pPr>
        <w:spacing w:after="0" w:line="37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15240</wp:posOffset>
            </wp:positionV>
            <wp:extent cx="7148195" cy="1524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960"/>
          </w:cols>
          <w:pgMar w:left="1440" w:top="814" w:right="499" w:bottom="1440" w:gutter="0" w:footer="0" w:header="0"/>
        </w:sectPr>
      </w:pPr>
    </w:p>
    <w:bookmarkStart w:id="248" w:name="page249"/>
    <w:bookmarkEnd w:id="248"/>
    <w:p>
      <w:pPr>
        <w:ind w:left="5640"/>
        <w:spacing w:after="0"/>
        <w:rPr>
          <w:sz w:val="20"/>
          <w:szCs w:val="20"/>
          <w:color w:val="auto"/>
        </w:rPr>
      </w:pPr>
      <w:r>
        <w:rPr>
          <w:rFonts w:ascii="Times New Roman" w:cs="Times New Roman" w:eastAsia="Times New Roman" w:hAnsi="Times New Roman"/>
          <w:sz w:val="15"/>
          <w:szCs w:val="15"/>
          <w:b w:val="1"/>
          <w:bCs w:val="1"/>
          <w:color w:val="auto"/>
        </w:rPr>
        <w:t>I2BF GLOBAL INVESTMENTS LTD.</w:t>
      </w:r>
    </w:p>
    <w:p>
      <w:pPr>
        <w:spacing w:after="0" w:line="21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By:</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-113030</wp:posOffset>
            </wp:positionV>
            <wp:extent cx="2496820" cy="1524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Title:</w:t>
      </w:r>
    </w:p>
    <w:p>
      <w:pPr>
        <w:spacing w:after="0" w:line="19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b w:val="1"/>
          <w:bCs w:val="1"/>
          <w:color w:val="auto"/>
        </w:rPr>
        <w:t>PRESTO CA LLC</w:t>
      </w:r>
    </w:p>
    <w:p>
      <w:pPr>
        <w:spacing w:after="0" w:line="20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By:</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-113030</wp:posOffset>
            </wp:positionV>
            <wp:extent cx="2496820" cy="1524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Title:</w:t>
      </w:r>
    </w:p>
    <w:p>
      <w:pPr>
        <w:spacing w:after="0" w:line="19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b w:val="1"/>
          <w:bCs w:val="1"/>
          <w:color w:val="auto"/>
        </w:rPr>
        <w:t>RAJAT SURI</w:t>
      </w:r>
    </w:p>
    <w:p>
      <w:pPr>
        <w:spacing w:after="0" w:line="20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22860</wp:posOffset>
            </wp:positionV>
            <wp:extent cx="2496820" cy="152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15240</wp:posOffset>
            </wp:positionV>
            <wp:extent cx="7148195" cy="152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019"/>
          </w:cols>
          <w:pgMar w:left="1440" w:top="814" w:right="1440" w:bottom="1440" w:gutter="0" w:footer="0" w:header="0"/>
        </w:sectPr>
      </w:pPr>
    </w:p>
    <w:bookmarkStart w:id="249" w:name="page250"/>
    <w:bookmarkEnd w:id="249"/>
    <w:p>
      <w:pPr>
        <w:jc w:val="right"/>
        <w:spacing w:after="0"/>
        <w:rPr>
          <w:sz w:val="20"/>
          <w:szCs w:val="20"/>
          <w:color w:val="auto"/>
        </w:rPr>
      </w:pPr>
      <w:r>
        <w:rPr>
          <w:rFonts w:ascii="Times New Roman" w:cs="Times New Roman" w:eastAsia="Times New Roman" w:hAnsi="Times New Roman"/>
          <w:sz w:val="16"/>
          <w:szCs w:val="16"/>
          <w:b w:val="1"/>
          <w:bCs w:val="1"/>
          <w:color w:val="auto"/>
        </w:rPr>
        <w:t>Exhibit 10.8</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AMENDED &amp; RESTATED SUPPORT AGREEMENT</w:t>
      </w:r>
    </w:p>
    <w:p>
      <w:pPr>
        <w:spacing w:after="0" w:line="200"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This Amended and Restated Support Agreement (this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dated as of 25 July, 2022, is entered into by and among Ventoux CCM Acquisition Corp., a Delaware corporation (“</w:t>
      </w:r>
      <w:r>
        <w:rPr>
          <w:rFonts w:ascii="Times New Roman" w:cs="Times New Roman" w:eastAsia="Times New Roman" w:hAnsi="Times New Roman"/>
          <w:sz w:val="16"/>
          <w:szCs w:val="16"/>
          <w:u w:val="single" w:color="auto"/>
          <w:color w:val="auto"/>
        </w:rPr>
        <w:t>Acquiror</w:t>
      </w:r>
      <w:r>
        <w:rPr>
          <w:rFonts w:ascii="Times New Roman" w:cs="Times New Roman" w:eastAsia="Times New Roman" w:hAnsi="Times New Roman"/>
          <w:sz w:val="16"/>
          <w:szCs w:val="16"/>
          <w:color w:val="auto"/>
        </w:rPr>
        <w:t>”), E La Carte, Inc., a Delaware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and certain of the stockholders of the Company, whose names appear on the signature pages of this Agreement (such stockholders, the “</w:t>
      </w:r>
      <w:r>
        <w:rPr>
          <w:rFonts w:ascii="Times New Roman" w:cs="Times New Roman" w:eastAsia="Times New Roman" w:hAnsi="Times New Roman"/>
          <w:sz w:val="16"/>
          <w:szCs w:val="16"/>
          <w:u w:val="single" w:color="auto"/>
          <w:color w:val="auto"/>
        </w:rPr>
        <w:t>Stockholders</w:t>
      </w:r>
      <w:r>
        <w:rPr>
          <w:rFonts w:ascii="Times New Roman" w:cs="Times New Roman" w:eastAsia="Times New Roman" w:hAnsi="Times New Roman"/>
          <w:sz w:val="16"/>
          <w:szCs w:val="16"/>
          <w:color w:val="auto"/>
        </w:rPr>
        <w:t>”, and Acquiror, the Company and the Stockholders, each a “</w:t>
      </w:r>
      <w:r>
        <w:rPr>
          <w:rFonts w:ascii="Times New Roman" w:cs="Times New Roman" w:eastAsia="Times New Roman" w:hAnsi="Times New Roman"/>
          <w:sz w:val="16"/>
          <w:szCs w:val="16"/>
          <w:u w:val="single" w:color="auto"/>
          <w:color w:val="auto"/>
        </w:rPr>
        <w:t>Party</w:t>
      </w:r>
      <w:r>
        <w:rPr>
          <w:rFonts w:ascii="Times New Roman" w:cs="Times New Roman" w:eastAsia="Times New Roman" w:hAnsi="Times New Roman"/>
          <w:sz w:val="16"/>
          <w:szCs w:val="16"/>
          <w:color w:val="auto"/>
        </w:rPr>
        <w:t>”, and collectively, the “</w:t>
      </w:r>
      <w:r>
        <w:rPr>
          <w:rFonts w:ascii="Times New Roman" w:cs="Times New Roman" w:eastAsia="Times New Roman" w:hAnsi="Times New Roman"/>
          <w:sz w:val="16"/>
          <w:szCs w:val="16"/>
          <w:u w:val="single" w:color="auto"/>
          <w:color w:val="auto"/>
        </w:rPr>
        <w:t>Parties</w:t>
      </w:r>
      <w:r>
        <w:rPr>
          <w:rFonts w:ascii="Times New Roman" w:cs="Times New Roman" w:eastAsia="Times New Roman" w:hAnsi="Times New Roman"/>
          <w:sz w:val="16"/>
          <w:szCs w:val="16"/>
          <w:color w:val="auto"/>
        </w:rPr>
        <w: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RECITALS</w:t>
      </w:r>
    </w:p>
    <w:p>
      <w:pPr>
        <w:spacing w:after="0" w:line="198"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Acquiror, the Company, Ventoux Merger Sub I Inc., a Delaware corporation and wholly-owned subsidiary of Acquiror (“</w:t>
      </w:r>
      <w:r>
        <w:rPr>
          <w:rFonts w:ascii="Times New Roman" w:cs="Times New Roman" w:eastAsia="Times New Roman" w:hAnsi="Times New Roman"/>
          <w:sz w:val="16"/>
          <w:szCs w:val="16"/>
          <w:u w:val="single" w:color="auto"/>
          <w:color w:val="auto"/>
        </w:rPr>
        <w:t>First Merger Sub</w:t>
      </w:r>
      <w:r>
        <w:rPr>
          <w:rFonts w:ascii="Times New Roman" w:cs="Times New Roman" w:eastAsia="Times New Roman" w:hAnsi="Times New Roman"/>
          <w:sz w:val="16"/>
          <w:szCs w:val="16"/>
          <w:color w:val="auto"/>
        </w:rPr>
        <w:t>”) and Ventoux</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Merger Sub II LLC, a Delaware limited liability company and wholly owned subsidiary of Acquiror (“</w:t>
      </w:r>
      <w:r>
        <w:rPr>
          <w:rFonts w:ascii="Times New Roman" w:cs="Times New Roman" w:eastAsia="Times New Roman" w:hAnsi="Times New Roman"/>
          <w:sz w:val="16"/>
          <w:szCs w:val="16"/>
          <w:u w:val="single" w:color="auto"/>
          <w:color w:val="auto"/>
        </w:rPr>
        <w:t>Second Merger Sub</w:t>
      </w:r>
      <w:r>
        <w:rPr>
          <w:rFonts w:ascii="Times New Roman" w:cs="Times New Roman" w:eastAsia="Times New Roman" w:hAnsi="Times New Roman"/>
          <w:sz w:val="16"/>
          <w:szCs w:val="16"/>
          <w:color w:val="auto"/>
        </w:rPr>
        <w:t>”), have entered into that certain Agreement and Plan of Merger, dated November 10, 2021 (as amended, supplemented, restated or otherwise modified from time to time, the “</w:t>
      </w:r>
      <w:r>
        <w:rPr>
          <w:rFonts w:ascii="Times New Roman" w:cs="Times New Roman" w:eastAsia="Times New Roman" w:hAnsi="Times New Roman"/>
          <w:sz w:val="16"/>
          <w:szCs w:val="16"/>
          <w:u w:val="single" w:color="auto"/>
          <w:color w:val="auto"/>
        </w:rPr>
        <w:t>Merger Agreement</w:t>
      </w:r>
      <w:r>
        <w:rPr>
          <w:rFonts w:ascii="Times New Roman" w:cs="Times New Roman" w:eastAsia="Times New Roman" w:hAnsi="Times New Roman"/>
          <w:sz w:val="16"/>
          <w:szCs w:val="16"/>
          <w:color w:val="auto"/>
        </w:rPr>
        <w:t>”; capitalized terms used but not otherwise defined in this Agreement shall have the meanings ascribed to them in the Merger Agreement), pursuant to which (and subject to the terms and conditions set forth therein) First Merger Sub will merge with and into the Company (the “</w:t>
      </w:r>
      <w:r>
        <w:rPr>
          <w:rFonts w:ascii="Times New Roman" w:cs="Times New Roman" w:eastAsia="Times New Roman" w:hAnsi="Times New Roman"/>
          <w:sz w:val="16"/>
          <w:szCs w:val="16"/>
          <w:u w:val="single" w:color="auto"/>
          <w:color w:val="auto"/>
        </w:rPr>
        <w:t>First Merger</w:t>
      </w:r>
      <w:r>
        <w:rPr>
          <w:rFonts w:ascii="Times New Roman" w:cs="Times New Roman" w:eastAsia="Times New Roman" w:hAnsi="Times New Roman"/>
          <w:sz w:val="16"/>
          <w:szCs w:val="16"/>
          <w:color w:val="auto"/>
        </w:rPr>
        <w:t>”), and immediately following the First Merger, the Company will merge with and into Second Merger Sub, with Second Merger Sub continuing on as the surviving corporation and a wholly owned subsidiary of Acquiror (together with the First Merger, the “</w:t>
      </w:r>
      <w:r>
        <w:rPr>
          <w:rFonts w:ascii="Times New Roman" w:cs="Times New Roman" w:eastAsia="Times New Roman" w:hAnsi="Times New Roman"/>
          <w:sz w:val="16"/>
          <w:szCs w:val="16"/>
          <w:u w:val="single" w:color="auto"/>
          <w:color w:val="auto"/>
        </w:rPr>
        <w:t>Mergers</w:t>
      </w:r>
      <w:r>
        <w:rPr>
          <w:rFonts w:ascii="Times New Roman" w:cs="Times New Roman" w:eastAsia="Times New Roman" w:hAnsi="Times New Roman"/>
          <w:sz w:val="16"/>
          <w:szCs w:val="16"/>
          <w:color w:val="auto"/>
        </w:rPr>
        <w:t>”);</w:t>
      </w:r>
    </w:p>
    <w:p>
      <w:pPr>
        <w:spacing w:after="0" w:line="161" w:lineRule="exact"/>
        <w:rPr>
          <w:sz w:val="20"/>
          <w:szCs w:val="20"/>
          <w:color w:val="auto"/>
        </w:rPr>
      </w:pPr>
    </w:p>
    <w:p>
      <w:pPr>
        <w:jc w:val="both"/>
        <w:ind w:right="20" w:firstLine="574"/>
        <w:spacing w:after="0" w:line="283"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concurrently herewith, Acquiror, the Company, First Merger Sub and Second Merger Sub have entered into that certain second amendment to the Merger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 (“</w:t>
      </w:r>
      <w:r>
        <w:rPr>
          <w:rFonts w:ascii="Times New Roman" w:cs="Times New Roman" w:eastAsia="Times New Roman" w:hAnsi="Times New Roman"/>
          <w:sz w:val="16"/>
          <w:szCs w:val="16"/>
          <w:u w:val="single" w:color="auto"/>
          <w:color w:val="auto"/>
        </w:rPr>
        <w:t>Second Amendment to Merger Agreement</w:t>
      </w:r>
      <w:r>
        <w:rPr>
          <w:rFonts w:ascii="Times New Roman" w:cs="Times New Roman" w:eastAsia="Times New Roman" w:hAnsi="Times New Roman"/>
          <w:sz w:val="16"/>
          <w:szCs w:val="16"/>
          <w:color w:val="auto"/>
        </w:rPr>
        <w:t>”);</w:t>
      </w:r>
    </w:p>
    <w:p>
      <w:pPr>
        <w:spacing w:after="0" w:line="140" w:lineRule="exact"/>
        <w:rPr>
          <w:sz w:val="20"/>
          <w:szCs w:val="20"/>
          <w:color w:val="auto"/>
        </w:rPr>
      </w:pPr>
    </w:p>
    <w:p>
      <w:pPr>
        <w:jc w:val="both"/>
        <w:ind w:firstLine="574"/>
        <w:spacing w:after="0" w:line="254"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as of the date hereof, each Stockholder is the sole record and “beneficial owner” (as such term is used herein, within the meaning of Rule 13d-3 under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Securities Exchange Act of 1934, as amended (together with the rules and regulations promulgated thereunder, the “</w:t>
      </w:r>
      <w:r>
        <w:rPr>
          <w:rFonts w:ascii="Times New Roman" w:cs="Times New Roman" w:eastAsia="Times New Roman" w:hAnsi="Times New Roman"/>
          <w:sz w:val="16"/>
          <w:szCs w:val="16"/>
          <w:u w:val="single" w:color="auto"/>
          <w:color w:val="auto"/>
        </w:rPr>
        <w:t>Exchange Act</w:t>
      </w:r>
      <w:r>
        <w:rPr>
          <w:rFonts w:ascii="Times New Roman" w:cs="Times New Roman" w:eastAsia="Times New Roman" w:hAnsi="Times New Roman"/>
          <w:sz w:val="16"/>
          <w:szCs w:val="16"/>
          <w:color w:val="auto"/>
        </w:rPr>
        <w:t xml:space="preserve">”)) of, and is entitled to dispose of and vote, the number of shares of Company Common Stock and Company Preferred Stock set forth opposite such Stockholder’s name on </w:t>
      </w:r>
      <w:r>
        <w:rPr>
          <w:rFonts w:ascii="Times New Roman" w:cs="Times New Roman" w:eastAsia="Times New Roman" w:hAnsi="Times New Roman"/>
          <w:sz w:val="16"/>
          <w:szCs w:val="16"/>
          <w:u w:val="single" w:color="auto"/>
          <w:color w:val="auto"/>
        </w:rPr>
        <w:t>Schedule 1</w:t>
      </w:r>
      <w:r>
        <w:rPr>
          <w:rFonts w:ascii="Times New Roman" w:cs="Times New Roman" w:eastAsia="Times New Roman" w:hAnsi="Times New Roman"/>
          <w:sz w:val="16"/>
          <w:szCs w:val="16"/>
          <w:color w:val="auto"/>
        </w:rPr>
        <w:t xml:space="preserve"> of this Agreement (collectively, with respect to each Stockholder, such Stockholder’s “</w:t>
      </w:r>
      <w:r>
        <w:rPr>
          <w:rFonts w:ascii="Times New Roman" w:cs="Times New Roman" w:eastAsia="Times New Roman" w:hAnsi="Times New Roman"/>
          <w:sz w:val="16"/>
          <w:szCs w:val="16"/>
          <w:u w:val="single" w:color="auto"/>
          <w:color w:val="auto"/>
        </w:rPr>
        <w:t>Owned Shares</w:t>
      </w:r>
      <w:r>
        <w:rPr>
          <w:rFonts w:ascii="Times New Roman" w:cs="Times New Roman" w:eastAsia="Times New Roman" w:hAnsi="Times New Roman"/>
          <w:sz w:val="16"/>
          <w:szCs w:val="16"/>
          <w:color w:val="auto"/>
        </w:rPr>
        <w:t>”); and such Owned Shares, together with (1) any additional shares of Company Common Stock and Company Preferred Stock (or any securities convertible into or exercisable or exchangeable for Company Common Stock or Company Preferred Stock) in which such Stockholder acquires record and beneficial ownership after the date hereof, including by purchase, as a result of a stock dividend, stock split, recapitalization, combination, reclassification, exchange or change of such shares, or upon exercise or conversion of any securities and (2) any additional shares of Company Common Stock and Company Preferred Stock with respect to which such Stockholder has the right to vote through a proxy, the “</w:t>
      </w:r>
      <w:r>
        <w:rPr>
          <w:rFonts w:ascii="Times New Roman" w:cs="Times New Roman" w:eastAsia="Times New Roman" w:hAnsi="Times New Roman"/>
          <w:sz w:val="16"/>
          <w:szCs w:val="16"/>
          <w:u w:val="single" w:color="auto"/>
          <w:color w:val="auto"/>
        </w:rPr>
        <w:t>Covered Shares</w:t>
      </w:r>
      <w:r>
        <w:rPr>
          <w:rFonts w:ascii="Times New Roman" w:cs="Times New Roman" w:eastAsia="Times New Roman" w:hAnsi="Times New Roman"/>
          <w:sz w:val="16"/>
          <w:szCs w:val="16"/>
          <w:color w:val="auto"/>
        </w:rPr>
        <w:t>”);</w:t>
      </w:r>
    </w:p>
    <w:p>
      <w:pPr>
        <w:spacing w:after="0" w:line="163" w:lineRule="exact"/>
        <w:rPr>
          <w:sz w:val="20"/>
          <w:szCs w:val="20"/>
          <w:color w:val="auto"/>
        </w:rPr>
      </w:pPr>
    </w:p>
    <w:p>
      <w:pPr>
        <w:jc w:val="both"/>
        <w:ind w:right="20" w:firstLine="574"/>
        <w:spacing w:after="0" w:line="256"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pursuant to their terms, upon consummation of the Mergers, each of the following agreements will automatically terminate without any further action 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part of the parties thereto pursuant to their respective terms: (i) that certain Third Amended and Restated Investors’ Rights Agreement, dated as of January 6, 2020, by and among the Company and the Investors (as defined therein) (the “</w:t>
      </w:r>
      <w:r>
        <w:rPr>
          <w:rFonts w:ascii="Times New Roman" w:cs="Times New Roman" w:eastAsia="Times New Roman" w:hAnsi="Times New Roman"/>
          <w:sz w:val="16"/>
          <w:szCs w:val="16"/>
          <w:u w:val="single" w:color="auto"/>
          <w:color w:val="auto"/>
        </w:rPr>
        <w:t>Investors’ Rights Agreement</w:t>
      </w:r>
      <w:r>
        <w:rPr>
          <w:rFonts w:ascii="Times New Roman" w:cs="Times New Roman" w:eastAsia="Times New Roman" w:hAnsi="Times New Roman"/>
          <w:sz w:val="16"/>
          <w:szCs w:val="16"/>
          <w:color w:val="auto"/>
        </w:rPr>
        <w:t>”); (ii) that certain Third Amended and Restated Voting and Drag-Along Agreement, dated as of January 6, 2020, by and among the Company and the Stockholders (as defined therein) (the “</w:t>
      </w:r>
      <w:r>
        <w:rPr>
          <w:rFonts w:ascii="Times New Roman" w:cs="Times New Roman" w:eastAsia="Times New Roman" w:hAnsi="Times New Roman"/>
          <w:sz w:val="16"/>
          <w:szCs w:val="16"/>
          <w:u w:val="single" w:color="auto"/>
          <w:color w:val="auto"/>
        </w:rPr>
        <w:t>Voting Agreement</w:t>
      </w:r>
      <w:r>
        <w:rPr>
          <w:rFonts w:ascii="Times New Roman" w:cs="Times New Roman" w:eastAsia="Times New Roman" w:hAnsi="Times New Roman"/>
          <w:sz w:val="16"/>
          <w:szCs w:val="16"/>
          <w:color w:val="auto"/>
        </w:rPr>
        <w:t>”); and (iii) that certain Third Amended and Restated Right of First Refusal and Co-Sale Agreement, dated as of January 6, 2020 by and among the Company, the Key Holders (as defined therein) and the Investors (as defined therein) (the “</w:t>
      </w:r>
      <w:r>
        <w:rPr>
          <w:rFonts w:ascii="Times New Roman" w:cs="Times New Roman" w:eastAsia="Times New Roman" w:hAnsi="Times New Roman"/>
          <w:sz w:val="16"/>
          <w:szCs w:val="16"/>
          <w:u w:val="single" w:color="auto"/>
          <w:color w:val="auto"/>
        </w:rPr>
        <w:t>ROFR Agreement</w:t>
      </w:r>
      <w:r>
        <w:rPr>
          <w:rFonts w:ascii="Times New Roman" w:cs="Times New Roman" w:eastAsia="Times New Roman" w:hAnsi="Times New Roman"/>
          <w:sz w:val="16"/>
          <w:szCs w:val="16"/>
          <w:color w:val="auto"/>
        </w:rPr>
        <w:t>” and, together with the Investors’ Rights Agreement and the Voting Agreement, the “</w:t>
      </w:r>
      <w:r>
        <w:rPr>
          <w:rFonts w:ascii="Times New Roman" w:cs="Times New Roman" w:eastAsia="Times New Roman" w:hAnsi="Times New Roman"/>
          <w:sz w:val="16"/>
          <w:szCs w:val="16"/>
          <w:u w:val="single" w:color="auto"/>
          <w:color w:val="auto"/>
        </w:rPr>
        <w:t>Investment Agreements</w:t>
      </w:r>
      <w:r>
        <w:rPr>
          <w:rFonts w:ascii="Times New Roman" w:cs="Times New Roman" w:eastAsia="Times New Roman" w:hAnsi="Times New Roman"/>
          <w:sz w:val="16"/>
          <w:szCs w:val="16"/>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372110</wp:posOffset>
            </wp:positionV>
            <wp:extent cx="7148195" cy="1524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50" w:name="page251"/>
    <w:bookmarkEnd w:id="250"/>
    <w:p>
      <w:pPr>
        <w:ind w:right="20" w:firstLine="574"/>
        <w:spacing w:after="0" w:line="283"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as a condition and inducement to the willingness of Acquiror, First Merger Sub and Second Merger Sub to enter into the Second Amendment to Merger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 the Company and the Stockholders are entering into this Agreement.</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AGREEMENT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NOW, THEREFORE</w:t>
      </w:r>
      <w:r>
        <w:rPr>
          <w:rFonts w:ascii="Times New Roman" w:cs="Times New Roman" w:eastAsia="Times New Roman" w:hAnsi="Times New Roman"/>
          <w:sz w:val="16"/>
          <w:szCs w:val="16"/>
          <w:color w:val="auto"/>
        </w:rPr>
        <w:t>, in consideration of the foregoing and the mutual covenants and agreements herein contained, and intending to be legally bound hereby,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Acquiror, the Company and each Stockholder hereby agree as follows:</w:t>
      </w:r>
    </w:p>
    <w:p>
      <w:pPr>
        <w:spacing w:after="0" w:line="182" w:lineRule="exact"/>
        <w:rPr>
          <w:sz w:val="20"/>
          <w:szCs w:val="20"/>
          <w:color w:val="auto"/>
        </w:rPr>
      </w:pPr>
    </w:p>
    <w:p>
      <w:pPr>
        <w:jc w:val="both"/>
        <w:ind w:firstLine="569"/>
        <w:spacing w:after="0" w:line="252" w:lineRule="auto"/>
        <w:tabs>
          <w:tab w:leader="none" w:pos="733" w:val="left"/>
        </w:tabs>
        <w:numPr>
          <w:ilvl w:val="0"/>
          <w:numId w:val="2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Agreement to Vote</w:t>
      </w:r>
      <w:r>
        <w:rPr>
          <w:rFonts w:ascii="Times New Roman" w:cs="Times New Roman" w:eastAsia="Times New Roman" w:hAnsi="Times New Roman"/>
          <w:sz w:val="16"/>
          <w:szCs w:val="16"/>
          <w:color w:val="auto"/>
        </w:rPr>
        <w:t xml:space="preserve">. Subject to the earlier termination of this Agreement in accordance with </w:t>
      </w:r>
      <w:r>
        <w:rPr>
          <w:rFonts w:ascii="Times New Roman" w:cs="Times New Roman" w:eastAsia="Times New Roman" w:hAnsi="Times New Roman"/>
          <w:sz w:val="16"/>
          <w:szCs w:val="16"/>
          <w:u w:val="single" w:color="auto"/>
          <w:color w:val="auto"/>
        </w:rPr>
        <w:t>Section 5</w:t>
      </w:r>
      <w:r>
        <w:rPr>
          <w:rFonts w:ascii="Times New Roman" w:cs="Times New Roman" w:eastAsia="Times New Roman" w:hAnsi="Times New Roman"/>
          <w:sz w:val="16"/>
          <w:szCs w:val="16"/>
          <w:color w:val="auto"/>
        </w:rPr>
        <w:t xml:space="preserve"> and the last paragraph of this </w:t>
      </w:r>
      <w:r>
        <w:rPr>
          <w:rFonts w:ascii="Times New Roman" w:cs="Times New Roman" w:eastAsia="Times New Roman" w:hAnsi="Times New Roman"/>
          <w:sz w:val="16"/>
          <w:szCs w:val="16"/>
          <w:u w:val="single" w:color="auto"/>
          <w:color w:val="auto"/>
        </w:rPr>
        <w:t>Section 1</w:t>
      </w:r>
      <w:r>
        <w:rPr>
          <w:rFonts w:ascii="Times New Roman" w:cs="Times New Roman" w:eastAsia="Times New Roman" w:hAnsi="Times New Roman"/>
          <w:sz w:val="16"/>
          <w:szCs w:val="16"/>
          <w:color w:val="auto"/>
        </w:rPr>
        <w:t xml:space="preserve">, the Stockholder, solely in his, her or its capacity as a stockholder or proxy holder of the Company, irrevocably and unconditionally agrees, and agrees to cause any other holder of record of any of the Stockholder’s Covered Shares, to validly execute and deliver to the Company in respect of all of the Stockholder’s Covered Shares, on (or effective as of) the second (2nd) Business Day following the date that the consent solicitation statement/prospectus included in the Registration Statement is disseminated to the Company’s stockholders (following the date the Registration Statement becomes effective), a written consent in a form to be reasonably agreed between the Company and Acquiror after the date hereof, as shall be revised if needed to address any comments from the SEC, with respect to all of the Stockholder’s Covered Shares. In addition, subject to the last paragraph of this </w:t>
      </w:r>
      <w:r>
        <w:rPr>
          <w:rFonts w:ascii="Times New Roman" w:cs="Times New Roman" w:eastAsia="Times New Roman" w:hAnsi="Times New Roman"/>
          <w:sz w:val="16"/>
          <w:szCs w:val="16"/>
          <w:u w:val="single" w:color="auto"/>
          <w:color w:val="auto"/>
        </w:rPr>
        <w:t>Section 1</w:t>
      </w:r>
      <w:r>
        <w:rPr>
          <w:rFonts w:ascii="Times New Roman" w:cs="Times New Roman" w:eastAsia="Times New Roman" w:hAnsi="Times New Roman"/>
          <w:sz w:val="16"/>
          <w:szCs w:val="16"/>
          <w:color w:val="auto"/>
        </w:rPr>
        <w:t>, prior to the Termination Date (as defined herein), the Stockholder, in his, her or its capacity as a stockholder or proxy holder of the Company, irrevocably and unconditionally agrees that, at any other meeting of the stockholders of the Company (whether annual or special and whether or not an adjourned or postponed meeting, however called and including any adjournment or postponement thereof) and in connection with any written consent of stockholders of the Company, such Stockholder shall, and shall cause any other holder of record of any of such Stockholder’s Covered Shares to:</w:t>
      </w:r>
    </w:p>
    <w:p>
      <w:pPr>
        <w:spacing w:after="0" w:line="171"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1"/>
          <w:numId w:val="2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waive any rights of first refusal set forth in Section 2 of the ROFR Agreement;</w:t>
      </w:r>
    </w:p>
    <w:p>
      <w:pPr>
        <w:spacing w:after="0" w:line="198" w:lineRule="exact"/>
        <w:rPr>
          <w:rFonts w:ascii="Times New Roman" w:cs="Times New Roman" w:eastAsia="Times New Roman" w:hAnsi="Times New Roman"/>
          <w:sz w:val="16"/>
          <w:szCs w:val="16"/>
          <w:color w:val="auto"/>
        </w:rPr>
      </w:pPr>
    </w:p>
    <w:p>
      <w:pPr>
        <w:ind w:right="20" w:firstLine="1143"/>
        <w:spacing w:after="0" w:line="280" w:lineRule="auto"/>
        <w:tabs>
          <w:tab w:leader="none" w:pos="1373" w:val="left"/>
        </w:tabs>
        <w:numPr>
          <w:ilvl w:val="1"/>
          <w:numId w:val="2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such meeting is held, appear at such meeting or otherwise cause the Stockholder’s Covered Shares to be counted as present thereat for the purpose of establishing a quorum;</w:t>
      </w:r>
    </w:p>
    <w:p>
      <w:pPr>
        <w:spacing w:after="0" w:line="144" w:lineRule="exact"/>
        <w:rPr>
          <w:rFonts w:ascii="Times New Roman" w:cs="Times New Roman" w:eastAsia="Times New Roman" w:hAnsi="Times New Roman"/>
          <w:sz w:val="16"/>
          <w:szCs w:val="16"/>
          <w:color w:val="auto"/>
        </w:rPr>
      </w:pPr>
    </w:p>
    <w:p>
      <w:pPr>
        <w:jc w:val="both"/>
        <w:ind w:firstLine="1143"/>
        <w:spacing w:after="0" w:line="259" w:lineRule="auto"/>
        <w:tabs>
          <w:tab w:leader="none" w:pos="1367" w:val="left"/>
        </w:tabs>
        <w:numPr>
          <w:ilvl w:val="1"/>
          <w:numId w:val="2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vote (or execute and return an action by written consent), or cause to be voted at such meeting (or validly execute and return and cause such consent to be granted with respect to), all of such Stockholder’s Covered Shares owned as of the record date for such meeting (or the date that any written consent is executed by such Stockholder) in favor of the Mergers, the adoption of the Merger Agreement, and any other matters reasonably requested by the Company that are necessary for the consummation of the Mergers and the other transactions contemplated by the Merger Agreement;</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251" w:name="page252"/>
    <w:bookmarkEnd w:id="251"/>
    <w:p>
      <w:pPr>
        <w:jc w:val="both"/>
        <w:ind w:firstLine="1143"/>
        <w:spacing w:after="0" w:line="265" w:lineRule="auto"/>
        <w:tabs>
          <w:tab w:leader="none" w:pos="1379" w:val="left"/>
        </w:tabs>
        <w:numPr>
          <w:ilvl w:val="0"/>
          <w:numId w:val="2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any other circumstances upon which a consent or other approval is required under the Company’s governing documents or the Investment Agreements with respect to the Merger Agreement or the other transactions contemplated by the Merger Agreement, vote, consent or approve (or cause to be voted, consented or approved) all of such Stockholder’s Covered Shares held at such time in favor thereof;</w:t>
      </w:r>
    </w:p>
    <w:p>
      <w:pPr>
        <w:spacing w:after="0" w:line="155" w:lineRule="exact"/>
        <w:rPr>
          <w:rFonts w:ascii="Times New Roman" w:cs="Times New Roman" w:eastAsia="Times New Roman" w:hAnsi="Times New Roman"/>
          <w:sz w:val="16"/>
          <w:szCs w:val="16"/>
          <w:color w:val="auto"/>
        </w:rPr>
      </w:pPr>
    </w:p>
    <w:p>
      <w:pPr>
        <w:jc w:val="both"/>
        <w:ind w:firstLine="1143"/>
        <w:spacing w:after="0" w:line="255" w:lineRule="auto"/>
        <w:tabs>
          <w:tab w:leader="none" w:pos="1367" w:val="left"/>
        </w:tabs>
        <w:numPr>
          <w:ilvl w:val="0"/>
          <w:numId w:val="2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vote (or execute and return an action by written consent), or cause to be voted at such meeting (or validly execute and return and cause such consent to be granted with respect to), all of such Stockholder’s Covered Shares against (i) any Business Combination Proposal other than with the Acquiror, its stockholders and their respective Affiliates and Representatives and (ii) any other action that would reasonably be expected to (x) materially impede, interfere with, delay, postpone or adversely affect the Mergers or any of the other transactions contemplated by the Merger Agreement, (y) result in a breach of any covenant, representation or warranty or other obligation or agreement of the Company under the Merger Agreement or (z) result in a breach of any covenant, representation or warranty or other obligation or agreement of such Stockholder contained in this Agreement.</w:t>
      </w:r>
    </w:p>
    <w:p>
      <w:pPr>
        <w:spacing w:after="0" w:line="165" w:lineRule="exact"/>
        <w:rPr>
          <w:sz w:val="20"/>
          <w:szCs w:val="20"/>
          <w:color w:val="auto"/>
        </w:rPr>
      </w:pPr>
    </w:p>
    <w:p>
      <w:pPr>
        <w:ind w:firstLine="574"/>
        <w:spacing w:after="0" w:line="280" w:lineRule="auto"/>
        <w:rPr>
          <w:sz w:val="20"/>
          <w:szCs w:val="20"/>
          <w:color w:val="auto"/>
        </w:rPr>
      </w:pPr>
      <w:r>
        <w:rPr>
          <w:rFonts w:ascii="Times New Roman" w:cs="Times New Roman" w:eastAsia="Times New Roman" w:hAnsi="Times New Roman"/>
          <w:sz w:val="16"/>
          <w:szCs w:val="16"/>
          <w:color w:val="auto"/>
        </w:rPr>
        <w:t>The obligations of each Stockholder specified in this Section 1 shall apply whether or not the Mergers or any action described above is recommended by the Company Board or the Company Board has previously recommended the Mergers but changed such recommendation.</w:t>
      </w:r>
    </w:p>
    <w:p>
      <w:pPr>
        <w:spacing w:after="0" w:line="144" w:lineRule="exact"/>
        <w:rPr>
          <w:sz w:val="20"/>
          <w:szCs w:val="20"/>
          <w:color w:val="auto"/>
        </w:rPr>
      </w:pPr>
    </w:p>
    <w:p>
      <w:pPr>
        <w:ind w:left="720" w:hanging="151"/>
        <w:spacing w:after="0"/>
        <w:tabs>
          <w:tab w:leader="none" w:pos="720" w:val="left"/>
        </w:tabs>
        <w:numPr>
          <w:ilvl w:val="0"/>
          <w:numId w:val="2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Lock-up</w:t>
      </w:r>
      <w:r>
        <w:rPr>
          <w:rFonts w:ascii="Times New Roman" w:cs="Times New Roman" w:eastAsia="Times New Roman" w:hAnsi="Times New Roman"/>
          <w:sz w:val="16"/>
          <w:szCs w:val="16"/>
          <w:color w:val="auto"/>
        </w:rPr>
        <w:t>.</w:t>
      </w:r>
    </w:p>
    <w:p>
      <w:pPr>
        <w:spacing w:after="0" w:line="198" w:lineRule="exact"/>
        <w:rPr>
          <w:rFonts w:ascii="Times New Roman" w:cs="Times New Roman" w:eastAsia="Times New Roman" w:hAnsi="Times New Roman"/>
          <w:sz w:val="16"/>
          <w:szCs w:val="16"/>
          <w:color w:val="auto"/>
        </w:rPr>
      </w:pPr>
    </w:p>
    <w:p>
      <w:pPr>
        <w:jc w:val="both"/>
        <w:ind w:firstLine="1143"/>
        <w:spacing w:after="0" w:line="254" w:lineRule="auto"/>
        <w:tabs>
          <w:tab w:leader="none" w:pos="1380" w:val="left"/>
        </w:tabs>
        <w:numPr>
          <w:ilvl w:val="1"/>
          <w:numId w:val="2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w:t>
      </w:r>
      <w:r>
        <w:rPr>
          <w:rFonts w:ascii="Times New Roman" w:cs="Times New Roman" w:eastAsia="Times New Roman" w:hAnsi="Times New Roman"/>
          <w:sz w:val="16"/>
          <w:szCs w:val="16"/>
          <w:u w:val="single" w:color="auto"/>
          <w:color w:val="auto"/>
        </w:rPr>
        <w:t>Section 2(b)</w:t>
      </w:r>
      <w:r>
        <w:rPr>
          <w:rFonts w:ascii="Times New Roman" w:cs="Times New Roman" w:eastAsia="Times New Roman" w:hAnsi="Times New Roman"/>
          <w:sz w:val="16"/>
          <w:szCs w:val="16"/>
          <w:color w:val="auto"/>
        </w:rPr>
        <w:t>, the Stockholder agrees that it shall not sell, publicly offer to sell, transfer, pledge, encumber, assign, hedge, swap, convert or otherwise dispose of (including by merger (including by conversion into securities or other consideration), by tendering into any tender or exchange offer, by testamentary disposition, by operation of Law or otherwise), either voluntarily or involuntarily (collectively, “</w:t>
      </w:r>
      <w:r>
        <w:rPr>
          <w:rFonts w:ascii="Times New Roman" w:cs="Times New Roman" w:eastAsia="Times New Roman" w:hAnsi="Times New Roman"/>
          <w:sz w:val="16"/>
          <w:szCs w:val="16"/>
          <w:u w:val="single" w:color="auto"/>
          <w:color w:val="auto"/>
        </w:rPr>
        <w:t>Transfer</w:t>
      </w:r>
      <w:r>
        <w:rPr>
          <w:rFonts w:ascii="Times New Roman" w:cs="Times New Roman" w:eastAsia="Times New Roman" w:hAnsi="Times New Roman"/>
          <w:sz w:val="16"/>
          <w:szCs w:val="16"/>
          <w:color w:val="auto"/>
        </w:rPr>
        <w:t>”) any issued and outstanding Acquiror Common Stock held by such Stockholder as of and immediately following the Closing Date (in respect of the Stockholder, the “</w:t>
      </w:r>
      <w:r>
        <w:rPr>
          <w:rFonts w:ascii="Times New Roman" w:cs="Times New Roman" w:eastAsia="Times New Roman" w:hAnsi="Times New Roman"/>
          <w:sz w:val="16"/>
          <w:szCs w:val="16"/>
          <w:u w:val="single" w:color="auto"/>
          <w:color w:val="auto"/>
        </w:rPr>
        <w:t>Lock-up Shares</w:t>
      </w:r>
      <w:r>
        <w:rPr>
          <w:rFonts w:ascii="Times New Roman" w:cs="Times New Roman" w:eastAsia="Times New Roman" w:hAnsi="Times New Roman"/>
          <w:sz w:val="16"/>
          <w:szCs w:val="16"/>
          <w:color w:val="auto"/>
        </w:rPr>
        <w:t>”) during the period beginning on the Closing Date until, in respect of all of its, his or her Lock-up Shares, the date that is eighteen (18) months from and after the Closing Date (such period, the “</w:t>
      </w:r>
      <w:r>
        <w:rPr>
          <w:rFonts w:ascii="Times New Roman" w:cs="Times New Roman" w:eastAsia="Times New Roman" w:hAnsi="Times New Roman"/>
          <w:sz w:val="16"/>
          <w:szCs w:val="16"/>
          <w:u w:val="single" w:color="auto"/>
          <w:color w:val="auto"/>
        </w:rPr>
        <w:t>Lock-up Period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such prohibition shall not apply to Transfers (x) permitted pursuant to </w:t>
      </w:r>
      <w:r>
        <w:rPr>
          <w:rFonts w:ascii="Times New Roman" w:cs="Times New Roman" w:eastAsia="Times New Roman" w:hAnsi="Times New Roman"/>
          <w:sz w:val="16"/>
          <w:szCs w:val="16"/>
          <w:u w:val="single" w:color="auto"/>
          <w:color w:val="auto"/>
        </w:rPr>
        <w:t>Section 2(b)</w:t>
      </w:r>
      <w:r>
        <w:rPr>
          <w:rFonts w:ascii="Times New Roman" w:cs="Times New Roman" w:eastAsia="Times New Roman" w:hAnsi="Times New Roman"/>
          <w:sz w:val="16"/>
          <w:szCs w:val="16"/>
          <w:color w:val="auto"/>
        </w:rPr>
        <w:t xml:space="preserve"> or (y) permitted pursuant to the organizational documents of Acquiror, as in effect on the Closing Date, as the same may be amended from time to time (the “</w:t>
      </w:r>
      <w:r>
        <w:rPr>
          <w:rFonts w:ascii="Times New Roman" w:cs="Times New Roman" w:eastAsia="Times New Roman" w:hAnsi="Times New Roman"/>
          <w:sz w:val="16"/>
          <w:szCs w:val="16"/>
          <w:u w:val="single" w:color="auto"/>
          <w:color w:val="auto"/>
        </w:rPr>
        <w:t>Governing Documents</w:t>
      </w:r>
      <w:r>
        <w:rPr>
          <w:rFonts w:ascii="Times New Roman" w:cs="Times New Roman" w:eastAsia="Times New Roman" w:hAnsi="Times New Roman"/>
          <w:sz w:val="16"/>
          <w:szCs w:val="16"/>
          <w:color w:val="auto"/>
        </w:rPr>
        <w:t>”).</w:t>
      </w:r>
    </w:p>
    <w:p>
      <w:pPr>
        <w:spacing w:after="0" w:line="166" w:lineRule="exact"/>
        <w:rPr>
          <w:rFonts w:ascii="Times New Roman" w:cs="Times New Roman" w:eastAsia="Times New Roman" w:hAnsi="Times New Roman"/>
          <w:sz w:val="16"/>
          <w:szCs w:val="16"/>
          <w:color w:val="auto"/>
        </w:rPr>
      </w:pPr>
    </w:p>
    <w:p>
      <w:pPr>
        <w:jc w:val="both"/>
        <w:ind w:firstLine="1143"/>
        <w:spacing w:after="0" w:line="257" w:lineRule="auto"/>
        <w:tabs>
          <w:tab w:leader="none" w:pos="1391" w:val="left"/>
        </w:tabs>
        <w:numPr>
          <w:ilvl w:val="1"/>
          <w:numId w:val="2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the provision set forth in </w:t>
      </w:r>
      <w:r>
        <w:rPr>
          <w:rFonts w:ascii="Times New Roman" w:cs="Times New Roman" w:eastAsia="Times New Roman" w:hAnsi="Times New Roman"/>
          <w:sz w:val="16"/>
          <w:szCs w:val="16"/>
          <w:u w:val="single" w:color="auto"/>
          <w:color w:val="auto"/>
        </w:rPr>
        <w:t>Section 2(a)</w:t>
      </w:r>
      <w:r>
        <w:rPr>
          <w:rFonts w:ascii="Times New Roman" w:cs="Times New Roman" w:eastAsia="Times New Roman" w:hAnsi="Times New Roman"/>
          <w:sz w:val="16"/>
          <w:szCs w:val="16"/>
          <w:color w:val="auto"/>
        </w:rPr>
        <w:t xml:space="preserve">, Transfers of Lockup Shares that are that are held by a Stockholder or any of their permitted transferees (that have complied with this </w:t>
      </w:r>
      <w:r>
        <w:rPr>
          <w:rFonts w:ascii="Times New Roman" w:cs="Times New Roman" w:eastAsia="Times New Roman" w:hAnsi="Times New Roman"/>
          <w:sz w:val="16"/>
          <w:szCs w:val="16"/>
          <w:u w:val="single" w:color="auto"/>
          <w:color w:val="auto"/>
        </w:rPr>
        <w:t>Section 2(b)</w:t>
      </w:r>
      <w:r>
        <w:rPr>
          <w:rFonts w:ascii="Times New Roman" w:cs="Times New Roman" w:eastAsia="Times New Roman" w:hAnsi="Times New Roman"/>
          <w:sz w:val="16"/>
          <w:szCs w:val="16"/>
          <w:color w:val="auto"/>
        </w:rPr>
        <w:t xml:space="preserve">) are permitted in accordance with the Governing Documents;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any such Transfer shall be permitted only if, as a precondition to such Transfer, the transferee agrees in a writing, reasonably satisfactory in form and substance to Acquiror, to assume all of the obligations of the Stockholder under, and be bound by all of the terms of, this Agreement;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xml:space="preserve">, that any Transfer permitted under this </w:t>
      </w:r>
      <w:r>
        <w:rPr>
          <w:rFonts w:ascii="Times New Roman" w:cs="Times New Roman" w:eastAsia="Times New Roman" w:hAnsi="Times New Roman"/>
          <w:sz w:val="16"/>
          <w:szCs w:val="16"/>
          <w:u w:val="single" w:color="auto"/>
          <w:color w:val="auto"/>
        </w:rPr>
        <w:t>Section 2(b)</w:t>
      </w:r>
      <w:r>
        <w:rPr>
          <w:rFonts w:ascii="Times New Roman" w:cs="Times New Roman" w:eastAsia="Times New Roman" w:hAnsi="Times New Roman"/>
          <w:sz w:val="16"/>
          <w:szCs w:val="16"/>
          <w:color w:val="auto"/>
        </w:rPr>
        <w:t xml:space="preserve"> shall not relieve the Stockholder of its obligations under this Agreement.</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52" w:name="page253"/>
    <w:bookmarkEnd w:id="252"/>
    <w:p>
      <w:pPr>
        <w:ind w:left="4" w:right="20" w:firstLine="1143"/>
        <w:spacing w:after="0" w:line="280" w:lineRule="auto"/>
        <w:tabs>
          <w:tab w:leader="none" w:pos="1377" w:val="left"/>
        </w:tabs>
        <w:numPr>
          <w:ilvl w:val="2"/>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applicable Lock-Up Period for the respective Stockholders, any purported Transfer of applicable Lock-Up Shares not in accordance with this Agreement shall be null and void, and Acquiror shall refuse to recognize any such Transfer for any purpose.</w:t>
      </w:r>
    </w:p>
    <w:p>
      <w:pPr>
        <w:spacing w:after="0" w:line="144" w:lineRule="exact"/>
        <w:rPr>
          <w:rFonts w:ascii="Times New Roman" w:cs="Times New Roman" w:eastAsia="Times New Roman" w:hAnsi="Times New Roman"/>
          <w:sz w:val="16"/>
          <w:szCs w:val="16"/>
          <w:color w:val="auto"/>
        </w:rPr>
      </w:pPr>
    </w:p>
    <w:p>
      <w:pPr>
        <w:jc w:val="both"/>
        <w:ind w:left="4" w:right="20" w:firstLine="1143"/>
        <w:spacing w:after="0" w:line="265" w:lineRule="auto"/>
        <w:tabs>
          <w:tab w:leader="none" w:pos="1392" w:val="left"/>
        </w:tabs>
        <w:numPr>
          <w:ilvl w:val="2"/>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Stockholders acknowledge and agree that, notwithstanding anything to the contrary contained in this Agreement, the Lock-Up Shares beneficially owned or otherwise held by such Person shall remain subject to any restrictions on Transfer under applicable securities Laws of any Governmental Entity, including all applicable holding periods under the Securities Act and other rules of the SEC.</w:t>
      </w:r>
    </w:p>
    <w:p>
      <w:pPr>
        <w:spacing w:after="0" w:line="155" w:lineRule="exact"/>
        <w:rPr>
          <w:rFonts w:ascii="Times New Roman" w:cs="Times New Roman" w:eastAsia="Times New Roman" w:hAnsi="Times New Roman"/>
          <w:sz w:val="16"/>
          <w:szCs w:val="16"/>
          <w:color w:val="auto"/>
        </w:rPr>
      </w:pPr>
    </w:p>
    <w:p>
      <w:pPr>
        <w:jc w:val="both"/>
        <w:ind w:left="4" w:right="20" w:firstLine="569"/>
        <w:spacing w:after="0" w:line="265" w:lineRule="auto"/>
        <w:tabs>
          <w:tab w:leader="none" w:pos="745" w:val="left"/>
        </w:tabs>
        <w:numPr>
          <w:ilvl w:val="1"/>
          <w:numId w:val="259"/>
        </w:numPr>
        <w:rPr>
          <w:rFonts w:ascii="Times New Roman" w:cs="Times New Roman" w:eastAsia="Times New Roman" w:hAnsi="Times New Roman"/>
          <w:sz w:val="16"/>
          <w:szCs w:val="16"/>
          <w:u w:val="single" w:color="auto"/>
          <w:color w:val="auto"/>
        </w:rPr>
      </w:pPr>
      <w:r>
        <w:rPr>
          <w:rFonts w:ascii="Times New Roman" w:cs="Times New Roman" w:eastAsia="Times New Roman" w:hAnsi="Times New Roman"/>
          <w:sz w:val="16"/>
          <w:szCs w:val="16"/>
          <w:u w:val="single" w:color="auto"/>
          <w:color w:val="auto"/>
        </w:rPr>
        <w:t>Closing Date Deliverables</w:t>
      </w:r>
      <w:r>
        <w:rPr>
          <w:rFonts w:ascii="Times New Roman" w:cs="Times New Roman" w:eastAsia="Times New Roman" w:hAnsi="Times New Roman"/>
          <w:sz w:val="16"/>
          <w:szCs w:val="16"/>
          <w:color w:val="auto"/>
        </w:rPr>
        <w:t>. On the Closing Date, each Stockholder shall deliver to Acquiror and the Company a duly executed copy of that certain Amended and Restated Registration Rights Agreement, by and among Acquiror, the Company, the Sponsor, and certain of the Company’s stockholders or their respective affiliates, as applicable, in substantially the form attached as Exhibit C to the Merger Agreement.</w:t>
      </w:r>
    </w:p>
    <w:p>
      <w:pPr>
        <w:spacing w:after="0" w:line="155" w:lineRule="exact"/>
        <w:rPr>
          <w:rFonts w:ascii="Times New Roman" w:cs="Times New Roman" w:eastAsia="Times New Roman" w:hAnsi="Times New Roman"/>
          <w:sz w:val="16"/>
          <w:szCs w:val="16"/>
          <w:u w:val="single" w:color="auto"/>
          <w:color w:val="auto"/>
        </w:rPr>
      </w:pPr>
    </w:p>
    <w:p>
      <w:pPr>
        <w:jc w:val="both"/>
        <w:ind w:left="4" w:right="20" w:firstLine="569"/>
        <w:spacing w:after="0" w:line="259" w:lineRule="auto"/>
        <w:tabs>
          <w:tab w:leader="none" w:pos="737" w:val="left"/>
        </w:tabs>
        <w:numPr>
          <w:ilvl w:val="1"/>
          <w:numId w:val="2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Inconsistent Agreements</w:t>
      </w:r>
      <w:r>
        <w:rPr>
          <w:rFonts w:ascii="Times New Roman" w:cs="Times New Roman" w:eastAsia="Times New Roman" w:hAnsi="Times New Roman"/>
          <w:sz w:val="16"/>
          <w:szCs w:val="16"/>
          <w:color w:val="auto"/>
        </w:rPr>
        <w:t>. Each Stockholder hereby covenants and agrees that such Stockholder shall not (i) enter into any voting agreement or voting trust with respect to any of such Stockholder’s Covered Shares that is inconsistent with such Stockholder’s obligations pursuant to this Agreement, (ii) grant a proxy or power of attorney with respect to any of such Stockholder’s Covered Shares that is inconsistent with such Stockholder’s obligations pursuant to this Agreement, or (iii) enter into any agreement or undertaking that is otherwise inconsistent with, or would interfere with, or prohibit or prevent it from satisfying, its obligations pursuant to this Agreement.</w:t>
      </w:r>
    </w:p>
    <w:p>
      <w:pPr>
        <w:spacing w:after="0" w:line="161" w:lineRule="exact"/>
        <w:rPr>
          <w:rFonts w:ascii="Times New Roman" w:cs="Times New Roman" w:eastAsia="Times New Roman" w:hAnsi="Times New Roman"/>
          <w:sz w:val="16"/>
          <w:szCs w:val="16"/>
          <w:color w:val="auto"/>
        </w:rPr>
      </w:pPr>
    </w:p>
    <w:p>
      <w:pPr>
        <w:ind w:left="724" w:hanging="151"/>
        <w:spacing w:after="0"/>
        <w:tabs>
          <w:tab w:leader="none" w:pos="724" w:val="left"/>
        </w:tabs>
        <w:numPr>
          <w:ilvl w:val="1"/>
          <w:numId w:val="2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w:t>
      </w:r>
      <w:r>
        <w:rPr>
          <w:rFonts w:ascii="Times New Roman" w:cs="Times New Roman" w:eastAsia="Times New Roman" w:hAnsi="Times New Roman"/>
          <w:sz w:val="16"/>
          <w:szCs w:val="16"/>
          <w:color w:val="auto"/>
        </w:rPr>
        <w:t>. This Agreement shall terminate upon the earliest of (i) the Effective Time, (ii) the termination of the Merger Agreement in accordance with its terms,</w:t>
      </w:r>
    </w:p>
    <w:p>
      <w:pPr>
        <w:spacing w:after="0" w:line="23" w:lineRule="exact"/>
        <w:rPr>
          <w:rFonts w:ascii="Times New Roman" w:cs="Times New Roman" w:eastAsia="Times New Roman" w:hAnsi="Times New Roman"/>
          <w:sz w:val="16"/>
          <w:szCs w:val="16"/>
          <w:color w:val="auto"/>
        </w:rPr>
      </w:pPr>
    </w:p>
    <w:p>
      <w:pPr>
        <w:jc w:val="both"/>
        <w:ind w:left="4" w:right="20" w:hanging="4"/>
        <w:spacing w:after="0" w:line="250" w:lineRule="auto"/>
        <w:tabs>
          <w:tab w:leader="none" w:pos="307" w:val="left"/>
        </w:tabs>
        <w:numPr>
          <w:ilvl w:val="0"/>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time that the Merger Agreement (including any exhibits, schedules or agreements referred to therein) shall be amended, modified or supplemented such that a Stockholder is disproportionately and adversely impacted relative to the other stockholders holding the same class of Company Capital Stock without the prior written consent of the applicable Stockholder, (iv) such time that a provision in the Merger Agreement shall be waived by the Company such that a Stockholder is disproportionately and adversely impacted relative to the other stockholders holding the same class of Company Stock; and (v) the time this Agreement is terminated upon the mutual written agreement of the Company, Acquiror and the Stockholder (the earliest such date under clause (i), (ii), (iii), (iv), and (v) being referred to herein as the “</w:t>
      </w:r>
      <w:r>
        <w:rPr>
          <w:rFonts w:ascii="Times New Roman" w:cs="Times New Roman" w:eastAsia="Times New Roman" w:hAnsi="Times New Roman"/>
          <w:sz w:val="16"/>
          <w:szCs w:val="16"/>
          <w:u w:val="single" w:color="auto"/>
          <w:color w:val="auto"/>
        </w:rPr>
        <w:t>Termination Date</w:t>
      </w:r>
      <w:r>
        <w:rPr>
          <w:rFonts w:ascii="Times New Roman" w:cs="Times New Roman" w:eastAsia="Times New Roman" w:hAnsi="Times New Roman"/>
          <w:sz w:val="16"/>
          <w:szCs w:val="16"/>
          <w:color w:val="auto"/>
        </w:rPr>
        <w:t xml:space="preserve">”) and the representations, warranties, covenants and agreements contained in this Agreement and in any certificate or other writing delivered pursuant hereto shall not survive the Closing or the termination of this Agreement;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provisions set forth in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Sections 11</w:t>
      </w:r>
      <w:r>
        <w:rPr>
          <w:rFonts w:ascii="Times New Roman" w:cs="Times New Roman" w:eastAsia="Times New Roman" w:hAnsi="Times New Roman"/>
          <w:sz w:val="16"/>
          <w:szCs w:val="16"/>
          <w:color w:val="auto"/>
        </w:rPr>
        <w:t xml:space="preserve"> through </w:t>
      </w:r>
      <w:r>
        <w:rPr>
          <w:rFonts w:ascii="Times New Roman" w:cs="Times New Roman" w:eastAsia="Times New Roman" w:hAnsi="Times New Roman"/>
          <w:sz w:val="16"/>
          <w:szCs w:val="16"/>
          <w:u w:val="single" w:color="auto"/>
          <w:color w:val="auto"/>
        </w:rPr>
        <w:t>22</w:t>
      </w:r>
      <w:r>
        <w:rPr>
          <w:rFonts w:ascii="Times New Roman" w:cs="Times New Roman" w:eastAsia="Times New Roman" w:hAnsi="Times New Roman"/>
          <w:sz w:val="16"/>
          <w:szCs w:val="16"/>
          <w:color w:val="auto"/>
        </w:rPr>
        <w:t xml:space="preserve"> shall survive the termination of this Agreement;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that the termination of this Agreement shall not relieve any Party from liability arising from any actual fraud in respect of this Agreement prior to such termination.</w:t>
      </w:r>
    </w:p>
    <w:p>
      <w:pPr>
        <w:spacing w:after="0" w:line="170" w:lineRule="exact"/>
        <w:rPr>
          <w:rFonts w:ascii="Times New Roman" w:cs="Times New Roman" w:eastAsia="Times New Roman" w:hAnsi="Times New Roman"/>
          <w:sz w:val="16"/>
          <w:szCs w:val="16"/>
          <w:color w:val="auto"/>
        </w:rPr>
      </w:pPr>
    </w:p>
    <w:p>
      <w:pPr>
        <w:ind w:left="724" w:hanging="151"/>
        <w:spacing w:after="0"/>
        <w:tabs>
          <w:tab w:leader="none" w:pos="724" w:val="left"/>
        </w:tabs>
        <w:numPr>
          <w:ilvl w:val="1"/>
          <w:numId w:val="2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Representations and Warranties of the Stockholders</w:t>
      </w:r>
      <w:r>
        <w:rPr>
          <w:rFonts w:ascii="Times New Roman" w:cs="Times New Roman" w:eastAsia="Times New Roman" w:hAnsi="Times New Roman"/>
          <w:sz w:val="15"/>
          <w:szCs w:val="15"/>
          <w:color w:val="auto"/>
        </w:rPr>
        <w:t>. Each Stockholder hereby represents and warrants (severally, and not jointly, as to itself only) to the Acquiror as</w:t>
      </w:r>
    </w:p>
    <w:p>
      <w:pPr>
        <w:spacing w:after="0" w:line="35" w:lineRule="exact"/>
        <w:rPr>
          <w:rFonts w:ascii="Times New Roman" w:cs="Times New Roman" w:eastAsia="Times New Roman" w:hAnsi="Times New Roman"/>
          <w:sz w:val="15"/>
          <w:szCs w:val="15"/>
          <w:color w:val="auto"/>
        </w:rPr>
      </w:pPr>
    </w:p>
    <w:p>
      <w:pPr>
        <w:ind w:left="4"/>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follows:</w:t>
      </w:r>
    </w:p>
    <w:p>
      <w:pPr>
        <w:spacing w:after="0" w:line="181" w:lineRule="exact"/>
        <w:rPr>
          <w:rFonts w:ascii="Times New Roman" w:cs="Times New Roman" w:eastAsia="Times New Roman" w:hAnsi="Times New Roman"/>
          <w:sz w:val="15"/>
          <w:szCs w:val="15"/>
          <w:color w:val="auto"/>
        </w:rPr>
      </w:pPr>
    </w:p>
    <w:p>
      <w:pPr>
        <w:jc w:val="both"/>
        <w:ind w:left="4" w:right="20" w:firstLine="1143"/>
        <w:spacing w:after="0" w:line="257" w:lineRule="auto"/>
        <w:tabs>
          <w:tab w:leader="none" w:pos="1374" w:val="left"/>
        </w:tabs>
        <w:numPr>
          <w:ilvl w:val="2"/>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Stockholder is the sole beneficial owner (within the meaning of Rule 13d-3 under the Exchange Act) of, and has good, valid and marketable title to or has a valid proxy to vote such Stockholder’s Covered Shares, free and clear of any Liens (other than as created by this Agreement or the organizational documents of the Company (including, for the purposes hereof, any agreements between or among stockholders of the Company). As of the date hereof, other than the Owned Shares set forth opposite such Stockholder’s name on Schedule 1, such Stockholder does not own beneficially or of record any shares of Company Common Stock or Company Preferred Stock (or any securities convertible into shares of Company Common Stock or Company Preferred Stock) or any interest therein.</w:t>
      </w:r>
    </w:p>
    <w:p>
      <w:pPr>
        <w:spacing w:after="0" w:line="35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253" w:name="page254"/>
    <w:bookmarkEnd w:id="253"/>
    <w:p>
      <w:pPr>
        <w:jc w:val="both"/>
        <w:ind w:left="4" w:firstLine="1143"/>
        <w:spacing w:after="0" w:line="271" w:lineRule="auto"/>
        <w:tabs>
          <w:tab w:leader="none" w:pos="1379" w:val="left"/>
        </w:tabs>
        <w:numPr>
          <w:ilvl w:val="1"/>
          <w:numId w:val="2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Stockholder, in each case except as provided in this Agreement, the Investment Agreements or the governing documents of the Company, (i) has full voting power, full power of disposition and full power to issue instructions with respect to the matters set forth herein whether by ownership or by proxy, in each case, with respect to such Stockholder’s Covered Shares, (ii) has not entered into any voting agreement or voting trust, and has no knowledge and is not aware of any such voting agreement or voting trust in effect with respect to any of such Stockholder’s Covered Shares that is inconsistent with such Stockholder’s obligations pursuant to this Agreement,</w:t>
      </w:r>
    </w:p>
    <w:p>
      <w:pPr>
        <w:spacing w:after="0" w:line="2" w:lineRule="exact"/>
        <w:rPr>
          <w:rFonts w:ascii="Times New Roman" w:cs="Times New Roman" w:eastAsia="Times New Roman" w:hAnsi="Times New Roman"/>
          <w:sz w:val="15"/>
          <w:szCs w:val="15"/>
          <w:color w:val="auto"/>
        </w:rPr>
      </w:pPr>
    </w:p>
    <w:p>
      <w:pPr>
        <w:jc w:val="both"/>
        <w:ind w:left="4" w:hanging="4"/>
        <w:spacing w:after="0" w:line="252" w:lineRule="auto"/>
        <w:tabs>
          <w:tab w:leader="none" w:pos="287" w:val="left"/>
        </w:tabs>
        <w:numPr>
          <w:ilvl w:val="0"/>
          <w:numId w:val="2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has not granted a proxy or power of attorney with respect to any of such Stockholder’s Covered Shares that is inconsistent with such Stockholder’s obligations pursuant to this Agreement, and has no knowledge and is not aware of any such proxy or power of attorney in effect, and (iv) has not entered into any agreement or undertaking that is otherwise inconsistent with, or would interfere with, or prohibit or prevent it from satisfying, its obligations pursuant to this Agreement, and has no knowledge and is not aware of any such agreement or undertaking.</w:t>
      </w:r>
    </w:p>
    <w:p>
      <w:pPr>
        <w:spacing w:after="0" w:line="166" w:lineRule="exact"/>
        <w:rPr>
          <w:rFonts w:ascii="Times New Roman" w:cs="Times New Roman" w:eastAsia="Times New Roman" w:hAnsi="Times New Roman"/>
          <w:sz w:val="16"/>
          <w:szCs w:val="16"/>
          <w:color w:val="auto"/>
        </w:rPr>
      </w:pPr>
    </w:p>
    <w:p>
      <w:pPr>
        <w:jc w:val="both"/>
        <w:ind w:left="4" w:firstLine="1143"/>
        <w:spacing w:after="0" w:line="253" w:lineRule="auto"/>
        <w:tabs>
          <w:tab w:leader="none" w:pos="1391" w:val="left"/>
        </w:tabs>
        <w:numPr>
          <w:ilvl w:val="1"/>
          <w:numId w:val="2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Stockholder affirms that (i) if the Stockholder is a natural person, he or she has all the requisite power and authority and has taken all action necessary in order to execute and deliver this Agreement, to perform his or her obligations hereunder and to consummate the transaction contemplated hereby, and (ii) if the Stockholder is not a natural person, (A) is a legal entity duly organized, validly existing and, to the extent such concept is applicable, in good standing under the Laws of the jurisdiction of its organization, and (B) has all requisite corporate or other power and authority and has taken all corporate or other action necessary in order to, execute, deliver and perform its obligations under this Agreement and to consummate the transactions contemplated hereby. This Agreement has been duly executed and delivered by such Stockholder and, subject to the due execution and delivery of this Agreement by each other Party hereto, constitutes a legally valid and binding agreement of such Stockholder enforceable against the Stockholder in accordance with the terms hereof (except as enforceability may be limited by bankruptcy Laws or other similar Laws affecting creditors’ rights and general principles of equity affecting the availability of specific performance and other equitable remedies).</w:t>
      </w:r>
    </w:p>
    <w:p>
      <w:pPr>
        <w:spacing w:after="0" w:line="169" w:lineRule="exact"/>
        <w:rPr>
          <w:rFonts w:ascii="Times New Roman" w:cs="Times New Roman" w:eastAsia="Times New Roman" w:hAnsi="Times New Roman"/>
          <w:sz w:val="16"/>
          <w:szCs w:val="16"/>
          <w:color w:val="auto"/>
        </w:rPr>
      </w:pPr>
    </w:p>
    <w:p>
      <w:pPr>
        <w:jc w:val="both"/>
        <w:ind w:left="4" w:right="20" w:firstLine="1143"/>
        <w:spacing w:after="0" w:line="259" w:lineRule="auto"/>
        <w:tabs>
          <w:tab w:leader="none" w:pos="1391" w:val="left"/>
        </w:tabs>
        <w:numPr>
          <w:ilvl w:val="1"/>
          <w:numId w:val="2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than the filings, notices and reports pursuant to, in compliance with or required to be made under the Exchange Act, no filings, notices, reports, consents, registrations, approvals, permits, waivers, expirations of waiting periods or authorizations are required to be obtained by such Stockholder from, or to be given by such Stockholder to, or be made by such Stockholder with, any Governmental Authority in connection with the execution, delivery and performance by such Stockholder of this Agreement, the consummation of the transactions contemplated hereby or the Mergers or the other transactions contemplated by the Merger Agreement.</w:t>
      </w:r>
    </w:p>
    <w:p>
      <w:pPr>
        <w:spacing w:after="0" w:line="35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254" w:name="page255"/>
    <w:bookmarkEnd w:id="254"/>
    <w:p>
      <w:pPr>
        <w:jc w:val="both"/>
        <w:ind w:firstLine="1143"/>
        <w:spacing w:after="0" w:line="252" w:lineRule="auto"/>
        <w:tabs>
          <w:tab w:leader="none" w:pos="1367" w:val="left"/>
        </w:tabs>
        <w:numPr>
          <w:ilvl w:val="0"/>
          <w:numId w:val="2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execution, delivery and performance of this Agreement by such Stockholder does not, and the consummation of the transactions contemplated hereby and the Mergers and the other transactions contemplated by the Merger Agreement will not, constitute or result in (i) a breach or violation of, or a default under, the governing documents of such Stockholder (if such Stockholder is not a natural person), (ii) with or without notice, lapse of time or both, a breach or violation of, a termination (or right of termination) of or a default under, the loss of any benefit under, the creation, modification or acceleration of any obligations under or the creation of a Lien on any of the properties, rights or assets of such Stockholder pursuant to any Contract binding upon such Stockholder or, assuming (solely with respect to performance of this Agreement and the transactions contemplated hereby) compliance with the matters referred to in </w:t>
      </w:r>
      <w:r>
        <w:rPr>
          <w:rFonts w:ascii="Times New Roman" w:cs="Times New Roman" w:eastAsia="Times New Roman" w:hAnsi="Times New Roman"/>
          <w:sz w:val="16"/>
          <w:szCs w:val="16"/>
          <w:u w:val="single" w:color="auto"/>
          <w:color w:val="auto"/>
        </w:rPr>
        <w:t>Section 6(d)</w:t>
      </w:r>
      <w:r>
        <w:rPr>
          <w:rFonts w:ascii="Times New Roman" w:cs="Times New Roman" w:eastAsia="Times New Roman" w:hAnsi="Times New Roman"/>
          <w:sz w:val="16"/>
          <w:szCs w:val="16"/>
          <w:color w:val="auto"/>
        </w:rPr>
        <w:t>, under any applicable Law to which such Stockholder is subject or (iii) any change in the rights or obligations of any party under any Contract legally binding upon such Stockholder, except, in the case of clause (ii) or (iii) directly above, for any such breach, violation, termination, default, creation, acceleration or change that would not, individually or in the aggregate, reasonably be expected to prevent or materially delay or impair such Stockholder’s ability to perform its obligations hereunder or to consummate the transactions contemplated hereby, the consummation of the Mergers or the other transactions contemplated by the Merger Agreement.</w:t>
      </w:r>
    </w:p>
    <w:p>
      <w:pPr>
        <w:spacing w:after="0" w:line="171"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79" w:val="left"/>
        </w:tabs>
        <w:numPr>
          <w:ilvl w:val="0"/>
          <w:numId w:val="2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date of this Agreement, there is no action, proceeding or investigation pending against such Stockholder or, to the knowledge of such Stockholder, threatened against such Stockholder that, in any manner, questions the beneficial or record ownership of the Stockholder’s Covered Shares or the validity of this Agreement, or challenges or seeks to prevent, enjoin or materially delay the performance by such Stockholder of its obligations under this Agreement.</w:t>
      </w:r>
    </w:p>
    <w:p>
      <w:pPr>
        <w:spacing w:after="0" w:line="155" w:lineRule="exact"/>
        <w:rPr>
          <w:rFonts w:ascii="Times New Roman" w:cs="Times New Roman" w:eastAsia="Times New Roman" w:hAnsi="Times New Roman"/>
          <w:sz w:val="16"/>
          <w:szCs w:val="16"/>
          <w:color w:val="auto"/>
        </w:rPr>
      </w:pPr>
    </w:p>
    <w:p>
      <w:pPr>
        <w:jc w:val="both"/>
        <w:ind w:firstLine="1143"/>
        <w:spacing w:after="0" w:line="255" w:lineRule="auto"/>
        <w:tabs>
          <w:tab w:leader="none" w:pos="1404" w:val="left"/>
        </w:tabs>
        <w:numPr>
          <w:ilvl w:val="0"/>
          <w:numId w:val="2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Stockholder is a sophisticated stockholder and has adequate information concerning the business and financial condition of Acquiror and the Company to make an informed decision regarding this Agreement and the other transactions contemplated by the Merger Agreement and has independently, based on such information as the Stockholder has deemed appropriate, made its own analysis and decision to enter into this Agreement. The Stockholder acknowledges that Acquiror and the Company have not made and do not make any representation or warranty, whether express or implied, of any kind or character except as expressly set forth in this Agreement. The Stockholder acknowledges receipt and review of a copy of the Merger Agreement and that the agreements contained herein with respect to the Covered Shares held by the Stockholder are irrevocable.</w:t>
      </w:r>
    </w:p>
    <w:p>
      <w:pPr>
        <w:spacing w:after="0" w:line="165" w:lineRule="exact"/>
        <w:rPr>
          <w:rFonts w:ascii="Times New Roman" w:cs="Times New Roman" w:eastAsia="Times New Roman" w:hAnsi="Times New Roman"/>
          <w:sz w:val="16"/>
          <w:szCs w:val="16"/>
          <w:color w:val="auto"/>
        </w:rPr>
      </w:pPr>
    </w:p>
    <w:p>
      <w:pPr>
        <w:ind w:firstLine="1143"/>
        <w:spacing w:after="0" w:line="280" w:lineRule="auto"/>
        <w:tabs>
          <w:tab w:leader="none" w:pos="1379" w:val="left"/>
        </w:tabs>
        <w:numPr>
          <w:ilvl w:val="0"/>
          <w:numId w:val="2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Stockholder understands and acknowledges that Acquiror is entering into the Merger Agreement in reliance upon such Stockholder’s execution and delivery of this Agreement and the representations, warranties, covenants and other agreements of such Stockholder contained herein.</w:t>
      </w:r>
    </w:p>
    <w:p>
      <w:pPr>
        <w:spacing w:after="0" w:line="144" w:lineRule="exact"/>
        <w:rPr>
          <w:rFonts w:ascii="Times New Roman" w:cs="Times New Roman" w:eastAsia="Times New Roman" w:hAnsi="Times New Roman"/>
          <w:sz w:val="16"/>
          <w:szCs w:val="16"/>
          <w:color w:val="auto"/>
        </w:rPr>
      </w:pPr>
    </w:p>
    <w:p>
      <w:pPr>
        <w:jc w:val="both"/>
        <w:ind w:firstLine="1143"/>
        <w:spacing w:after="0" w:line="259" w:lineRule="auto"/>
        <w:tabs>
          <w:tab w:leader="none" w:pos="1347" w:val="left"/>
        </w:tabs>
        <w:numPr>
          <w:ilvl w:val="0"/>
          <w:numId w:val="2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investment banker, broker, finder or other intermediary is entitled to any broker’s, finder’s, financial advisor’s or other similar fee or commission for which Acquiror or the Company is or could be liable in connection with the Merger Agreement or this Agreement or any of the respective transactions contemplated hereby or thereby, in each case based upon arrangements made by such Stockholder in his, her or its capacity as a stockholder or, to the knowledge of such Stockholder, on behalf of such Stockholder in his, her or its capacity as a stockholder.</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55" w:name="page256"/>
    <w:bookmarkEnd w:id="255"/>
    <w:p>
      <w:pPr>
        <w:ind w:right="20" w:firstLine="569"/>
        <w:spacing w:after="0" w:line="280" w:lineRule="auto"/>
        <w:tabs>
          <w:tab w:leader="none" w:pos="757" w:val="left"/>
        </w:tabs>
        <w:numPr>
          <w:ilvl w:val="0"/>
          <w:numId w:val="2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Certain Covenants of the Stockholders</w:t>
      </w:r>
      <w:r>
        <w:rPr>
          <w:rFonts w:ascii="Times New Roman" w:cs="Times New Roman" w:eastAsia="Times New Roman" w:hAnsi="Times New Roman"/>
          <w:sz w:val="16"/>
          <w:szCs w:val="16"/>
          <w:color w:val="auto"/>
        </w:rPr>
        <w:t>. Other than in accordance with the other terms of this Agreement, each Stockholder severally and not jointly, hereby covenants and agrees as follows:</w:t>
      </w:r>
    </w:p>
    <w:p>
      <w:pPr>
        <w:spacing w:after="0" w:line="144" w:lineRule="exact"/>
        <w:rPr>
          <w:rFonts w:ascii="Times New Roman" w:cs="Times New Roman" w:eastAsia="Times New Roman" w:hAnsi="Times New Roman"/>
          <w:sz w:val="16"/>
          <w:szCs w:val="16"/>
          <w:color w:val="auto"/>
        </w:rPr>
      </w:pPr>
    </w:p>
    <w:p>
      <w:pPr>
        <w:jc w:val="both"/>
        <w:ind w:right="20" w:firstLine="1143"/>
        <w:spacing w:after="0" w:line="253" w:lineRule="auto"/>
        <w:tabs>
          <w:tab w:leader="none" w:pos="1372" w:val="left"/>
        </w:tabs>
        <w:numPr>
          <w:ilvl w:val="1"/>
          <w:numId w:val="2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w:t>
      </w:r>
      <w:r>
        <w:rPr>
          <w:rFonts w:ascii="Times New Roman" w:cs="Times New Roman" w:eastAsia="Times New Roman" w:hAnsi="Times New Roman"/>
          <w:sz w:val="16"/>
          <w:szCs w:val="16"/>
          <w:u w:val="single" w:color="auto"/>
          <w:color w:val="auto"/>
        </w:rPr>
        <w:t>Section 8</w:t>
      </w:r>
      <w:r>
        <w:rPr>
          <w:rFonts w:ascii="Times New Roman" w:cs="Times New Roman" w:eastAsia="Times New Roman" w:hAnsi="Times New Roman"/>
          <w:sz w:val="16"/>
          <w:szCs w:val="16"/>
          <w:color w:val="auto"/>
        </w:rPr>
        <w:t xml:space="preserve"> hereof, prior to the Termination Date, the Stockholder shall not, directly or indirectly, (i) initiate, solicit or knowingly encourage or knowingly facilitate any inquiries or requests for information with respect to, or the making of, any inquiry regarding, or any proposal or offer that constitutes, or could reasonably be expected to result in or lead to, any Company Acquisition Proposal, (ii) engage in, continue or otherwise participate in any negotiations or discussions concerning, or provide access to its properties, books and records or any confidential information or data to, any Person relating to any proposal, offer, inquiry or request for information that constitutes, or could reasonably be expected to result in or lead to, any Company Acquisition Proposal, (iii) approve, endorse or recommend, or propose publicly to approve, endorse or recommend, any Company Acquisition Proposal or (iv) execute or enter into, any letter of intent, memorandum of understanding, agreement in principle, confidentiality agreement, merger agreement, acquisition agreement, exchange agreement, joint venture agreement, partnership agreement, option agreement or other similar agreement for or relating to any Company Acquisition Proposal.</w:t>
      </w:r>
    </w:p>
    <w:p>
      <w:pPr>
        <w:spacing w:after="0" w:line="169"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Notwithstanding anything in this Agreement to the contrary, (i) such Stockholder shall not be responsible for the actions of the Company or the Board of Directors of the Company (or any committee thereof), any subsidiary of the Company, or any officers, directors (in their capacity as such), employees and professional advisors of any of the foregoing (collectively, the “</w:t>
      </w:r>
      <w:r>
        <w:rPr>
          <w:rFonts w:ascii="Times New Roman" w:cs="Times New Roman" w:eastAsia="Times New Roman" w:hAnsi="Times New Roman"/>
          <w:sz w:val="16"/>
          <w:szCs w:val="16"/>
          <w:u w:val="single" w:color="auto"/>
          <w:color w:val="auto"/>
        </w:rPr>
        <w:t>Company Related Parties</w:t>
      </w:r>
      <w:r>
        <w:rPr>
          <w:rFonts w:ascii="Times New Roman" w:cs="Times New Roman" w:eastAsia="Times New Roman" w:hAnsi="Times New Roman"/>
          <w:sz w:val="16"/>
          <w:szCs w:val="16"/>
          <w:color w:val="auto"/>
        </w:rPr>
        <w:t xml:space="preserve">”), (ii) such Stockholder makes no representations or warranties with respect to the actions of any of the Company Related Parties, and (iii) any breach by the Company of its obligations under Section 6.06 of the Merger Agreement shall not be considered a breach of this </w:t>
      </w:r>
      <w:r>
        <w:rPr>
          <w:rFonts w:ascii="Times New Roman" w:cs="Times New Roman" w:eastAsia="Times New Roman" w:hAnsi="Times New Roman"/>
          <w:sz w:val="16"/>
          <w:szCs w:val="16"/>
          <w:u w:val="single" w:color="auto"/>
          <w:color w:val="auto"/>
        </w:rPr>
        <w:t>Section 7(a)</w:t>
      </w:r>
      <w:r>
        <w:rPr>
          <w:rFonts w:ascii="Times New Roman" w:cs="Times New Roman" w:eastAsia="Times New Roman" w:hAnsi="Times New Roman"/>
          <w:sz w:val="16"/>
          <w:szCs w:val="16"/>
          <w:color w:val="auto"/>
        </w:rPr>
        <w:t xml:space="preserve"> (it being understood that, for the avoidance of doubt, such Stockholder or his, her or its representatives (other than any such representative that is a Company Related Party) shall remain responsible for any breach by such Stockholder or his, her or its representatives of this </w:t>
      </w:r>
      <w:r>
        <w:rPr>
          <w:rFonts w:ascii="Times New Roman" w:cs="Times New Roman" w:eastAsia="Times New Roman" w:hAnsi="Times New Roman"/>
          <w:sz w:val="16"/>
          <w:szCs w:val="16"/>
          <w:u w:val="single" w:color="auto"/>
          <w:color w:val="auto"/>
        </w:rPr>
        <w:t>Section 7(a)</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jc w:val="both"/>
        <w:ind w:firstLine="1143"/>
        <w:spacing w:after="0" w:line="253" w:lineRule="auto"/>
        <w:tabs>
          <w:tab w:leader="none" w:pos="1398" w:val="left"/>
        </w:tabs>
        <w:numPr>
          <w:ilvl w:val="0"/>
          <w:numId w:val="2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Stockholder hereby irrevocably and unconditionally agrees, prior to the Termination Date, not to (except in each case pursuant to the Merger Agreement), (i) directly or indirectly, (A) Transfer, or (B) enter into any Contract or option with respect to the Transfer of, any of such Stockholder’s Covered Shares, or (ii) publicly announce any intention to effect any transaction specified in clause (A) or (B), or (iii) take any action that would make any representation or warranty of such Stockholder contained herein untrue or incorrect or have the effect of preventing or disabling such Stockholder from performing its obligations under this Agreement;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nothing herein shall prohibit a Transfer to an Affiliate of the Stockholder or to another Stockholder of the Company that becomes a party to this Agreement and bound by the terms and obligations hereof (a “</w:t>
      </w:r>
      <w:r>
        <w:rPr>
          <w:rFonts w:ascii="Times New Roman" w:cs="Times New Roman" w:eastAsia="Times New Roman" w:hAnsi="Times New Roman"/>
          <w:sz w:val="16"/>
          <w:szCs w:val="16"/>
          <w:u w:val="single" w:color="auto"/>
          <w:color w:val="auto"/>
        </w:rPr>
        <w:t>Permitted Transfer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xml:space="preserve">, that any Permitted Transfer shall be permitted only if, as a precondition to such Transfer, the transferee agrees in a writing, reasonably satisfactory in form and substance to Acquiror, to assume all of the obligations of the Stockholder under, and be bound by all of the terms of, this Agreement;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xml:space="preserve">, that any Transfer permitted under this </w:t>
      </w:r>
      <w:r>
        <w:rPr>
          <w:rFonts w:ascii="Times New Roman" w:cs="Times New Roman" w:eastAsia="Times New Roman" w:hAnsi="Times New Roman"/>
          <w:sz w:val="16"/>
          <w:szCs w:val="16"/>
          <w:u w:val="single" w:color="auto"/>
          <w:color w:val="auto"/>
        </w:rPr>
        <w:t>Section 7(b)</w:t>
      </w:r>
      <w:r>
        <w:rPr>
          <w:rFonts w:ascii="Times New Roman" w:cs="Times New Roman" w:eastAsia="Times New Roman" w:hAnsi="Times New Roman"/>
          <w:sz w:val="16"/>
          <w:szCs w:val="16"/>
          <w:color w:val="auto"/>
        </w:rPr>
        <w:t xml:space="preserve"> shall not relieve the Stockholder of its obligations under this Agreement. Any Transfer in violation of this </w:t>
      </w:r>
      <w:r>
        <w:rPr>
          <w:rFonts w:ascii="Times New Roman" w:cs="Times New Roman" w:eastAsia="Times New Roman" w:hAnsi="Times New Roman"/>
          <w:sz w:val="16"/>
          <w:szCs w:val="16"/>
          <w:u w:val="single" w:color="auto"/>
          <w:color w:val="auto"/>
        </w:rPr>
        <w:t>Section 7(b)</w:t>
      </w:r>
      <w:r>
        <w:rPr>
          <w:rFonts w:ascii="Times New Roman" w:cs="Times New Roman" w:eastAsia="Times New Roman" w:hAnsi="Times New Roman"/>
          <w:sz w:val="16"/>
          <w:szCs w:val="16"/>
          <w:color w:val="auto"/>
        </w:rPr>
        <w:t xml:space="preserve"> with respect to the Stockholder’s Covered Shares shall be null and void.</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56" w:name="page257"/>
    <w:bookmarkEnd w:id="256"/>
    <w:p>
      <w:pPr>
        <w:ind w:left="1140"/>
        <w:spacing w:after="0"/>
        <w:rPr>
          <w:sz w:val="20"/>
          <w:szCs w:val="20"/>
          <w:color w:val="auto"/>
        </w:rPr>
      </w:pPr>
      <w:r>
        <w:rPr>
          <w:rFonts w:ascii="Times New Roman" w:cs="Times New Roman" w:eastAsia="Times New Roman" w:hAnsi="Times New Roman"/>
          <w:sz w:val="16"/>
          <w:szCs w:val="16"/>
          <w:color w:val="auto"/>
        </w:rPr>
        <w:t>(c) Each Stockholder hereby authorizes the Company to maintain a copy of this Agreement at either the executive office or the registered office of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Company.</w:t>
      </w:r>
    </w:p>
    <w:p>
      <w:pPr>
        <w:spacing w:after="0" w:line="182" w:lineRule="exact"/>
        <w:rPr>
          <w:sz w:val="20"/>
          <w:szCs w:val="20"/>
          <w:color w:val="auto"/>
        </w:rPr>
      </w:pPr>
    </w:p>
    <w:p>
      <w:pPr>
        <w:jc w:val="both"/>
        <w:ind w:firstLine="569"/>
        <w:spacing w:after="0" w:line="253" w:lineRule="auto"/>
        <w:tabs>
          <w:tab w:leader="none" w:pos="733" w:val="left"/>
        </w:tabs>
        <w:numPr>
          <w:ilvl w:val="0"/>
          <w:numId w:val="2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Further Assurances</w:t>
      </w:r>
      <w:r>
        <w:rPr>
          <w:rFonts w:ascii="Times New Roman" w:cs="Times New Roman" w:eastAsia="Times New Roman" w:hAnsi="Times New Roman"/>
          <w:sz w:val="16"/>
          <w:szCs w:val="16"/>
          <w:color w:val="auto"/>
        </w:rPr>
        <w:t>. Hereafter until the Termination Date, at Acquiror’s request and without further consideration, each Stockholder shall execute and deliver such additional documents and take all such further action as may be reasonably necessary or reasonably requested to consummate the transactions contemplated by the Merger Agreement and the Ancillary Agreements. Each Stockholder further agrees not to commence or participate in, and to take all actions necessary to opt out of any class in any class action with respect to, any action or claim, derivative or otherwise, against Acquiror, Acquiror’s Affiliates, the Sponsor, the Company or any of their respective successors and assigns relating to the negotiation, execution or delivery of this Agreement, the Merger Agreement or the consummation of the transactions contemplated hereby and thereby and hereby waives its appraisal or dissenter’s right. Notwithstanding the foregoing, nothing herein shall be deemed to prohibit the Stockholders from enforcing the Stockholders’ rights under this Agreement and the other Agreements entered into by a Stockholder in connection herewith, including the Stockholder’s right to receive the consideration as provided in the Merger Agreement.</w:t>
      </w:r>
    </w:p>
    <w:p>
      <w:pPr>
        <w:spacing w:after="0" w:line="169" w:lineRule="exact"/>
        <w:rPr>
          <w:rFonts w:ascii="Times New Roman" w:cs="Times New Roman" w:eastAsia="Times New Roman" w:hAnsi="Times New Roman"/>
          <w:sz w:val="16"/>
          <w:szCs w:val="16"/>
          <w:color w:val="auto"/>
        </w:rPr>
      </w:pPr>
    </w:p>
    <w:p>
      <w:pPr>
        <w:jc w:val="both"/>
        <w:ind w:right="20" w:firstLine="569"/>
        <w:spacing w:after="0" w:line="265" w:lineRule="auto"/>
        <w:tabs>
          <w:tab w:leader="none" w:pos="745" w:val="left"/>
        </w:tabs>
        <w:numPr>
          <w:ilvl w:val="0"/>
          <w:numId w:val="2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Disclosure</w:t>
      </w:r>
      <w:r>
        <w:rPr>
          <w:rFonts w:ascii="Times New Roman" w:cs="Times New Roman" w:eastAsia="Times New Roman" w:hAnsi="Times New Roman"/>
          <w:sz w:val="16"/>
          <w:szCs w:val="16"/>
          <w:color w:val="auto"/>
        </w:rPr>
        <w:t>. Such Stockholder hereby authorizes the Company and Acquiror to publish and disclose in any announcement or disclosure required by the SEC (but only to the extent such disclosure is required under applicable Law) such Stockholder’s identity and ownership of the Covered Shares and the nature of such Stockholder’s obligations under this Agreement.</w:t>
      </w:r>
    </w:p>
    <w:p>
      <w:pPr>
        <w:spacing w:after="0" w:line="155" w:lineRule="exact"/>
        <w:rPr>
          <w:rFonts w:ascii="Times New Roman" w:cs="Times New Roman" w:eastAsia="Times New Roman" w:hAnsi="Times New Roman"/>
          <w:sz w:val="16"/>
          <w:szCs w:val="16"/>
          <w:color w:val="auto"/>
        </w:rPr>
      </w:pPr>
    </w:p>
    <w:p>
      <w:pPr>
        <w:jc w:val="both"/>
        <w:ind w:firstLine="569"/>
        <w:spacing w:after="0" w:line="255" w:lineRule="auto"/>
        <w:tabs>
          <w:tab w:leader="none" w:pos="824" w:val="left"/>
        </w:tabs>
        <w:numPr>
          <w:ilvl w:val="0"/>
          <w:numId w:val="2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Changes in Company Capital Stock</w:t>
      </w:r>
      <w:r>
        <w:rPr>
          <w:rFonts w:ascii="Times New Roman" w:cs="Times New Roman" w:eastAsia="Times New Roman" w:hAnsi="Times New Roman"/>
          <w:sz w:val="16"/>
          <w:szCs w:val="16"/>
          <w:color w:val="auto"/>
        </w:rPr>
        <w:t>. In the event (i) of a stock split, stock dividend or distribution, or any change in Company Common Stock or Company Preferred Stock by reason of any split-up, reverse stock split, recapitalization, combination, reclassification, exchange of shares or the like, (ii) the Stockholder purchases or otherwise acquires beneficial ownership of any Company Common Stock or Company Preferred Stock or (iii) the Stockholder acquires the right to vote or share in the voting of any Company Common Stock or Company Preferred Stock, the terms “Owned Shares” and “Covered Shares” shall be deemed to refer to and include such shares as well as all such stock dividends and distributions and any securities into which or for which any or all of such shares may be changed or exchanged or which are received in such transaction.</w:t>
      </w:r>
    </w:p>
    <w:p>
      <w:pPr>
        <w:spacing w:after="0" w:line="165" w:lineRule="exact"/>
        <w:rPr>
          <w:rFonts w:ascii="Times New Roman" w:cs="Times New Roman" w:eastAsia="Times New Roman" w:hAnsi="Times New Roman"/>
          <w:sz w:val="16"/>
          <w:szCs w:val="16"/>
          <w:color w:val="auto"/>
        </w:rPr>
      </w:pPr>
    </w:p>
    <w:p>
      <w:pPr>
        <w:ind w:right="20" w:firstLine="569"/>
        <w:spacing w:after="0" w:line="280" w:lineRule="auto"/>
        <w:tabs>
          <w:tab w:leader="none" w:pos="806" w:val="left"/>
        </w:tabs>
        <w:numPr>
          <w:ilvl w:val="0"/>
          <w:numId w:val="2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 and Modification</w:t>
      </w:r>
      <w:r>
        <w:rPr>
          <w:rFonts w:ascii="Times New Roman" w:cs="Times New Roman" w:eastAsia="Times New Roman" w:hAnsi="Times New Roman"/>
          <w:sz w:val="16"/>
          <w:szCs w:val="16"/>
          <w:color w:val="auto"/>
        </w:rPr>
        <w:t>. This Agreement may not be amended, modified or supplemented in any manner, whether by course of conduct or otherwise, except by an instrument in writing signed by Acquiror, the Company and the applicable Stockholder.</w:t>
      </w:r>
    </w:p>
    <w:p>
      <w:pPr>
        <w:spacing w:after="0" w:line="144" w:lineRule="exact"/>
        <w:rPr>
          <w:rFonts w:ascii="Times New Roman" w:cs="Times New Roman" w:eastAsia="Times New Roman" w:hAnsi="Times New Roman"/>
          <w:sz w:val="16"/>
          <w:szCs w:val="16"/>
          <w:color w:val="auto"/>
        </w:rPr>
      </w:pPr>
    </w:p>
    <w:p>
      <w:pPr>
        <w:jc w:val="both"/>
        <w:ind w:firstLine="569"/>
        <w:spacing w:after="0" w:line="259" w:lineRule="auto"/>
        <w:tabs>
          <w:tab w:leader="none" w:pos="812" w:val="left"/>
        </w:tabs>
        <w:numPr>
          <w:ilvl w:val="0"/>
          <w:numId w:val="2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Waiver</w:t>
      </w:r>
      <w:r>
        <w:rPr>
          <w:rFonts w:ascii="Times New Roman" w:cs="Times New Roman" w:eastAsia="Times New Roman" w:hAnsi="Times New Roman"/>
          <w:sz w:val="16"/>
          <w:szCs w:val="16"/>
          <w:color w:val="auto"/>
        </w:rPr>
        <w:t>. No failure or delay by any Party exercising any right, power or privilege hereunder shall operate as a waiver thereof nor shall any single or partial exercise thereof preclude any other or further exercise thereof or the exercise of any other right, power or privilege. The rights and remedies of the Parties hereto hereunder are cumulative and are not exclusive of any rights or remedies which they would otherwise have hereunder. Any agreement on the part of a Party hereto to any such waiver shall be valid only if set forth in a written instrument executed and delivered by such Party.</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57" w:name="page258"/>
    <w:bookmarkEnd w:id="257"/>
    <w:p>
      <w:pPr>
        <w:jc w:val="both"/>
        <w:ind w:firstLine="569"/>
        <w:spacing w:after="0" w:line="265" w:lineRule="auto"/>
        <w:tabs>
          <w:tab w:leader="none" w:pos="824" w:val="left"/>
        </w:tabs>
        <w:numPr>
          <w:ilvl w:val="0"/>
          <w:numId w:val="2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xml:space="preserve">. All notices and other communications hereunder shall be in writing and shall be deemed given if delivered personally, by email (with confirmation of receipt) or sent by a nationally recognized overnight courier service, such as Federal Express, to the Parties hereto at the following addresses (or at such other address for a Party as shall be specified by like notice made pursuant to this </w:t>
      </w:r>
      <w:r>
        <w:rPr>
          <w:rFonts w:ascii="Times New Roman" w:cs="Times New Roman" w:eastAsia="Times New Roman" w:hAnsi="Times New Roman"/>
          <w:sz w:val="16"/>
          <w:szCs w:val="16"/>
          <w:u w:val="single" w:color="auto"/>
          <w:color w:val="auto"/>
        </w:rPr>
        <w:t>Section 13</w:t>
      </w:r>
      <w:r>
        <w:rPr>
          <w:rFonts w:ascii="Times New Roman" w:cs="Times New Roman" w:eastAsia="Times New Roman" w:hAnsi="Times New Roman"/>
          <w:sz w:val="16"/>
          <w:szCs w:val="16"/>
          <w:color w:val="auto"/>
        </w:rPr>
        <w:t>):</w:t>
      </w:r>
    </w:p>
    <w:p>
      <w:pPr>
        <w:spacing w:after="0" w:line="155" w:lineRule="exact"/>
        <w:rPr>
          <w:sz w:val="20"/>
          <w:szCs w:val="20"/>
          <w:color w:val="auto"/>
        </w:rPr>
      </w:pPr>
    </w:p>
    <w:p>
      <w:pPr>
        <w:ind w:left="1720" w:right="20"/>
        <w:spacing w:after="0" w:line="280" w:lineRule="auto"/>
        <w:rPr>
          <w:sz w:val="20"/>
          <w:szCs w:val="20"/>
          <w:color w:val="auto"/>
        </w:rPr>
      </w:pPr>
      <w:r>
        <w:rPr>
          <w:rFonts w:ascii="Times New Roman" w:cs="Times New Roman" w:eastAsia="Times New Roman" w:hAnsi="Times New Roman"/>
          <w:sz w:val="16"/>
          <w:szCs w:val="16"/>
          <w:color w:val="auto"/>
        </w:rPr>
        <w:t>if to the Stockholder, to the address or email address set forth opposite such Stockholder’s name on Schedule 1, or in the absence of such address or email address being set forth on Schedule 1, the address (including email) set forth in the Company’s books and records.</w:t>
      </w:r>
    </w:p>
    <w:p>
      <w:pPr>
        <w:spacing w:after="0" w:line="14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if to the Company, to it at:</w:t>
      </w:r>
    </w:p>
    <w:p>
      <w:pPr>
        <w:spacing w:after="0" w:line="19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E La Carte, Inc.</w:t>
      </w:r>
    </w:p>
    <w:p>
      <w:pPr>
        <w:spacing w:after="0" w:line="2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985 Industrial Road</w:t>
      </w:r>
    </w:p>
    <w:p>
      <w:pPr>
        <w:spacing w:after="0" w:line="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San Carlos, CA 94070</w:t>
      </w:r>
    </w:p>
    <w:p>
      <w:pPr>
        <w:spacing w:after="0" w:line="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Attn: Rajat Suri and Ashish Gupta</w:t>
      </w:r>
    </w:p>
    <w:p>
      <w:pPr>
        <w:spacing w:after="0" w:line="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E-mail: raj@presto.com and ashish@presto.com</w:t>
      </w:r>
    </w:p>
    <w:p>
      <w:pPr>
        <w:spacing w:after="0" w:line="18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with a copy (which shall not constitute notice) to:</w:t>
      </w:r>
    </w:p>
    <w:p>
      <w:pPr>
        <w:spacing w:after="0" w:line="19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White &amp; Case LLP</w:t>
      </w:r>
    </w:p>
    <w:p>
      <w:pPr>
        <w:spacing w:after="0" w:line="2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1221 Avenue of the Americas</w:t>
      </w:r>
    </w:p>
    <w:p>
      <w:pPr>
        <w:spacing w:after="0" w:line="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New York, NY 10020-1095</w:t>
      </w:r>
    </w:p>
    <w:p>
      <w:pPr>
        <w:spacing w:after="0" w:line="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Attn: Colin Diamond</w:t>
      </w:r>
    </w:p>
    <w:p>
      <w:pPr>
        <w:spacing w:after="0" w:line="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E-mail: colin.diamond@whitecase.com</w:t>
      </w:r>
    </w:p>
    <w:p>
      <w:pPr>
        <w:spacing w:after="0" w:line="18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and</w:t>
      </w:r>
    </w:p>
    <w:p>
      <w:pPr>
        <w:spacing w:after="0" w:line="19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White &amp; Case LLP</w:t>
      </w:r>
    </w:p>
    <w:p>
      <w:pPr>
        <w:spacing w:after="0" w:line="2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3000 El Camino Real</w:t>
      </w:r>
    </w:p>
    <w:p>
      <w:pPr>
        <w:spacing w:after="0" w:line="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2 Palo Alto Square, Suite 900</w:t>
      </w:r>
    </w:p>
    <w:p>
      <w:pPr>
        <w:spacing w:after="0" w:line="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Palo Alto, California 94306-2109</w:t>
      </w:r>
    </w:p>
    <w:p>
      <w:pPr>
        <w:spacing w:after="0" w:line="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Attn: Tali Sealman</w:t>
      </w:r>
    </w:p>
    <w:p>
      <w:pPr>
        <w:spacing w:after="0" w:line="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E-mail: tali.sealman@whitecase.com</w:t>
      </w:r>
    </w:p>
    <w:p>
      <w:pPr>
        <w:spacing w:after="0" w:line="18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and</w:t>
      </w:r>
    </w:p>
    <w:p>
      <w:pPr>
        <w:spacing w:after="0" w:line="19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White &amp; Case LLP</w:t>
      </w:r>
    </w:p>
    <w:p>
      <w:pPr>
        <w:spacing w:after="0" w:line="2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609 Main Street Suite 2900</w:t>
      </w:r>
    </w:p>
    <w:p>
      <w:pPr>
        <w:spacing w:after="0" w:line="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Houston, Texas 77002</w:t>
      </w:r>
    </w:p>
    <w:p>
      <w:pPr>
        <w:spacing w:after="0" w:line="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Attn: Emery Choi and Laura Katherine Mann</w:t>
      </w:r>
    </w:p>
    <w:p>
      <w:pPr>
        <w:spacing w:after="0" w:line="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E-mail: emery.choi@whitecase.com;</w:t>
      </w:r>
    </w:p>
    <w:p>
      <w:pPr>
        <w:spacing w:after="0" w:line="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6"/>
          <w:szCs w:val="16"/>
          <w:color w:val="auto"/>
        </w:rPr>
        <w:t>laurakatherine.mann@whitecase.com</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58" w:name="page259"/>
    <w:bookmarkEnd w:id="258"/>
    <w:p>
      <w:pPr>
        <w:ind w:left="1720"/>
        <w:spacing w:after="0"/>
        <w:rPr>
          <w:sz w:val="20"/>
          <w:szCs w:val="20"/>
          <w:color w:val="auto"/>
        </w:rPr>
      </w:pPr>
      <w:r>
        <w:rPr>
          <w:rFonts w:ascii="Times New Roman" w:cs="Times New Roman" w:eastAsia="Times New Roman" w:hAnsi="Times New Roman"/>
          <w:sz w:val="16"/>
          <w:szCs w:val="16"/>
          <w:color w:val="auto"/>
        </w:rPr>
        <w:t>if to Acquiror, to it at:</w:t>
      </w:r>
    </w:p>
    <w:p>
      <w:pPr>
        <w:spacing w:after="0" w:line="19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Ventoux CCM Acquisition Corp.</w:t>
      </w:r>
    </w:p>
    <w:p>
      <w:pPr>
        <w:spacing w:after="0" w:line="2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1 East Putnam Avenue, Floor 4</w:t>
      </w:r>
    </w:p>
    <w:p>
      <w:pPr>
        <w:spacing w:after="0" w:line="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Greenwich, CT 06830</w:t>
      </w:r>
    </w:p>
    <w:p>
      <w:pPr>
        <w:spacing w:after="0" w:line="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Attn: Edward Scheetz</w:t>
      </w:r>
    </w:p>
    <w:p>
      <w:pPr>
        <w:spacing w:after="0" w:line="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E-mail: ed.scheetz@gmail.com</w:t>
      </w:r>
    </w:p>
    <w:p>
      <w:pPr>
        <w:spacing w:after="0" w:line="18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with a copy (which shall not constitute notice) to:</w:t>
      </w:r>
    </w:p>
    <w:p>
      <w:pPr>
        <w:spacing w:after="0" w:line="19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Woolery &amp; Co.</w:t>
      </w:r>
    </w:p>
    <w:p>
      <w:pPr>
        <w:spacing w:after="0" w:line="2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1 Pier 76</w:t>
      </w:r>
    </w:p>
    <w:p>
      <w:pPr>
        <w:spacing w:after="0" w:line="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408 12th Ave</w:t>
      </w:r>
    </w:p>
    <w:p>
      <w:pPr>
        <w:spacing w:after="0" w:line="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New York, NY 10018</w:t>
      </w:r>
    </w:p>
    <w:p>
      <w:pPr>
        <w:spacing w:after="0" w:line="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Attn: Mathew J. Saur</w:t>
      </w:r>
    </w:p>
    <w:p>
      <w:pPr>
        <w:spacing w:after="0" w:line="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E-mail: Mathew@wooleryco.com</w:t>
      </w:r>
    </w:p>
    <w:p>
      <w:pPr>
        <w:spacing w:after="0" w:line="18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and</w:t>
      </w:r>
    </w:p>
    <w:p>
      <w:pPr>
        <w:spacing w:after="0" w:line="19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Dentons US LLP</w:t>
      </w:r>
    </w:p>
    <w:p>
      <w:pPr>
        <w:spacing w:after="0" w:line="2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1221 Avenue of the Americas</w:t>
      </w:r>
    </w:p>
    <w:p>
      <w:pPr>
        <w:spacing w:after="0" w:line="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New York, NY 10020</w:t>
      </w:r>
    </w:p>
    <w:p>
      <w:pPr>
        <w:spacing w:after="0" w:line="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Attention: Ilan Katz and Brian Lee</w:t>
      </w:r>
    </w:p>
    <w:p>
      <w:pPr>
        <w:spacing w:after="0" w:line="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Email: ilan.katz@dentons.com and brian.lee@dentons.com</w:t>
      </w:r>
    </w:p>
    <w:p>
      <w:pPr>
        <w:spacing w:after="0" w:line="182" w:lineRule="exact"/>
        <w:rPr>
          <w:sz w:val="20"/>
          <w:szCs w:val="20"/>
          <w:color w:val="auto"/>
        </w:rPr>
      </w:pPr>
    </w:p>
    <w:p>
      <w:pPr>
        <w:jc w:val="both"/>
        <w:ind w:right="20" w:firstLine="569"/>
        <w:spacing w:after="0" w:line="259" w:lineRule="auto"/>
        <w:tabs>
          <w:tab w:leader="none" w:pos="812" w:val="left"/>
        </w:tabs>
        <w:numPr>
          <w:ilvl w:val="0"/>
          <w:numId w:val="2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Ownership Interest</w:t>
      </w:r>
      <w:r>
        <w:rPr>
          <w:rFonts w:ascii="Times New Roman" w:cs="Times New Roman" w:eastAsia="Times New Roman" w:hAnsi="Times New Roman"/>
          <w:sz w:val="16"/>
          <w:szCs w:val="16"/>
          <w:color w:val="auto"/>
        </w:rPr>
        <w:t>. Nothing contained in this Agreement shall be deemed to vest in Acquiror any direct or indirect ownership or incidence of ownership of or with respect to the Covered Shares of the Stockholder. During the term of this Agreement, all rights, ownership and economic benefits of and relating to the Covered Shares of the Stockholder shall remain vested in and belong to the Stockholder, and Acquiror shall have no authority to direct the Stockholder in the voting or disposition of any of the Stockholder’s Covered Shares, except as otherwise provided herein.</w:t>
      </w:r>
    </w:p>
    <w:p>
      <w:pPr>
        <w:spacing w:after="0" w:line="161" w:lineRule="exact"/>
        <w:rPr>
          <w:rFonts w:ascii="Times New Roman" w:cs="Times New Roman" w:eastAsia="Times New Roman" w:hAnsi="Times New Roman"/>
          <w:sz w:val="16"/>
          <w:szCs w:val="16"/>
          <w:color w:val="auto"/>
        </w:rPr>
      </w:pPr>
    </w:p>
    <w:p>
      <w:pPr>
        <w:jc w:val="both"/>
        <w:ind w:right="20" w:firstLine="569"/>
        <w:spacing w:after="0" w:line="265" w:lineRule="auto"/>
        <w:tabs>
          <w:tab w:leader="none" w:pos="824" w:val="left"/>
        </w:tabs>
        <w:numPr>
          <w:ilvl w:val="0"/>
          <w:numId w:val="2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Entire Agreement; Time of Effectiveness</w:t>
      </w:r>
      <w:r>
        <w:rPr>
          <w:rFonts w:ascii="Times New Roman" w:cs="Times New Roman" w:eastAsia="Times New Roman" w:hAnsi="Times New Roman"/>
          <w:sz w:val="16"/>
          <w:szCs w:val="16"/>
          <w:color w:val="auto"/>
        </w:rPr>
        <w:t>. This Agreement and the Merger Agreement constitute the entire agreement and supersede all prior agreements and understandings, both written and oral, between the parties hereto with respect to the subject matter hereof and thereof. This Agreement shall not be effective or binding upon the Stockholder until after such time as the Merger Agreement is executed and delivered by the Company and Acquiror.</w:t>
      </w:r>
    </w:p>
    <w:p>
      <w:pPr>
        <w:spacing w:after="0" w:line="155" w:lineRule="exact"/>
        <w:rPr>
          <w:rFonts w:ascii="Times New Roman" w:cs="Times New Roman" w:eastAsia="Times New Roman" w:hAnsi="Times New Roman"/>
          <w:sz w:val="16"/>
          <w:szCs w:val="16"/>
          <w:color w:val="auto"/>
        </w:rPr>
      </w:pPr>
    </w:p>
    <w:p>
      <w:pPr>
        <w:jc w:val="both"/>
        <w:ind w:firstLine="569"/>
        <w:spacing w:after="0" w:line="257" w:lineRule="auto"/>
        <w:tabs>
          <w:tab w:leader="none" w:pos="836" w:val="left"/>
        </w:tabs>
        <w:numPr>
          <w:ilvl w:val="0"/>
          <w:numId w:val="2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Third-Party Beneficiaries</w:t>
      </w:r>
      <w:r>
        <w:rPr>
          <w:rFonts w:ascii="Times New Roman" w:cs="Times New Roman" w:eastAsia="Times New Roman" w:hAnsi="Times New Roman"/>
          <w:sz w:val="16"/>
          <w:szCs w:val="16"/>
          <w:color w:val="auto"/>
        </w:rPr>
        <w:t>. The Stockholder hereby agrees that its representations, warranties and covenants set forth herein are solely for the benefit of Acquiror in accordance with and subject to the terms of this Agreement, and this Agreement is not intended to, and does not, confer upon any Person other than the parties hereto any rights or remedies hereunder, including the right to rely upon the representations and warranties set forth herein, and the parties hereto hereby further agree that this Agreement may only be enforced against, and any Action that may be based upon, arise out of or relate to this Agreement, or the negotiation, execution or performance of this Agreement may only be made against, the Persons expressly named as parties hereto.</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59" w:name="page260"/>
    <w:bookmarkEnd w:id="259"/>
    <w:p>
      <w:pPr>
        <w:jc w:val="both"/>
        <w:ind w:firstLine="569"/>
        <w:spacing w:after="0" w:line="253" w:lineRule="auto"/>
        <w:tabs>
          <w:tab w:leader="none" w:pos="824" w:val="left"/>
        </w:tabs>
        <w:numPr>
          <w:ilvl w:val="0"/>
          <w:numId w:val="2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 and Venue; Service of Process; Waiver of Jury Trial</w:t>
      </w:r>
      <w:r>
        <w:rPr>
          <w:rFonts w:ascii="Times New Roman" w:cs="Times New Roman" w:eastAsia="Times New Roman" w:hAnsi="Times New Roman"/>
          <w:sz w:val="16"/>
          <w:szCs w:val="16"/>
          <w:color w:val="auto"/>
        </w:rPr>
        <w:t xml:space="preserve">. Any Action based upon, arising out of or related to this Agreement, or the transactions contemplated hereby, shall be brought in the Court of Chancery of the State of Delaware or, if such court declines to exercise jurisdiction, the District Courts located in the State of Delaware, and each of the parties irrevocably submits to the exclusive jurisdiction of each such court in any such Action, waives any objection it may now or hereafter have to personal jurisdiction, venue or to convenience of forum, agrees that all claims in respect of the Action shall be heard and determined only in any such court, and agrees not to bring any Action arising out of or relating to this Agreement or the transactions contemplated hereby in any other court. Nothing herein contained shall be deemed to affect the right of any party to serve process in any manner permitted by Law, or to commence legal proceedings or otherwise proceed against any other party in any other jurisdiction, in each case, to enforce judgments obtained in any Action brought pursuant to this </w:t>
      </w:r>
      <w:r>
        <w:rPr>
          <w:rFonts w:ascii="Times New Roman" w:cs="Times New Roman" w:eastAsia="Times New Roman" w:hAnsi="Times New Roman"/>
          <w:sz w:val="16"/>
          <w:szCs w:val="16"/>
          <w:u w:val="single" w:color="auto"/>
          <w:color w:val="auto"/>
        </w:rPr>
        <w:t>Section 17</w:t>
      </w:r>
      <w:r>
        <w:rPr>
          <w:rFonts w:ascii="Times New Roman" w:cs="Times New Roman" w:eastAsia="Times New Roman" w:hAnsi="Times New Roman"/>
          <w:sz w:val="16"/>
          <w:szCs w:val="16"/>
          <w:color w:val="auto"/>
        </w:rPr>
        <w:t>. EACH OF THE PARTIES HERETO HEREBY IRREVOCABLY WAIVES ANY AND ALL RIGHT TO TRIAL BY JURY IN ANY ACTION BASED UPON, ARISING OUT OF OR RELATED TO THIS AGREEMENT OR THE TRANSACTIONS CONTEMPLATED HEREBY.</w:t>
      </w:r>
    </w:p>
    <w:p>
      <w:pPr>
        <w:spacing w:after="0" w:line="166" w:lineRule="exact"/>
        <w:rPr>
          <w:rFonts w:ascii="Times New Roman" w:cs="Times New Roman" w:eastAsia="Times New Roman" w:hAnsi="Times New Roman"/>
          <w:sz w:val="16"/>
          <w:szCs w:val="16"/>
          <w:color w:val="auto"/>
        </w:rPr>
      </w:pPr>
    </w:p>
    <w:p>
      <w:pPr>
        <w:jc w:val="both"/>
        <w:ind w:firstLine="569"/>
        <w:spacing w:after="0" w:line="257" w:lineRule="auto"/>
        <w:tabs>
          <w:tab w:leader="none" w:pos="812" w:val="left"/>
        </w:tabs>
        <w:numPr>
          <w:ilvl w:val="0"/>
          <w:numId w:val="2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Assignment; Successors</w:t>
      </w:r>
      <w:r>
        <w:rPr>
          <w:rFonts w:ascii="Times New Roman" w:cs="Times New Roman" w:eastAsia="Times New Roman" w:hAnsi="Times New Roman"/>
          <w:sz w:val="16"/>
          <w:szCs w:val="16"/>
          <w:color w:val="auto"/>
        </w:rPr>
        <w:t>. Neither this Agreement nor any of the rights, interests or obligations hereunder shall (a) be assigned by any of the Stockholders in whole or in part (whether by operation of Law or otherwise) without the prior written consent of Acquiror and the Company or (b) be assigned by Acquiror or the Company in whole or in part (whether by operation of law or otherwise) without the prior written consent of (i) the Company or Acquiror, respectively, and (ii) the applicable Stockholder. Any such assignment without such consent shall be null and void. This Agreement shall be binding upon, inure to the benefit of and be enforceable by the parties hereto and their respective successors and permitted assigns.</w:t>
      </w:r>
    </w:p>
    <w:p>
      <w:pPr>
        <w:spacing w:after="0" w:line="162" w:lineRule="exact"/>
        <w:rPr>
          <w:rFonts w:ascii="Times New Roman" w:cs="Times New Roman" w:eastAsia="Times New Roman" w:hAnsi="Times New Roman"/>
          <w:sz w:val="16"/>
          <w:szCs w:val="16"/>
          <w:color w:val="auto"/>
        </w:rPr>
      </w:pPr>
    </w:p>
    <w:p>
      <w:pPr>
        <w:jc w:val="both"/>
        <w:ind w:right="20" w:firstLine="569"/>
        <w:spacing w:after="0" w:line="254" w:lineRule="auto"/>
        <w:tabs>
          <w:tab w:leader="none" w:pos="824" w:val="left"/>
        </w:tabs>
        <w:numPr>
          <w:ilvl w:val="0"/>
          <w:numId w:val="2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Enforcement</w:t>
      </w:r>
      <w:r>
        <w:rPr>
          <w:rFonts w:ascii="Times New Roman" w:cs="Times New Roman" w:eastAsia="Times New Roman" w:hAnsi="Times New Roman"/>
          <w:sz w:val="16"/>
          <w:szCs w:val="16"/>
          <w:color w:val="auto"/>
        </w:rPr>
        <w:t>. The rights and remedies of the parties shall be cumulative with and not exclusive of any other remedy conferred hereby. The parties agree that irreparable damage would occur and that the parties would not have any adequate remedy at law in the event that any of the provisions of this Agreement were not performed in accordance with their specific terms or were otherwise breached. It is accordingly agreed that the parties shall be entitled to an injunction or injunctions to prevent breaches or threatened breaches of this Agreement and to enforce specifically the terms and provisions of this Agreement, including each Stockholder’s obligations to vote its Covered Shares as provided in this Agreement, in the Court of Chancery of the State of Delaware or, if under applicable law exclusive jurisdiction over such matter is vested in the federal courts, any state or federal court located in the State of Delaware, without proof of actual damages or otherwise (and each Party hereby waives any requirement for the securing or posting of any bond in connection with such remedy), this being in addition to any other remedy to which they are entitled at law or in equity.</w:t>
      </w:r>
    </w:p>
    <w:p>
      <w:pPr>
        <w:spacing w:after="0" w:line="166" w:lineRule="exact"/>
        <w:rPr>
          <w:rFonts w:ascii="Times New Roman" w:cs="Times New Roman" w:eastAsia="Times New Roman" w:hAnsi="Times New Roman"/>
          <w:sz w:val="16"/>
          <w:szCs w:val="16"/>
          <w:color w:val="auto"/>
        </w:rPr>
      </w:pPr>
    </w:p>
    <w:p>
      <w:pPr>
        <w:jc w:val="both"/>
        <w:ind w:right="20" w:firstLine="569"/>
        <w:spacing w:after="0" w:line="257" w:lineRule="auto"/>
        <w:tabs>
          <w:tab w:leader="none" w:pos="812" w:val="left"/>
        </w:tabs>
        <w:numPr>
          <w:ilvl w:val="0"/>
          <w:numId w:val="2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If any term or other provision of this Agreement is held by a court of competent jurisdiction or other authority to be invalid, void, unenforceable or against its regulatory policy, the remainder of the terms and provisions of this Agreement shall remain in full force and effect and shall in no way be affected, impaired or invalidated, so long as the economic and legal substance of the transactions contemplated hereby, taken as a whole, are not affected in a manner materially adverse to any Party hereto. Upon such a determination, the parties hereto shall negotiate in good faith to modify this Agreement so as to effect the original intent of the parties hereto as closely as possible in an acceptable manner in order that the transactions contemplated hereby be consummated as originally contemplated to the fullest extent possible.</w:t>
      </w:r>
    </w:p>
    <w:p>
      <w:pPr>
        <w:spacing w:after="0" w:line="162" w:lineRule="exact"/>
        <w:rPr>
          <w:rFonts w:ascii="Times New Roman" w:cs="Times New Roman" w:eastAsia="Times New Roman" w:hAnsi="Times New Roman"/>
          <w:sz w:val="16"/>
          <w:szCs w:val="16"/>
          <w:color w:val="auto"/>
        </w:rPr>
      </w:pPr>
    </w:p>
    <w:p>
      <w:pPr>
        <w:jc w:val="both"/>
        <w:ind w:firstLine="569"/>
        <w:spacing w:after="0" w:line="265" w:lineRule="auto"/>
        <w:tabs>
          <w:tab w:leader="none" w:pos="812" w:val="left"/>
        </w:tabs>
        <w:numPr>
          <w:ilvl w:val="0"/>
          <w:numId w:val="2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This Agreement may be executed in one or more counterparts, all of which shall be considered one and the same agreement, it being understood that each Party need not sign the same counterpart. This Agreement shall become effective when each Party shall have received a counterpart hereof signed by all of the other parties. Signatures delivered electronically or by facsimile shall be deemed to be original signatures.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60" w:name="page261"/>
    <w:bookmarkEnd w:id="260"/>
    <w:p>
      <w:pPr>
        <w:jc w:val="both"/>
        <w:ind w:firstLine="569"/>
        <w:spacing w:after="0" w:line="252" w:lineRule="auto"/>
        <w:tabs>
          <w:tab w:leader="none" w:pos="812" w:val="left"/>
        </w:tabs>
        <w:numPr>
          <w:ilvl w:val="0"/>
          <w:numId w:val="2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Interpretation and Construction</w:t>
      </w:r>
      <w:r>
        <w:rPr>
          <w:rFonts w:ascii="Times New Roman" w:cs="Times New Roman" w:eastAsia="Times New Roman" w:hAnsi="Times New Roman"/>
          <w:sz w:val="16"/>
          <w:szCs w:val="16"/>
          <w:color w:val="auto"/>
        </w:rPr>
        <w:t>. The words “hereof,” “herein” and “hereunder” and words of like import used in this Agreement shall refer to this Agreement as a whole and not to any particular provision of this Agreement. The descriptive headings used herein are inserted for convenience of reference only and are not intended to be part of or to affect the meaning or interpretation of this Agreement. References to Sections are to Sections of this Agreement unless otherwise specified. Any singular term in this Agreement shall be deemed to include the plural, and any plural term the singular. The definitions contained in this Agreement are applicable to the masculine as well as to the feminine and neuter genders of such term.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statute shall be deemed to refer to such statute and to any rules or regulations promulgated thereunder. References to any person include the successors and permitted assigns of that person. References from or through any date mean, unless otherwise specified, from and including such date or through and including such date, respectively. In the event an ambiguity or question of intent or interpretation arises, this Agreement will be construed as if drafted jointly by the Parties, and no presumption or burden of proof will arise favoring or disfavoring any Party by virtue of the authorship of any of the provisions of this Agreement.</w:t>
      </w:r>
    </w:p>
    <w:p>
      <w:pPr>
        <w:spacing w:after="0" w:line="169" w:lineRule="exact"/>
        <w:rPr>
          <w:rFonts w:ascii="Times New Roman" w:cs="Times New Roman" w:eastAsia="Times New Roman" w:hAnsi="Times New Roman"/>
          <w:sz w:val="16"/>
          <w:szCs w:val="16"/>
          <w:color w:val="auto"/>
        </w:rPr>
      </w:pPr>
    </w:p>
    <w:p>
      <w:pPr>
        <w:jc w:val="both"/>
        <w:ind w:firstLine="569"/>
        <w:spacing w:after="0" w:line="254" w:lineRule="auto"/>
        <w:tabs>
          <w:tab w:leader="none" w:pos="824" w:val="left"/>
        </w:tabs>
        <w:numPr>
          <w:ilvl w:val="0"/>
          <w:numId w:val="2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Capacity as a Stockholder or Proxy holder</w:t>
      </w:r>
      <w:r>
        <w:rPr>
          <w:rFonts w:ascii="Times New Roman" w:cs="Times New Roman" w:eastAsia="Times New Roman" w:hAnsi="Times New Roman"/>
          <w:sz w:val="16"/>
          <w:szCs w:val="16"/>
          <w:color w:val="auto"/>
        </w:rPr>
        <w:t>. Notwithstanding anything herein to the contrary, the Stockholder or proxy holder signs this Agreement solely in the Stockholder’s or Proxy holder’s capacity as a stockholder or proxy holder of the Company, and not in any other capacity and this Agreement shall not limit, prevent or otherwise affect the actions of the Stockholder, proxy holder or any Affiliate, employee or designee of the Stockholder or proxyholder, or any of their respective Affiliates in his or her capacity, if applicable, as an officer or director of the Company (or any Subsidiary of the Company) or any other Person, including in the exercise of his or her fiduciary duties as a director or officer of the Company or any Subsidiary of the Company. No Stockholder shall be liable or responsible for any action undertaken by or any breach, default, or violation of any representation, warranty, covenant or agreement by any other Stockholder that is also a Party hereto or the Company and each Stockholder shall solely be required to perform its obligations hereunder in its individual capacity.</w:t>
      </w:r>
    </w:p>
    <w:p>
      <w:pPr>
        <w:spacing w:after="0" w:line="166" w:lineRule="exact"/>
        <w:rPr>
          <w:rFonts w:ascii="Times New Roman" w:cs="Times New Roman" w:eastAsia="Times New Roman" w:hAnsi="Times New Roman"/>
          <w:sz w:val="16"/>
          <w:szCs w:val="16"/>
          <w:color w:val="auto"/>
        </w:rPr>
      </w:pPr>
    </w:p>
    <w:p>
      <w:pPr>
        <w:jc w:val="both"/>
        <w:ind w:right="20" w:firstLine="569"/>
        <w:spacing w:after="0" w:line="265" w:lineRule="auto"/>
        <w:tabs>
          <w:tab w:leader="none" w:pos="824" w:val="left"/>
        </w:tabs>
        <w:numPr>
          <w:ilvl w:val="0"/>
          <w:numId w:val="2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Affiliate Agreements</w:t>
      </w:r>
      <w:r>
        <w:rPr>
          <w:rFonts w:ascii="Times New Roman" w:cs="Times New Roman" w:eastAsia="Times New Roman" w:hAnsi="Times New Roman"/>
          <w:sz w:val="16"/>
          <w:szCs w:val="16"/>
          <w:color w:val="auto"/>
        </w:rPr>
        <w:t>. The Stockholder irrevocably and unconditionally hereby agrees and consents to the termination of all affiliate arrangements indicated for termination as set forth in Schedule 2 hereto, to which the Stockholder is party, effective as of the Effective Time without any liability or obligation to the Company, the Company’s Subsidiaries or Acquiror.</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remainder of this page is intentionally left blank.]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61" w:name="page262"/>
    <w:bookmarkEnd w:id="261"/>
    <w:p>
      <w:pPr>
        <w:ind w:right="20" w:firstLine="574"/>
        <w:spacing w:after="0" w:line="280" w:lineRule="auto"/>
        <w:rPr>
          <w:sz w:val="20"/>
          <w:szCs w:val="20"/>
          <w:color w:val="auto"/>
        </w:rPr>
      </w:pPr>
      <w:r>
        <w:rPr>
          <w:rFonts w:ascii="Times New Roman" w:cs="Times New Roman" w:eastAsia="Times New Roman" w:hAnsi="Times New Roman"/>
          <w:sz w:val="16"/>
          <w:szCs w:val="16"/>
          <w:color w:val="auto"/>
        </w:rPr>
        <w:t>IN WITNESS WHEREOF, the parties hereto have caused this Support Agreement to be executed (where applicable, by their respective officers or other authorized Persons thereunto duly authorized) as of the date first written above.</w:t>
      </w:r>
    </w:p>
    <w:p>
      <w:pPr>
        <w:spacing w:after="0" w:line="14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VENTOUX CCM ACQUISITION CORP.</w:t>
      </w:r>
    </w:p>
    <w:p>
      <w:pPr>
        <w:spacing w:after="0" w:line="200" w:lineRule="exact"/>
        <w:rPr>
          <w:sz w:val="20"/>
          <w:szCs w:val="20"/>
          <w:color w:val="auto"/>
        </w:rPr>
      </w:pPr>
    </w:p>
    <w:tbl>
      <w:tblPr>
        <w:tblLayout w:type="fixed"/>
        <w:tblInd w:w="6760" w:type="dxa"/>
        <w:tblCellMar>
          <w:top w:w="0" w:type="dxa"/>
          <w:left w:w="0" w:type="dxa"/>
          <w:bottom w:w="0" w:type="dxa"/>
          <w:right w:w="0" w:type="dxa"/>
        </w:tblCellMar>
      </w:tblPr>
      <w:tr>
        <w:trPr>
          <w:trHeight w:val="212"/>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Edward Scheetz</w:t>
            </w:r>
          </w:p>
        </w:tc>
      </w:tr>
      <w:tr>
        <w:trPr>
          <w:trHeight w:val="175"/>
        </w:trPr>
        <w:tc>
          <w:tcPr>
            <w:tcW w:w="5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Name:</w:t>
            </w:r>
          </w:p>
        </w:tc>
        <w:tc>
          <w:tcPr>
            <w:tcW w:w="39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Edward Scheetz</w:t>
            </w:r>
          </w:p>
        </w:tc>
      </w:tr>
      <w:tr>
        <w:trPr>
          <w:trHeight w:val="208"/>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w:t>
            </w:r>
          </w:p>
        </w:tc>
      </w:tr>
      <w:tr>
        <w:trPr>
          <w:trHeight w:val="382"/>
        </w:trPr>
        <w:tc>
          <w:tcPr>
            <w:tcW w:w="4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 LA CARTE, INC.</w:t>
            </w:r>
          </w:p>
        </w:tc>
      </w:tr>
      <w:tr>
        <w:trPr>
          <w:trHeight w:val="386"/>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Rajat Suri</w:t>
            </w:r>
          </w:p>
        </w:tc>
      </w:tr>
      <w:tr>
        <w:trPr>
          <w:trHeight w:val="175"/>
        </w:trPr>
        <w:tc>
          <w:tcPr>
            <w:tcW w:w="5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Name:</w:t>
            </w:r>
          </w:p>
        </w:tc>
        <w:tc>
          <w:tcPr>
            <w:tcW w:w="39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Rajat Suri</w:t>
            </w:r>
          </w:p>
        </w:tc>
      </w:tr>
      <w:tr>
        <w:trPr>
          <w:trHeight w:val="208"/>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w:t>
            </w:r>
          </w:p>
        </w:tc>
      </w:tr>
    </w:tbl>
    <w:p>
      <w:pPr>
        <w:spacing w:after="0" w:line="1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[Signature Page to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394335</wp:posOffset>
            </wp:positionV>
            <wp:extent cx="7148195" cy="1524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62" w:name="page263"/>
    <w:bookmarkEnd w:id="262"/>
    <w:p>
      <w:pPr>
        <w:ind w:left="5640"/>
        <w:spacing w:after="0"/>
        <w:rPr>
          <w:sz w:val="20"/>
          <w:szCs w:val="20"/>
          <w:color w:val="auto"/>
        </w:rPr>
      </w:pPr>
      <w:r>
        <w:rPr>
          <w:rFonts w:ascii="Times New Roman" w:cs="Times New Roman" w:eastAsia="Times New Roman" w:hAnsi="Times New Roman"/>
          <w:sz w:val="16"/>
          <w:szCs w:val="16"/>
          <w:b w:val="1"/>
          <w:bCs w:val="1"/>
          <w:u w:val="single" w:color="auto"/>
          <w:color w:val="auto"/>
        </w:rPr>
        <w:t>STOCKHOLDERS</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b w:val="1"/>
          <w:bCs w:val="1"/>
          <w:color w:val="auto"/>
        </w:rPr>
        <w:t>RAJAT SURI</w:t>
      </w:r>
    </w:p>
    <w:p>
      <w:pPr>
        <w:spacing w:after="0" w:line="200" w:lineRule="exact"/>
        <w:rPr>
          <w:sz w:val="20"/>
          <w:szCs w:val="20"/>
          <w:color w:val="auto"/>
        </w:rPr>
      </w:pPr>
    </w:p>
    <w:tbl>
      <w:tblPr>
        <w:tblLayout w:type="fixed"/>
        <w:tblInd w:w="5640" w:type="dxa"/>
        <w:tblCellMar>
          <w:top w:w="0" w:type="dxa"/>
          <w:left w:w="0" w:type="dxa"/>
          <w:bottom w:w="0" w:type="dxa"/>
          <w:right w:w="0" w:type="dxa"/>
        </w:tblCellMar>
      </w:tblPr>
      <w:tr>
        <w:trPr>
          <w:trHeight w:val="212"/>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Rajat Suri</w:t>
            </w:r>
          </w:p>
        </w:tc>
      </w:tr>
      <w:tr>
        <w:trPr>
          <w:trHeight w:val="175"/>
        </w:trPr>
        <w:tc>
          <w:tcPr>
            <w:tcW w:w="5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Name:</w:t>
            </w:r>
          </w:p>
        </w:tc>
        <w:tc>
          <w:tcPr>
            <w:tcW w:w="39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Rajat Suri</w:t>
            </w:r>
          </w:p>
        </w:tc>
      </w:tr>
      <w:tr>
        <w:trPr>
          <w:trHeight w:val="208"/>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w:t>
            </w:r>
          </w:p>
        </w:tc>
      </w:tr>
    </w:tbl>
    <w:p>
      <w:pPr>
        <w:spacing w:after="0" w:line="17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b w:val="1"/>
          <w:bCs w:val="1"/>
          <w:color w:val="auto"/>
        </w:rPr>
        <w:t>ROMULUS CAPITAL III, L.P.</w:t>
      </w:r>
    </w:p>
    <w:p>
      <w:pPr>
        <w:spacing w:after="0" w:line="200"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15240</wp:posOffset>
            </wp:positionV>
            <wp:extent cx="2496820" cy="1524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1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6"/>
          <w:szCs w:val="16"/>
          <w:color w:val="auto"/>
        </w:rPr>
        <w:t>Name:</w:t>
        <w:tab/>
        <w:t>Krishna Gupta</w:t>
      </w:r>
    </w:p>
    <w:p>
      <w:pPr>
        <w:spacing w:after="0" w:line="24"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6"/>
          <w:szCs w:val="16"/>
          <w:color w:val="auto"/>
        </w:rPr>
        <w:t>Title:</w:t>
        <w:tab/>
        <w:t>Authorized Officer</w:t>
      </w:r>
    </w:p>
    <w:p>
      <w:pPr>
        <w:spacing w:after="0" w:line="18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b w:val="1"/>
          <w:bCs w:val="1"/>
          <w:color w:val="auto"/>
        </w:rPr>
        <w:t>ROMULUS CAPITAL II, L.P.</w:t>
      </w:r>
    </w:p>
    <w:p>
      <w:pPr>
        <w:spacing w:after="0" w:line="200"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15240</wp:posOffset>
            </wp:positionV>
            <wp:extent cx="2496820" cy="152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1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6"/>
          <w:szCs w:val="16"/>
          <w:color w:val="auto"/>
        </w:rPr>
        <w:t>Name:</w:t>
        <w:tab/>
        <w:t>Krishna Gupta</w:t>
      </w:r>
    </w:p>
    <w:p>
      <w:pPr>
        <w:spacing w:after="0" w:line="24"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6"/>
          <w:szCs w:val="16"/>
          <w:color w:val="auto"/>
        </w:rPr>
        <w:t>Title:</w:t>
        <w:tab/>
        <w:t>Authorized Officer</w:t>
      </w:r>
    </w:p>
    <w:p>
      <w:pPr>
        <w:spacing w:after="0" w:line="18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b w:val="1"/>
          <w:bCs w:val="1"/>
          <w:color w:val="auto"/>
        </w:rPr>
        <w:t>KKG ENTERPRISES LLC</w:t>
      </w:r>
    </w:p>
    <w:p>
      <w:pPr>
        <w:spacing w:after="0" w:line="200"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15240</wp:posOffset>
            </wp:positionV>
            <wp:extent cx="2496820" cy="152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1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6"/>
          <w:szCs w:val="16"/>
          <w:color w:val="auto"/>
        </w:rPr>
        <w:t>Name:</w:t>
        <w:tab/>
        <w:t>Krishna Gupta</w:t>
      </w:r>
    </w:p>
    <w:p>
      <w:pPr>
        <w:spacing w:after="0" w:line="24"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6"/>
          <w:szCs w:val="16"/>
          <w:color w:val="auto"/>
        </w:rPr>
        <w:t>Title:</w:t>
        <w:tab/>
        <w:t>Authorized Officer</w:t>
      </w:r>
    </w:p>
    <w:p>
      <w:pPr>
        <w:spacing w:after="0" w:line="18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b w:val="1"/>
          <w:bCs w:val="1"/>
          <w:color w:val="auto"/>
        </w:rPr>
        <w:t>ROMULUS CAPITAL I, L.P.</w:t>
      </w:r>
    </w:p>
    <w:p>
      <w:pPr>
        <w:spacing w:after="0" w:line="200"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15240</wp:posOffset>
            </wp:positionV>
            <wp:extent cx="2496820" cy="1524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1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6"/>
          <w:szCs w:val="16"/>
          <w:color w:val="auto"/>
        </w:rPr>
        <w:t>Name:</w:t>
        <w:tab/>
        <w:t>Krishna Gupta</w:t>
      </w:r>
    </w:p>
    <w:p>
      <w:pPr>
        <w:spacing w:after="0" w:line="24"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6"/>
          <w:szCs w:val="16"/>
          <w:color w:val="auto"/>
        </w:rPr>
        <w:t>Title:</w:t>
        <w:tab/>
        <w:t>Authorized Officer</w:t>
      </w:r>
    </w:p>
    <w:p>
      <w:pPr>
        <w:spacing w:after="0" w:line="18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6"/>
          <w:szCs w:val="16"/>
          <w:color w:val="auto"/>
        </w:rPr>
        <w:t>[Signature Page to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394335</wp:posOffset>
            </wp:positionV>
            <wp:extent cx="7148195" cy="1524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0"/>
          </w:cols>
          <w:pgMar w:left="1440" w:top="814" w:right="319" w:bottom="1440" w:gutter="0" w:footer="0" w:header="0"/>
        </w:sectPr>
      </w:pPr>
    </w:p>
    <w:bookmarkStart w:id="263" w:name="page264"/>
    <w:bookmarkEnd w:id="263"/>
    <w:p>
      <w:pPr>
        <w:ind w:left="5640"/>
        <w:spacing w:after="0"/>
        <w:rPr>
          <w:sz w:val="20"/>
          <w:szCs w:val="20"/>
          <w:color w:val="auto"/>
        </w:rPr>
      </w:pPr>
      <w:r>
        <w:rPr>
          <w:rFonts w:ascii="Times New Roman" w:cs="Times New Roman" w:eastAsia="Times New Roman" w:hAnsi="Times New Roman"/>
          <w:sz w:val="15"/>
          <w:szCs w:val="15"/>
          <w:b w:val="1"/>
          <w:bCs w:val="1"/>
          <w:color w:val="auto"/>
        </w:rPr>
        <w:t>ROMULUS ELC B3 SPECIAL OPPORTUNITY, L.P.</w:t>
      </w:r>
    </w:p>
    <w:p>
      <w:pPr>
        <w:spacing w:after="0" w:line="212"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15240</wp:posOffset>
            </wp:positionV>
            <wp:extent cx="2496820" cy="1524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1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6"/>
          <w:szCs w:val="16"/>
          <w:color w:val="auto"/>
        </w:rPr>
        <w:t>Name:</w:t>
        <w:tab/>
        <w:t>Krishna Gupta</w:t>
      </w:r>
    </w:p>
    <w:p>
      <w:pPr>
        <w:spacing w:after="0" w:line="24"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6"/>
          <w:szCs w:val="16"/>
          <w:color w:val="auto"/>
        </w:rPr>
        <w:t>Title:</w:t>
        <w:tab/>
        <w:t>Authorized Officer</w:t>
      </w:r>
    </w:p>
    <w:p>
      <w:pPr>
        <w:spacing w:after="0" w:line="18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b w:val="1"/>
          <w:bCs w:val="1"/>
          <w:color w:val="auto"/>
        </w:rPr>
        <w:t>ZAFFRAN SPECIAL OPPORTUNITIES LLC</w:t>
      </w:r>
    </w:p>
    <w:p>
      <w:pPr>
        <w:spacing w:after="0" w:line="200"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15240</wp:posOffset>
            </wp:positionV>
            <wp:extent cx="2496820" cy="1524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1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6"/>
          <w:szCs w:val="16"/>
          <w:color w:val="auto"/>
        </w:rPr>
        <w:t>Name:</w:t>
        <w:tab/>
        <w:t>Krishna Gupta</w:t>
      </w:r>
    </w:p>
    <w:p>
      <w:pPr>
        <w:spacing w:after="0" w:line="24"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6"/>
          <w:szCs w:val="16"/>
          <w:color w:val="auto"/>
        </w:rPr>
        <w:t>Title:</w:t>
        <w:tab/>
        <w:t>Authorized Officer</w:t>
      </w:r>
    </w:p>
    <w:p>
      <w:pPr>
        <w:spacing w:after="0" w:line="18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b w:val="1"/>
          <w:bCs w:val="1"/>
          <w:color w:val="auto"/>
        </w:rPr>
        <w:t>I2BF GLOBAL INVESTEMNTS LTD.</w:t>
      </w:r>
    </w:p>
    <w:p>
      <w:pPr>
        <w:spacing w:after="0" w:line="200"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Ilya Golubovich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15240</wp:posOffset>
            </wp:positionV>
            <wp:extent cx="2496820" cy="1524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1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Ilya Golubovich</w:t>
      </w:r>
    </w:p>
    <w:p>
      <w:pPr>
        <w:spacing w:after="0" w:line="24"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6"/>
          <w:szCs w:val="16"/>
          <w:color w:val="auto"/>
        </w:rPr>
        <w:t>Title:</w:t>
        <w:tab/>
        <w:t>Authorized Officer</w:t>
      </w:r>
    </w:p>
    <w:p>
      <w:pPr>
        <w:spacing w:after="0" w:line="18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[Signature Page to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401955</wp:posOffset>
            </wp:positionV>
            <wp:extent cx="7148195" cy="1524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320"/>
          </w:cols>
          <w:pgMar w:left="1440" w:top="814" w:right="1139" w:bottom="1440" w:gutter="0" w:footer="0" w:header="0"/>
        </w:sectPr>
      </w:pPr>
    </w:p>
    <w:bookmarkStart w:id="264" w:name="page265"/>
    <w:bookmarkEnd w:id="264"/>
    <w:tbl>
      <w:tblPr>
        <w:tblLayout w:type="fixed"/>
        <w:tblInd w:w="0" w:type="dxa"/>
        <w:tblCellMar>
          <w:top w:w="0" w:type="dxa"/>
          <w:left w:w="0" w:type="dxa"/>
          <w:bottom w:w="0" w:type="dxa"/>
          <w:right w:w="0" w:type="dxa"/>
        </w:tblCellMar>
      </w:tblPr>
      <w:tr>
        <w:trPr>
          <w:trHeight w:val="210"/>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Schedule 1</w:t>
            </w:r>
          </w:p>
        </w:tc>
        <w:tc>
          <w:tcPr>
            <w:tcW w:w="3720" w:type="dxa"/>
            <w:vAlign w:val="bottom"/>
          </w:tcPr>
          <w:p>
            <w:pPr>
              <w:spacing w:after="0"/>
              <w:rPr>
                <w:sz w:val="18"/>
                <w:szCs w:val="18"/>
                <w:color w:val="auto"/>
              </w:rPr>
            </w:pPr>
          </w:p>
        </w:tc>
      </w:tr>
      <w:tr>
        <w:trPr>
          <w:trHeight w:val="364"/>
        </w:trPr>
        <w:tc>
          <w:tcPr>
            <w:tcW w:w="3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Common Shares</w:t>
            </w:r>
          </w:p>
        </w:tc>
      </w:tr>
      <w:tr>
        <w:trPr>
          <w:trHeight w:val="214"/>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Stockholder Name</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Address / Email Address</w:t>
            </w:r>
          </w:p>
        </w:tc>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(Fully Diluted)</w:t>
            </w:r>
          </w:p>
        </w:tc>
      </w:tr>
      <w:tr>
        <w:trPr>
          <w:trHeight w:val="191"/>
        </w:trPr>
        <w:tc>
          <w:tcPr>
            <w:tcW w:w="3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Rajat Suri</w:t>
            </w:r>
          </w:p>
        </w:tc>
        <w:tc>
          <w:tcPr>
            <w:tcW w:w="12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raj@presto.com</w:t>
            </w:r>
          </w:p>
        </w:tc>
        <w:tc>
          <w:tcPr>
            <w:tcW w:w="100" w:type="dxa"/>
            <w:vAlign w:val="bottom"/>
            <w:tcBorders>
              <w:top w:val="single" w:sz="8" w:color="CCEEFF"/>
            </w:tcBorders>
            <w:shd w:val="clear" w:color="auto" w:fill="CCEEFF"/>
          </w:tcPr>
          <w:p>
            <w:pPr>
              <w:spacing w:after="0"/>
              <w:rPr>
                <w:sz w:val="16"/>
                <w:szCs w:val="16"/>
                <w:color w:val="auto"/>
              </w:rPr>
            </w:pPr>
          </w:p>
        </w:tc>
        <w:tc>
          <w:tcPr>
            <w:tcW w:w="3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9,288,829</w:t>
            </w:r>
          </w:p>
        </w:tc>
      </w:tr>
      <w:tr>
        <w:trPr>
          <w:trHeight w:val="191"/>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Romulus Capital III, L.P.</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kkg@romulusgroup.com</w:t>
            </w:r>
          </w:p>
        </w:tc>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9,639,866</w:t>
            </w:r>
          </w:p>
        </w:tc>
      </w:tr>
      <w:tr>
        <w:trPr>
          <w:trHeight w:val="191"/>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Romulus Capital II, L.P.</w:t>
            </w:r>
          </w:p>
        </w:tc>
        <w:tc>
          <w:tcPr>
            <w:tcW w:w="3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kkg@romulusgroup.com</w:t>
            </w:r>
          </w:p>
        </w:tc>
        <w:tc>
          <w:tcPr>
            <w:tcW w:w="3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4,388,880</w:t>
            </w:r>
          </w:p>
        </w:tc>
      </w:tr>
      <w:tr>
        <w:trPr>
          <w:trHeight w:val="191"/>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Romulus Capital I, L.P.</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kkg@romulusgroup.com</w:t>
            </w:r>
          </w:p>
        </w:tc>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291,183</w:t>
            </w:r>
          </w:p>
        </w:tc>
      </w:tr>
      <w:tr>
        <w:trPr>
          <w:trHeight w:val="191"/>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Romulus ELC B3 Special Opportunity, L.P.</w:t>
            </w:r>
          </w:p>
        </w:tc>
        <w:tc>
          <w:tcPr>
            <w:tcW w:w="3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kkg@romulusgroup.com</w:t>
            </w:r>
          </w:p>
        </w:tc>
        <w:tc>
          <w:tcPr>
            <w:tcW w:w="3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193,648</w:t>
            </w:r>
          </w:p>
        </w:tc>
      </w:tr>
      <w:tr>
        <w:trPr>
          <w:trHeight w:val="191"/>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Zaffran Special Opportunities LLC</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kkg@romulusgroup.com</w:t>
            </w:r>
          </w:p>
        </w:tc>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776,092</w:t>
            </w:r>
          </w:p>
        </w:tc>
      </w:tr>
      <w:tr>
        <w:trPr>
          <w:trHeight w:val="191"/>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KKG Enterprises LLC</w:t>
            </w:r>
          </w:p>
        </w:tc>
        <w:tc>
          <w:tcPr>
            <w:tcW w:w="3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kkg@romulusgroup.com</w:t>
            </w:r>
          </w:p>
        </w:tc>
        <w:tc>
          <w:tcPr>
            <w:tcW w:w="3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345,318</w:t>
            </w:r>
          </w:p>
        </w:tc>
      </w:tr>
      <w:tr>
        <w:trPr>
          <w:trHeight w:val="208"/>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I2BF Global Investments Ltd.</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ilyag@i2bf.com</w:t>
            </w:r>
          </w:p>
        </w:tc>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4,536,237</w:t>
            </w:r>
          </w:p>
        </w:tc>
      </w:tr>
      <w:tr>
        <w:trPr>
          <w:trHeight w:val="609"/>
        </w:trPr>
        <w:tc>
          <w:tcPr>
            <w:tcW w:w="3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14" w:right="319" w:bottom="1440" w:gutter="0" w:footer="0" w:header="0"/>
        </w:sectPr>
      </w:pPr>
    </w:p>
    <w:bookmarkStart w:id="265" w:name="page266"/>
    <w:bookmarkEnd w:id="265"/>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Schedule 2</w:t>
      </w:r>
    </w:p>
    <w:p>
      <w:pPr>
        <w:spacing w:after="0" w:line="188" w:lineRule="exact"/>
        <w:rPr>
          <w:sz w:val="20"/>
          <w:szCs w:val="20"/>
          <w:color w:val="auto"/>
        </w:rPr>
      </w:pPr>
    </w:p>
    <w:p>
      <w:pPr>
        <w:ind w:left="164" w:hanging="164"/>
        <w:spacing w:after="0"/>
        <w:tabs>
          <w:tab w:leader="none" w:pos="164" w:val="left"/>
        </w:tabs>
        <w:numPr>
          <w:ilvl w:val="0"/>
          <w:numId w:val="2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Third Amended and Restated Investors’ Rights Agreement, dated as of January 6, 2020, by and among the Company and the Investors (as defined therein)</w:t>
      </w:r>
    </w:p>
    <w:p>
      <w:pPr>
        <w:spacing w:after="0" w:line="198" w:lineRule="exact"/>
        <w:rPr>
          <w:rFonts w:ascii="Times New Roman" w:cs="Times New Roman" w:eastAsia="Times New Roman" w:hAnsi="Times New Roman"/>
          <w:sz w:val="16"/>
          <w:szCs w:val="16"/>
          <w:color w:val="auto"/>
        </w:rPr>
      </w:pPr>
    </w:p>
    <w:p>
      <w:pPr>
        <w:ind w:left="164" w:hanging="164"/>
        <w:spacing w:after="0"/>
        <w:tabs>
          <w:tab w:leader="none" w:pos="164" w:val="left"/>
        </w:tabs>
        <w:numPr>
          <w:ilvl w:val="0"/>
          <w:numId w:val="2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Third Amended and Restated Voting and Drag-Along Agreement, dated as of January 6, 2020, by and among the Company and the Stockholders (as defined therein)</w:t>
      </w:r>
    </w:p>
    <w:p>
      <w:pPr>
        <w:spacing w:after="0" w:line="198" w:lineRule="exact"/>
        <w:rPr>
          <w:rFonts w:ascii="Times New Roman" w:cs="Times New Roman" w:eastAsia="Times New Roman" w:hAnsi="Times New Roman"/>
          <w:sz w:val="16"/>
          <w:szCs w:val="16"/>
          <w:color w:val="auto"/>
        </w:rPr>
      </w:pPr>
    </w:p>
    <w:p>
      <w:pPr>
        <w:ind w:left="4" w:hanging="4"/>
        <w:spacing w:after="0" w:line="280" w:lineRule="auto"/>
        <w:tabs>
          <w:tab w:leader="none" w:pos="167" w:val="left"/>
        </w:tabs>
        <w:numPr>
          <w:ilvl w:val="0"/>
          <w:numId w:val="2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Third Amended and Restated Right of First Refusal and Co-Sale Agreement, dated as of January 6, 2020 by and among the Company, the Key Holders (as defined therein) and the Investors (as defined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344805</wp:posOffset>
            </wp:positionV>
            <wp:extent cx="7148195" cy="1524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4"/>
          </w:cols>
          <w:pgMar w:left="316" w:top="814" w:right="339" w:bottom="1440" w:gutter="0" w:footer="0" w:header="0"/>
        </w:sectPr>
      </w:pPr>
    </w:p>
    <w:bookmarkStart w:id="266" w:name="page267"/>
    <w:bookmarkEnd w:id="266"/>
    <w:p>
      <w:pPr>
        <w:jc w:val="right"/>
        <w:spacing w:after="0"/>
        <w:rPr>
          <w:sz w:val="20"/>
          <w:szCs w:val="20"/>
          <w:color w:val="auto"/>
        </w:rPr>
      </w:pPr>
      <w:r>
        <w:rPr>
          <w:rFonts w:ascii="Times New Roman" w:cs="Times New Roman" w:eastAsia="Times New Roman" w:hAnsi="Times New Roman"/>
          <w:sz w:val="19"/>
          <w:szCs w:val="19"/>
          <w:b w:val="1"/>
          <w:bCs w:val="1"/>
          <w:color w:val="auto"/>
        </w:rPr>
        <w:t>Exhibit 99.1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Ventoux CCM and Presto Automation Announce Approximate $100 Million Raise, Revised Valuation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New Subscription from Cleveland Avenue Underpins Revised Merger Deal Terms</w:t>
      </w:r>
    </w:p>
    <w:p>
      <w:pPr>
        <w:spacing w:after="0" w:line="200"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New York (July 26, 2022) - Ventoux CCM Acquisition Corp. (“Ventoux”) (NASDAQ: VTAQ) and E La Carte, Inc. (d/b/a as Presto, Inc.) (“Presto”) today announced revised merger deal terms resulting in a $60 million equity investment alongside approximately $40 million expected from other sources, including $13 million held in Ventoux’s trust account assuming no redemptions, into their previously announced business combination which will result in Presto becoming a publicly traded company.</w:t>
      </w:r>
    </w:p>
    <w:p>
      <w:pPr>
        <w:spacing w:after="0" w:line="155"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Led by Cleveland Avenue, LLC (“Cleveland Avenue”), the $60 million equity injection will accelerate the deployment of Presto’s technology throughout the restaurant industry. The revised merger terms reflect a pre-money valuation for Presto of $525 million.</w:t>
      </w:r>
    </w:p>
    <w:p>
      <w:pPr>
        <w:spacing w:after="0" w:line="14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“We believe the additional capital provides a powerful vote of confidence in the business combination, and will give Presto all the tools needed for an excellent start in its public life. We look forward to continuing to work with the Presto team and our investors in consummating this deal and maximizing value for all stakeholders,” said Ed Scheetz, CEO &amp; Chairman of Ventoux.</w:t>
      </w:r>
    </w:p>
    <w:p>
      <w:pPr>
        <w:spacing w:after="0" w:line="155"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“Presto welcomes Cleveland Ave to our investor syndicate - we could not have found more aligned and strategic investors. Not only do they know the industry inside out, they share our vision for transforming physical industries with advanced digital automation,” said Rajat Suri, Founder and CEO of Presto.</w:t>
      </w:r>
    </w:p>
    <w:p>
      <w:pPr>
        <w:spacing w:after="0" w:line="144"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“Presto, Cleveland Avenue, and Ventoux are the perfect partners for this next chapter in the public markets given our joint focus on transforming the restaurant industry using the best next-generation technology,” said Krishna K. Gupta, Chairman of Presto and CEO of Remus Capital.</w:t>
      </w:r>
    </w:p>
    <w:p>
      <w:pPr>
        <w:spacing w:after="0" w:line="144"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Cleveland Avenue’s Chief Financial and Investment Officer, Keith Kravcik, will join Presto’s Board. He has been with Cleveland Avenue since its inception in September 2015, and has a 30-year career leading financial organizations, including having spent 16 years at McDonald’s Corporation.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Ventoux CCM Acquisition Corp.</w:t>
      </w:r>
    </w:p>
    <w:p>
      <w:pPr>
        <w:spacing w:after="0" w:line="200"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Ventoux is a special purpose acquisition company formed for the purpose of effecting a merger, capital stock exchange, asset acquisition, stock purchase, reorganization or similar business combination with one or more businesses. VTAQ began trading on the Nasdaq on December 23, 2020 following its initial public offering. Its shares of common stock, units, warrants and rights trade under the ticker symbols VTAQ, VTAQU, VTAQW, and VTAQR respectively. VTAQ is co-sponsored by Ventoux Acquisition Holdings and an affiliate of Chardan Capital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7148195" cy="1524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Presto</w:t>
      </w:r>
    </w:p>
    <w:p>
      <w:pPr>
        <w:spacing w:after="0" w:line="200"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Presto overlays next-gen digital solutions onto the physical world. Presto’s enterprise-grade voice, vision, and touch technologies help hospitality businesses thrive while delighting guests. With over 250,000 systems shipped, Presto is one of the largest labor automation technology providers in the industry. Founded at M.I.T. in 2008, Presto is headquartered in Silicon Valley, Calif. with customers including many of the top 20 restaurant chains in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109220</wp:posOffset>
            </wp:positionV>
            <wp:extent cx="7148195" cy="1524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511175</wp:posOffset>
            </wp:positionV>
            <wp:extent cx="7148195" cy="1524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6"/>
          <w:szCs w:val="16"/>
          <w:b w:val="1"/>
          <w:bCs w:val="1"/>
          <w:color w:val="auto"/>
        </w:rPr>
        <w:t>About Cleveland Avenue, LLC</w:t>
      </w:r>
    </w:p>
    <w:p>
      <w:pPr>
        <w:spacing w:after="0" w:line="20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Founded by Don Thompson, the former President and CEO of McDonald’s Corporation, Cleveland Avenue is a Chicago-based venture capital firm that invests in lifestyle consumer brands and technology companies that positively disrupt large and growing market. Cleveland Avenue has tremendous experience investing in innovative food and technology brands and restaurant operation platforms with an impressive portfolio that includes Beyond Meat, Footprint and Farmer’s Fridge.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Additional Information and Where to Find It</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In connection with the proposed business combination involving Ventoux and Presto, Ventoux has filed a registration statement, which includes a preliminary proxy statement/prospectus, with the SEC. The proxy statement/prospectus will be sent to stockholders of Ventoux. This press release is not a substitute for the proxy statement/prospectus. INVESTORS AND SECURITY HOLDERS AND OTHER INTERESTED PARTIES ARE URGED TO READ THE PROXY STATEMENT/PROSPECTUS AND ANY OTHER RELEVANT DOCUMENTS THAT HAVE BEEN FILED OR WILL BE FILED WITH THE SEC, AS WELL AS ANY AMENDMENTS OR SUPPLEMENTS TO THESE DOCUMENTS, CAREFULLY AND IN THEIR ENTIRETY WHEN THEY BECOME AVAILABLE BECAUSE THEY WILL CONTAIN IMPORTANT INFORMATION ABOUT PRESTO, VENTOUX, THE PROPOSED BUSINESS COMBINATION AND RELATED MATTERS. The documents filed or that will be filed with the SEC relating to the proposed business combination (when they are available) can be obtained free of charge from the SEC’s website at www.sec.gov. These documents (when they are available) can also be obtained free of charge from Ventoux upon written request at Ventoux CCM Acquisition Corp., 1 East Putnam Avenue, Floor 4, Greenwich, CT 06830.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7148195" cy="1524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 Offer or Solicitation</w:t>
      </w:r>
    </w:p>
    <w:p>
      <w:pPr>
        <w:spacing w:after="0" w:line="200"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This communication is for informational purposes only and is not intended to and shall not constitute a proxy statement or the solicitation of a proxy, consent or authorization with respect to any securities in respect of the proposed business combination and shall not constitute an offer to sell or the solicitation of an offer to buy or subscribe for any securities or a solicitation of any vote of approval, nor shall there be any sale, issuance or transfer of securities in any jurisdiction in which such offer, solicitation or sale would be unlawful prior to registration or qualification under the securities laws of any such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7148195" cy="1524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Participants in Solicitation</w:t>
      </w:r>
    </w:p>
    <w:p>
      <w:pPr>
        <w:spacing w:after="0" w:line="20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This communication is not a solicitation of a proxy from any investor or security holder. However, Ventoux, Presto, and certain of their directors and executive officers may be deemed to be participants in the solicitation of proxies in connection with the proposed business combination under the rules of the SEC. Information about Ventoux’s directors and executive officers and their ownership of Ventoux’s securities is set forth in filings with the SEC, including Ventoux’s annual report on Form 10-K filed with the SEC on February 23, 2022. To the extent that holdings of Ventoux’s securities have changed since the amounts included in Ventoux’s most recent annual report, such changes have been or will be reflected on Statements of Change in Ownership on Form 4 filed with the SEC. Additional information regarding the participants will also be included in the proxy statement/prospectus, when it becomes available. When available, these documents can be obtained free of charge from the sources indicated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7148195" cy="1524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This communication contains “forward-looking statements” within the meaning of the Private Securities Litigation Reform Act of 1995. Such statements include, but are not limited to, statements about future financial and operating results, plans, objectives, expectations and intentions with respect to future operations, products and services and expectations regarding the proposed business combination between Presto and Ventoux; and other statements identified by words such as “will likely result,” “are expected to,” “will continue,” “is anticipated,” “estimated,” “believe,” “intend,” “plan,” “projection,” “outlook” or words of similar meaning.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6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In addition to factors previously disclosed or that will be disclosed in Ventoux’s reports filed with the SEC and those identified elsewhere in this communication, the following factors, among others, could cause actual results and the timing of events to differ materially from the anticipated results or other expectations expressed in the forward-looking statements: (1) the occurrence of any event, change or other circumstances that could give rise to the termination of the merger agreement or could otherwise cause the transactions contemplated therein to fail to close; (2) the outcome of any legal proceedings that may be instituted against Ventoux, Presto, the Company or others following the announcement of the proposed business combination and any definitive agreements with respect thereto; (3) the inability to complete the proposed business combination due to the failure to obtain approval of the stockholders of Ventoux or Presto; (4) the inability of Presto to satisfy other conditions to closing; (5) changes to the proposed structure of the proposed business combination that may be required or appropriate as a result of applicable laws or regulations or as a condition to obtaining regulatory approval of the proposed business combination; (6) the ability to meet stock exchange listing standards in connection with and following the consummation of the proposed business combination; (7) the risk that the proposed business combination disrupts current plans and operations of Presto as a result of the announcement and consummation of the proposed business combination; (8) the ability to recognize the anticipated benefits of the proposed business combination, which may be affected by, among other things, competition, the ability of the Company to grow and manage growth profitably, grow its customer base, maintain relationships with customers and suppliers and retain its management and key employees; (9) the impact of the COVID-19 pandemic on the business of Presto and the Company (including the effects of the ongoing global supply chain shortage); (10) Presto’s limited operating history and history of net losses; (11) Presto’s customer concentration and reliance on a limited number of key technology providers and payment processors facilitating payments to and by Presto’s customers; (12) costs related to proposed business combination; (13) changes in applicable laws or regulations; (14) the possibility that Presto or the Company may be adversely affected by other economic, business, regulatory, and/or competitive factors; (15) Presto’s estimates of expenses and profitability; (16) the evolution of the markets in which Presto competes; (17) the ability of Presto to implement its strategic initiatives and continue to innovate its existing products; (18) the ability of Presto to adhere to legal requirements with respect to the protection of personal data and privacy laws; (19) cybersecurity risks, data loss and other breaches of Presto’s network security and the disclosure of personal information; and (20) the risk of regulatory lawsuits or proceedings relating to Presto’s products or services. Actual results, performance or achievements may differ materially, and potentially adversely, from any projections and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 All information set forth herein speaks only as of the date hereof in the case of information about Ventoux and Presto or the date of such information in the case of information from persons other than Ventoux and Presto, and we disclaim any intention or obligation to update any forward-looking statements as a result of developments occurring after the date of this communication. Forecasts and estimates regarding Presto’s industry and end markets are based on sources we believe to be reliable, however there can be no assurance these forecasts and estimates will prove accurate in whole or in part. Annualized, pro forma, projected and estimated numbers are used for illustrative purposes only, are not forecasts and may not reflect actual results.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269" w:name="page270"/>
    <w:bookmarkEnd w:id="269"/>
    <w:p>
      <w:pPr>
        <w:ind w:left="9140"/>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152400</wp:posOffset>
            </wp:positionV>
            <wp:extent cx="7203440" cy="446151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03440" cy="4461510"/>
                    </a:xfrm>
                    <a:prstGeom prst="rect">
                      <a:avLst/>
                    </a:prstGeom>
                    <a:noFill/>
                  </pic:spPr>
                </pic:pic>
              </a:graphicData>
            </a:graphic>
          </wp:anchor>
        </w:drawing>
      </w:r>
    </w:p>
    <w:p>
      <w:pPr>
        <w:sectPr>
          <w:pgSz w:w="11900" w:h="16838" w:orient="portrait"/>
          <w:cols w:equalWidth="0" w:num="1">
            <w:col w:w="10140"/>
          </w:cols>
          <w:pgMar w:left="1440" w:top="112" w:right="319" w:bottom="1440" w:gutter="0" w:footer="0" w:header="0"/>
        </w:sectPr>
      </w:pPr>
    </w:p>
    <w:bookmarkStart w:id="270" w:name="page271"/>
    <w:bookmarkEnd w:id="2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4621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03440" cy="4462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1" w:name="page272"/>
    <w:bookmarkEnd w:id="2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462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03440" cy="4462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2" w:name="page273"/>
    <w:bookmarkEnd w:id="2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46151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03440" cy="4461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3" w:name="page274"/>
    <w:bookmarkEnd w:id="2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4621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03440" cy="4462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4" w:name="page275"/>
    <w:bookmarkEnd w:id="2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4991100</wp:posOffset>
            </wp:positionV>
            <wp:extent cx="7148195" cy="1524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5" w:name="page276"/>
    <w:bookmarkEnd w:id="2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46151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03440" cy="4461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6" w:name="page277"/>
    <w:bookmarkEnd w:id="2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4621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03440" cy="4462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7" w:name="page278"/>
    <w:bookmarkEnd w:id="2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4621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03440" cy="4462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8" w:name="page279"/>
    <w:bookmarkEnd w:id="2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46151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03440" cy="4461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9" w:name="page280"/>
    <w:bookmarkEnd w:id="2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4621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03440" cy="4462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0" w:name="page281"/>
    <w:bookmarkEnd w:id="2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46151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03440" cy="4461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1" w:name="page282"/>
    <w:bookmarkEnd w:id="2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46151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03440" cy="4461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2" w:name="page283"/>
    <w:bookmarkEnd w:id="2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4621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03440" cy="4462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3" w:name="page284"/>
    <w:bookmarkEnd w:id="2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46151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03440" cy="4461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4" w:name="page285"/>
    <w:bookmarkEnd w:id="2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46151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03440" cy="4461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5" w:name="page286"/>
    <w:bookmarkEnd w:id="2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4621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03440" cy="4462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6" w:name="page287"/>
    <w:bookmarkEnd w:id="2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46151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03440" cy="4461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7" w:name="page288"/>
    <w:bookmarkEnd w:id="2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46151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03440" cy="4461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8" w:name="page289"/>
    <w:bookmarkEnd w:id="2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4621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03440" cy="4462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9" w:name="page290"/>
    <w:bookmarkEnd w:id="2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46151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03440" cy="4461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0" w:name="page291"/>
    <w:bookmarkEnd w:id="2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4621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03440" cy="4462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1" w:name="page292"/>
    <w:bookmarkEnd w:id="2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4621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03440" cy="4462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2" w:name="page293"/>
    <w:bookmarkEnd w:id="2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46151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03440" cy="4461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3" w:name="page294"/>
    <w:bookmarkEnd w:id="2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46151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03440" cy="4461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4" w:name="page295"/>
    <w:bookmarkEnd w:id="2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4621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03440" cy="4462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5" w:name="page296"/>
    <w:bookmarkEnd w:id="2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46151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03440" cy="4461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6" w:name="page297"/>
    <w:bookmarkEnd w:id="2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4621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03440" cy="4462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7" w:name="page298"/>
    <w:bookmarkEnd w:id="2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4621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03440" cy="4462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8" w:name="page299"/>
    <w:bookmarkEnd w:id="2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46151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03440" cy="4461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9" w:name="page300"/>
    <w:bookmarkEnd w:id="2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4621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03440" cy="4462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0" w:name="page301"/>
    <w:bookmarkEnd w:id="3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4621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03440" cy="4462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1" w:name="page302"/>
    <w:bookmarkEnd w:id="3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46151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03440" cy="4461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2" w:name="page303"/>
    <w:bookmarkEnd w:id="3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4621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03440" cy="4462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3" w:name="page304"/>
    <w:bookmarkEnd w:id="3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4621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03440" cy="4462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4" w:name="page305"/>
    <w:bookmarkEnd w:id="3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543560</wp:posOffset>
            </wp:positionV>
            <wp:extent cx="7203440" cy="44621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03440" cy="4462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5" w:name="page306"/>
    <w:bookmarkEnd w:id="3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46151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03440" cy="4461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6" w:name="page307"/>
    <w:bookmarkEnd w:id="30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46151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03440" cy="4461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7" w:name="page308"/>
    <w:bookmarkEnd w:id="30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543560</wp:posOffset>
            </wp:positionV>
            <wp:extent cx="7203440" cy="446151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03440" cy="4461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8" w:name="page309"/>
    <w:bookmarkEnd w:id="3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4621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03440" cy="4462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9" w:name="page310"/>
    <w:bookmarkEnd w:id="3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4621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03440" cy="4462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0" w:name="page311"/>
    <w:bookmarkEnd w:id="3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543560</wp:posOffset>
            </wp:positionV>
            <wp:extent cx="7203440" cy="44621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03440" cy="4462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1" w:name="page312"/>
    <w:bookmarkEnd w:id="3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46151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03440" cy="44615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48F044"/>
    <w:multiLevelType w:val="hybridMultilevel"/>
    <w:lvl w:ilvl="0">
      <w:lvlJc w:val="left"/>
      <w:lvlText w:val="☒"/>
      <w:numFmt w:val="bullet"/>
      <w:start w:val="1"/>
    </w:lvl>
  </w:abstractNum>
  <w:abstractNum w:abstractNumId="1">
    <w:nsid w:val="49D0FEAC"/>
    <w:multiLevelType w:val="hybridMultilevel"/>
    <w:lvl w:ilvl="0">
      <w:lvlJc w:val="left"/>
      <w:lvlText w:val="☐"/>
      <w:numFmt w:val="bullet"/>
      <w:start w:val="1"/>
    </w:lvl>
  </w:abstractNum>
  <w:abstractNum w:abstractNumId="2">
    <w:nsid w:val="4BEE5A5B"/>
    <w:multiLevelType w:val="hybridMultilevel"/>
    <w:lvl w:ilvl="0">
      <w:lvlJc w:val="left"/>
      <w:lvlText w:val="●"/>
      <w:numFmt w:val="bullet"/>
      <w:start w:val="1"/>
    </w:lvl>
  </w:abstractNum>
  <w:abstractNum w:abstractNumId="3">
    <w:nsid w:val="5551B9F3"/>
    <w:multiLevelType w:val="hybridMultilevel"/>
    <w:lvl w:ilvl="0">
      <w:lvlJc w:val="left"/>
      <w:lvlText w:val="●"/>
      <w:numFmt w:val="bullet"/>
      <w:start w:val="1"/>
    </w:lvl>
  </w:abstractNum>
  <w:abstractNum w:abstractNumId="4">
    <w:nsid w:val="24F6AB8E"/>
    <w:multiLevelType w:val="hybridMultilevel"/>
    <w:lvl w:ilvl="0">
      <w:lvlJc w:val="left"/>
      <w:lvlText w:val="●"/>
      <w:numFmt w:val="bullet"/>
      <w:start w:val="1"/>
    </w:lvl>
  </w:abstractNum>
  <w:abstractNum w:abstractNumId="5">
    <w:nsid w:val="634C574C"/>
    <w:multiLevelType w:val="hybridMultilevel"/>
    <w:lvl w:ilvl="0">
      <w:lvlJc w:val="left"/>
      <w:lvlText w:val="(%1)"/>
      <w:numFmt w:val="decimal"/>
      <w:start w:val="15"/>
    </w:lvl>
  </w:abstractNum>
  <w:abstractNum w:abstractNumId="6">
    <w:nsid w:val="24E99DD7"/>
    <w:multiLevelType w:val="hybridMultilevel"/>
    <w:lvl w:ilvl="0">
      <w:lvlJc w:val="left"/>
      <w:lvlText w:val="(%1)"/>
      <w:numFmt w:val="lowerLetter"/>
      <w:start w:val="4"/>
    </w:lvl>
  </w:abstractNum>
  <w:abstractNum w:abstractNumId="7">
    <w:nsid w:val="2A31B62D"/>
    <w:multiLevelType w:val="hybridMultilevel"/>
    <w:lvl w:ilvl="0">
      <w:lvlJc w:val="left"/>
      <w:lvlText w:val="†"/>
      <w:numFmt w:val="bullet"/>
      <w:start w:val="1"/>
    </w:lvl>
  </w:abstractNum>
  <w:abstractNum w:abstractNumId="8">
    <w:nsid w:val="1849C29B"/>
    <w:multiLevelType w:val="hybridMultilevel"/>
    <w:lvl w:ilvl="0">
      <w:lvlJc w:val="left"/>
      <w:lvlText w:val="%1."/>
      <w:numFmt w:val="decimal"/>
      <w:start w:val="1"/>
    </w:lvl>
  </w:abstractNum>
  <w:abstractNum w:abstractNumId="9">
    <w:nsid w:val="7DFF9D09"/>
    <w:multiLevelType w:val="hybridMultilevel"/>
    <w:lvl w:ilvl="0">
      <w:lvlJc w:val="left"/>
      <w:lvlText w:val="%1."/>
      <w:numFmt w:val="decimal"/>
      <w:start w:val="3"/>
    </w:lvl>
  </w:abstractNum>
  <w:abstractNum w:abstractNumId="10">
    <w:nsid w:val="754342"/>
    <w:multiLevelType w:val="hybridMultilevel"/>
    <w:lvl w:ilvl="0">
      <w:lvlJc w:val="left"/>
      <w:lvlText w:val="%1."/>
      <w:numFmt w:val="decimal"/>
      <w:start w:val="4"/>
    </w:lvl>
  </w:abstractNum>
  <w:abstractNum w:abstractNumId="11">
    <w:nsid w:val="69E7F3E5"/>
    <w:multiLevelType w:val="hybridMultilevel"/>
    <w:lvl w:ilvl="0">
      <w:lvlJc w:val="left"/>
      <w:lvlText w:val="%1."/>
      <w:numFmt w:val="decimal"/>
      <w:start w:val="5"/>
    </w:lvl>
    <w:lvl w:ilvl="1">
      <w:lvlJc w:val="left"/>
      <w:lvlText w:val="(%2)"/>
      <w:numFmt w:val="lowerLetter"/>
      <w:start w:val="1"/>
    </w:lvl>
  </w:abstractNum>
  <w:abstractNum w:abstractNumId="12">
    <w:nsid w:val="2A6DE806"/>
    <w:multiLevelType w:val="hybridMultilevel"/>
    <w:lvl w:ilvl="0">
      <w:lvlJc w:val="left"/>
      <w:lvlText w:val="(%1)"/>
      <w:numFmt w:val="lowerRoman"/>
      <w:start w:val="10"/>
    </w:lvl>
  </w:abstractNum>
  <w:abstractNum w:abstractNumId="13">
    <w:nsid w:val="1816F8C4"/>
    <w:multiLevelType w:val="hybridMultilevel"/>
    <w:lvl w:ilvl="0">
      <w:lvlJc w:val="left"/>
      <w:lvlText w:val="%1"/>
      <w:numFmt w:val="decimal"/>
      <w:start w:val="1"/>
    </w:lvl>
    <w:lvl w:ilvl="1">
      <w:lvlJc w:val="left"/>
      <w:lvlText w:val="(%2)"/>
      <w:numFmt w:val="lowerLetter"/>
      <w:start w:val="2"/>
    </w:lvl>
  </w:abstractNum>
  <w:abstractNum w:abstractNumId="14">
    <w:nsid w:val="37DF2233"/>
    <w:multiLevelType w:val="hybridMultilevel"/>
    <w:lvl w:ilvl="0">
      <w:lvlJc w:val="left"/>
      <w:lvlText w:val="%1"/>
      <w:numFmt w:val="decimal"/>
      <w:start w:val="1"/>
    </w:lvl>
    <w:lvl w:ilvl="1">
      <w:lvlJc w:val="left"/>
      <w:lvlText w:val="(%2)"/>
      <w:numFmt w:val="lowerLetter"/>
      <w:start w:val="35"/>
    </w:lvl>
  </w:abstractNum>
  <w:abstractNum w:abstractNumId="15">
    <w:nsid w:val="7AB49DAF"/>
    <w:multiLevelType w:val="hybridMultilevel"/>
    <w:lvl w:ilvl="0">
      <w:lvlJc w:val="left"/>
      <w:lvlText w:val="%1."/>
      <w:numFmt w:val="decimal"/>
      <w:start w:val="8"/>
    </w:lvl>
    <w:lvl w:ilvl="1">
      <w:lvlJc w:val="left"/>
      <w:lvlText w:val="(%2)"/>
      <w:numFmt w:val="lowerLetter"/>
      <w:start w:val="1"/>
    </w:lvl>
  </w:abstractNum>
  <w:abstractNum w:abstractNumId="16">
    <w:nsid w:val="759F82CD"/>
    <w:multiLevelType w:val="hybridMultilevel"/>
    <w:lvl w:ilvl="0">
      <w:lvlJc w:val="left"/>
      <w:lvlText w:val="%1."/>
      <w:numFmt w:val="decimal"/>
      <w:start w:val="12"/>
    </w:lvl>
  </w:abstractNum>
  <w:abstractNum w:abstractNumId="17">
    <w:nsid w:val="61E74EA3"/>
    <w:multiLevelType w:val="hybridMultilevel"/>
    <w:lvl w:ilvl="0">
      <w:lvlJc w:val="left"/>
      <w:lvlText w:val="%1."/>
      <w:numFmt w:val="decimal"/>
      <w:start w:val="14"/>
    </w:lvl>
    <w:lvl w:ilvl="1">
      <w:lvlJc w:val="left"/>
      <w:lvlText w:val="(%2)"/>
      <w:numFmt w:val="lowerLetter"/>
      <w:start w:val="1"/>
    </w:lvl>
  </w:abstractNum>
  <w:abstractNum w:abstractNumId="18">
    <w:nsid w:val="597B4D84"/>
    <w:multiLevelType w:val="hybridMultilevel"/>
    <w:lvl w:ilvl="0">
      <w:lvlJc w:val="left"/>
      <w:lvlText w:val="%1."/>
      <w:numFmt w:val="decimal"/>
      <w:start w:val="16"/>
    </w:lvl>
  </w:abstractNum>
  <w:abstractNum w:abstractNumId="19">
    <w:nsid w:val="F819E7F"/>
    <w:multiLevelType w:val="hybridMultilevel"/>
    <w:lvl w:ilvl="0">
      <w:lvlJc w:val="left"/>
      <w:lvlText w:val="%1."/>
      <w:numFmt w:val="decimal"/>
      <w:start w:val="19"/>
    </w:lvl>
  </w:abstractNum>
  <w:abstractNum w:abstractNumId="20">
    <w:nsid w:val="57C7D42D"/>
    <w:multiLevelType w:val="hybridMultilevel"/>
    <w:lvl w:ilvl="0">
      <w:lvlJc w:val="left"/>
      <w:lvlText w:val="1"/>
      <w:numFmt w:val="bullet"/>
      <w:start w:val="1"/>
    </w:lvl>
  </w:abstractNum>
  <w:abstractNum w:abstractNumId="21">
    <w:nsid w:val="312167AD"/>
    <w:multiLevelType w:val="hybridMultilevel"/>
    <w:lvl w:ilvl="0">
      <w:lvlJc w:val="left"/>
      <w:lvlText w:val="(%1)"/>
      <w:numFmt w:val="decimal"/>
      <w:start w:val="1"/>
    </w:lvl>
  </w:abstractNum>
  <w:abstractNum w:abstractNumId="22">
    <w:nsid w:val="631B64D4"/>
    <w:multiLevelType w:val="hybridMultilevel"/>
    <w:lvl w:ilvl="0">
      <w:lvlJc w:val="left"/>
      <w:lvlText w:val="(%1)"/>
      <w:numFmt w:val="decimal"/>
      <w:start w:val="1"/>
    </w:lvl>
  </w:abstractNum>
  <w:abstractNum w:abstractNumId="23">
    <w:nsid w:val="78B5E776"/>
    <w:multiLevelType w:val="hybridMultilevel"/>
    <w:lvl w:ilvl="0">
      <w:lvlJc w:val="left"/>
      <w:lvlText w:val="2"/>
      <w:numFmt w:val="bullet"/>
      <w:start w:val="1"/>
    </w:lvl>
  </w:abstractNum>
  <w:abstractNum w:abstractNumId="24">
    <w:nsid w:val="75486E47"/>
    <w:multiLevelType w:val="hybridMultilevel"/>
    <w:lvl w:ilvl="0">
      <w:lvlJc w:val="left"/>
      <w:lvlText w:val="(%1)"/>
      <w:numFmt w:val="decimal"/>
      <w:start w:val="9"/>
    </w:lvl>
  </w:abstractNum>
  <w:abstractNum w:abstractNumId="25">
    <w:nsid w:val="6E534CDE"/>
    <w:multiLevelType w:val="hybridMultilevel"/>
    <w:lvl w:ilvl="0">
      <w:lvlJc w:val="left"/>
      <w:lvlText w:val="(%1)"/>
      <w:numFmt w:val="decimal"/>
      <w:start w:val="1"/>
    </w:lvl>
  </w:abstractNum>
  <w:abstractNum w:abstractNumId="26">
    <w:nsid w:val="1A0DDE32"/>
    <w:multiLevelType w:val="hybridMultilevel"/>
    <w:lvl w:ilvl="0">
      <w:lvlJc w:val="left"/>
      <w:lvlText w:val="(%1)"/>
      <w:numFmt w:val="decimal"/>
      <w:start w:val="6"/>
    </w:lvl>
  </w:abstractNum>
  <w:abstractNum w:abstractNumId="27">
    <w:nsid w:val="65968C1C"/>
    <w:multiLevelType w:val="hybridMultilevel"/>
    <w:lvl w:ilvl="0">
      <w:lvlJc w:val="left"/>
      <w:lvlText w:val="(%1)"/>
      <w:numFmt w:val="lowerLetter"/>
      <w:start w:val="1"/>
    </w:lvl>
  </w:abstractNum>
  <w:abstractNum w:abstractNumId="28">
    <w:nsid w:val="46263DEC"/>
    <w:multiLevelType w:val="hybridMultilevel"/>
    <w:lvl w:ilvl="0">
      <w:lvlJc w:val="left"/>
      <w:lvlText w:val="3"/>
      <w:numFmt w:val="bullet"/>
      <w:start w:val="1"/>
    </w:lvl>
  </w:abstractNum>
  <w:abstractNum w:abstractNumId="29">
    <w:nsid w:val="260D8C4A"/>
    <w:multiLevelType w:val="hybridMultilevel"/>
    <w:lvl w:ilvl="0">
      <w:lvlJc w:val="left"/>
      <w:lvlText w:val="(%1)"/>
      <w:numFmt w:val="lowerLetter"/>
      <w:start w:val="1"/>
    </w:lvl>
  </w:abstractNum>
  <w:abstractNum w:abstractNumId="30">
    <w:nsid w:val="73D4D3C4"/>
    <w:multiLevelType w:val="hybridMultilevel"/>
    <w:lvl w:ilvl="0">
      <w:lvlJc w:val="left"/>
      <w:lvlText w:val="(%1)"/>
      <w:numFmt w:val="lowerLetter"/>
      <w:start w:val="3"/>
    </w:lvl>
  </w:abstractNum>
  <w:abstractNum w:abstractNumId="31">
    <w:nsid w:val="746F2E30"/>
    <w:multiLevelType w:val="hybridMultilevel"/>
    <w:lvl w:ilvl="0">
      <w:lvlJc w:val="left"/>
      <w:lvlText w:val="(%1)"/>
      <w:numFmt w:val="decimal"/>
      <w:start w:val="1"/>
    </w:lvl>
  </w:abstractNum>
  <w:abstractNum w:abstractNumId="32">
    <w:nsid w:val="6FDE8AF6"/>
    <w:multiLevelType w:val="hybridMultilevel"/>
    <w:lvl w:ilvl="0">
      <w:lvlJc w:val="left"/>
      <w:lvlText w:val="(%1)"/>
      <w:numFmt w:val="lowerLetter"/>
      <w:start w:val="25"/>
    </w:lvl>
  </w:abstractNum>
  <w:abstractNum w:abstractNumId="33">
    <w:nsid w:val="3FC32E20"/>
    <w:multiLevelType w:val="hybridMultilevel"/>
    <w:lvl w:ilvl="0">
      <w:lvlJc w:val="left"/>
      <w:lvlText w:val="(%1)"/>
      <w:numFmt w:val="lowerLetter"/>
      <w:start w:val="1"/>
    </w:lvl>
  </w:abstractNum>
  <w:abstractNum w:abstractNumId="34">
    <w:nsid w:val="49C0E823"/>
    <w:multiLevelType w:val="hybridMultilevel"/>
    <w:lvl w:ilvl="0">
      <w:lvlJc w:val="left"/>
      <w:lvlText w:val="4"/>
      <w:numFmt w:val="bullet"/>
      <w:start w:val="1"/>
    </w:lvl>
  </w:abstractNum>
  <w:abstractNum w:abstractNumId="35">
    <w:nsid w:val="14D53685"/>
    <w:multiLevelType w:val="hybridMultilevel"/>
    <w:lvl w:ilvl="0">
      <w:lvlJc w:val="left"/>
      <w:lvlText w:val="(%1)"/>
      <w:numFmt w:val="decimal"/>
      <w:start w:val="1"/>
    </w:lvl>
  </w:abstractNum>
  <w:abstractNum w:abstractNumId="36">
    <w:nsid w:val="230F856C"/>
    <w:multiLevelType w:val="hybridMultilevel"/>
    <w:lvl w:ilvl="0">
      <w:lvlJc w:val="left"/>
      <w:lvlText w:val="(%1)"/>
      <w:numFmt w:val="decimal"/>
      <w:start w:val="1"/>
    </w:lvl>
  </w:abstractNum>
  <w:abstractNum w:abstractNumId="37">
    <w:nsid w:val="6EAA85FB"/>
    <w:multiLevelType w:val="hybridMultilevel"/>
    <w:lvl w:ilvl="0">
      <w:lvlJc w:val="left"/>
      <w:lvlText w:val="(%1)"/>
      <w:numFmt w:val="decimal"/>
      <w:start w:val="6"/>
    </w:lvl>
  </w:abstractNum>
  <w:abstractNum w:abstractNumId="38">
    <w:nsid w:val="3F06ECB2"/>
    <w:multiLevelType w:val="hybridMultilevel"/>
    <w:lvl w:ilvl="0">
      <w:lvlJc w:val="left"/>
      <w:lvlText w:val="5"/>
      <w:numFmt w:val="bullet"/>
      <w:start w:val="1"/>
    </w:lvl>
  </w:abstractNum>
  <w:abstractNum w:abstractNumId="39">
    <w:nsid w:val="3B594807"/>
    <w:multiLevelType w:val="hybridMultilevel"/>
    <w:lvl w:ilvl="0">
      <w:lvlJc w:val="left"/>
      <w:lvlText w:val="(%1)"/>
      <w:numFmt w:val="lowerLetter"/>
      <w:start w:val="2"/>
    </w:lvl>
    <w:lvl w:ilvl="1">
      <w:lvlJc w:val="left"/>
      <w:lvlText w:val="(%2)"/>
      <w:numFmt w:val="lowerLetter"/>
      <w:start w:val="9"/>
    </w:lvl>
  </w:abstractNum>
  <w:abstractNum w:abstractNumId="40">
    <w:nsid w:val="6CAA2304"/>
    <w:multiLevelType w:val="hybridMultilevel"/>
    <w:lvl w:ilvl="0">
      <w:lvlJc w:val="left"/>
      <w:lvlText w:val="(%1)"/>
      <w:numFmt w:val="lowerRoman"/>
      <w:start w:val="2"/>
    </w:lvl>
  </w:abstractNum>
  <w:abstractNum w:abstractNumId="41">
    <w:nsid w:val="3F7C2FF4"/>
    <w:multiLevelType w:val="hybridMultilevel"/>
    <w:lvl w:ilvl="0">
      <w:lvlJc w:val="left"/>
      <w:lvlText w:val="(%1)"/>
      <w:numFmt w:val="lowerLetter"/>
      <w:start w:val="2"/>
    </w:lvl>
  </w:abstractNum>
  <w:abstractNum w:abstractNumId="42">
    <w:nsid w:val="25413BEC"/>
    <w:multiLevelType w:val="hybridMultilevel"/>
    <w:lvl w:ilvl="0">
      <w:lvlJc w:val="left"/>
      <w:lvlText w:val="(%1)"/>
      <w:numFmt w:val="upperLetter"/>
      <w:start w:val="1"/>
    </w:lvl>
  </w:abstractNum>
  <w:abstractNum w:abstractNumId="43">
    <w:nsid w:val="17180B0B"/>
    <w:multiLevelType w:val="hybridMultilevel"/>
    <w:lvl w:ilvl="0">
      <w:lvlJc w:val="left"/>
      <w:lvlText w:val="(%1)"/>
      <w:numFmt w:val="lowerLetter"/>
      <w:start w:val="4"/>
    </w:lvl>
  </w:abstractNum>
  <w:abstractNum w:abstractNumId="44">
    <w:nsid w:val="579328B9"/>
    <w:multiLevelType w:val="hybridMultilevel"/>
    <w:lvl w:ilvl="0">
      <w:lvlJc w:val="left"/>
      <w:lvlText w:val="(%1)"/>
      <w:numFmt w:val="upperLetter"/>
      <w:start w:val="1"/>
    </w:lvl>
  </w:abstractNum>
  <w:abstractNum w:abstractNumId="45">
    <w:nsid w:val="5D205E20"/>
    <w:multiLevelType w:val="hybridMultilevel"/>
    <w:lvl w:ilvl="0">
      <w:lvlJc w:val="left"/>
      <w:lvlText w:val="(%1)"/>
      <w:numFmt w:val="lowerLetter"/>
      <w:start w:val="5"/>
    </w:lvl>
  </w:abstractNum>
  <w:abstractNum w:abstractNumId="46">
    <w:nsid w:val="11CCA8BA"/>
    <w:multiLevelType w:val="hybridMultilevel"/>
    <w:lvl w:ilvl="0">
      <w:lvlJc w:val="left"/>
      <w:lvlText w:val="(%1)"/>
      <w:numFmt w:val="lowerRoman"/>
      <w:start w:val="1"/>
    </w:lvl>
  </w:abstractNum>
  <w:abstractNum w:abstractNumId="47">
    <w:nsid w:val="4D32AB86"/>
    <w:multiLevelType w:val="hybridMultilevel"/>
    <w:lvl w:ilvl="0">
      <w:lvlJc w:val="left"/>
      <w:lvlText w:val="(%1)"/>
      <w:numFmt w:val="lowerLetter"/>
      <w:start w:val="2"/>
    </w:lvl>
  </w:abstractNum>
  <w:abstractNum w:abstractNumId="48">
    <w:nsid w:val="3F07ACC3"/>
    <w:multiLevelType w:val="hybridMultilevel"/>
    <w:lvl w:ilvl="0">
      <w:lvlJc w:val="left"/>
      <w:lvlText w:val="(%1)"/>
      <w:numFmt w:val="lowerLetter"/>
      <w:start w:val="3"/>
    </w:lvl>
  </w:abstractNum>
  <w:abstractNum w:abstractNumId="49">
    <w:nsid w:val="6B47F63E"/>
    <w:multiLevelType w:val="hybridMultilevel"/>
    <w:lvl w:ilvl="0">
      <w:lvlJc w:val="left"/>
      <w:lvlText w:val="(%1)"/>
      <w:numFmt w:val="lowerLetter"/>
      <w:start w:val="2"/>
    </w:lvl>
  </w:abstractNum>
  <w:abstractNum w:abstractNumId="50">
    <w:nsid w:val="5CB44A05"/>
    <w:multiLevelType w:val="hybridMultilevel"/>
    <w:lvl w:ilvl="0">
      <w:lvlJc w:val="left"/>
      <w:lvlText w:val="(%1)"/>
      <w:numFmt w:val="lowerLetter"/>
      <w:start w:val="4"/>
    </w:lvl>
  </w:abstractNum>
  <w:abstractNum w:abstractNumId="51">
    <w:nsid w:val="16CF80F1"/>
    <w:multiLevelType w:val="hybridMultilevel"/>
    <w:lvl w:ilvl="0">
      <w:lvlJc w:val="left"/>
      <w:lvlText w:val="(%1)"/>
      <w:numFmt w:val="lowerLetter"/>
      <w:start w:val="5"/>
    </w:lvl>
  </w:abstractNum>
  <w:abstractNum w:abstractNumId="52">
    <w:nsid w:val="1C695DEC"/>
    <w:multiLevelType w:val="hybridMultilevel"/>
    <w:lvl w:ilvl="0">
      <w:lvlJc w:val="left"/>
      <w:lvlText w:val="7"/>
      <w:numFmt w:val="bullet"/>
      <w:start w:val="1"/>
    </w:lvl>
  </w:abstractNum>
  <w:abstractNum w:abstractNumId="53">
    <w:nsid w:val="3FCFAED9"/>
    <w:multiLevelType w:val="hybridMultilevel"/>
    <w:lvl w:ilvl="0">
      <w:lvlJc w:val="left"/>
      <w:lvlText w:val="(%1)"/>
      <w:numFmt w:val="lowerLetter"/>
      <w:start w:val="1"/>
    </w:lvl>
    <w:lvl w:ilvl="1">
      <w:lvlJc w:val="left"/>
      <w:lvlText w:val="(%2)"/>
      <w:numFmt w:val="lowerRoman"/>
      <w:start w:val="1"/>
    </w:lvl>
  </w:abstractNum>
  <w:abstractNum w:abstractNumId="54">
    <w:nsid w:val="F856867"/>
    <w:multiLevelType w:val="hybridMultilevel"/>
    <w:lvl w:ilvl="0">
      <w:lvlJc w:val="left"/>
      <w:lvlText w:val="(%1)"/>
      <w:numFmt w:val="decimal"/>
      <w:start w:val="1"/>
    </w:lvl>
  </w:abstractNum>
  <w:abstractNum w:abstractNumId="55">
    <w:nsid w:val="11B1CC33"/>
    <w:multiLevelType w:val="hybridMultilevel"/>
    <w:lvl w:ilvl="0">
      <w:lvlJc w:val="left"/>
      <w:lvlText w:val="%1"/>
      <w:numFmt w:val="decimal"/>
      <w:start w:val="1"/>
    </w:lvl>
    <w:lvl w:ilvl="1">
      <w:lvlJc w:val="left"/>
      <w:lvlText w:val="(%2)"/>
      <w:numFmt w:val="lowerLetter"/>
      <w:start w:val="1"/>
    </w:lvl>
  </w:abstractNum>
  <w:abstractNum w:abstractNumId="56">
    <w:nsid w:val="2E22FBB7"/>
    <w:multiLevelType w:val="hybridMultilevel"/>
    <w:lvl w:ilvl="0">
      <w:lvlJc w:val="left"/>
      <w:lvlText w:val="(%1)"/>
      <w:numFmt w:val="decimal"/>
      <w:start w:val="1"/>
    </w:lvl>
    <w:lvl w:ilvl="1">
      <w:lvlJc w:val="left"/>
      <w:lvlText w:val="%2"/>
      <w:numFmt w:val="lowerLetter"/>
      <w:start w:val="1"/>
    </w:lvl>
  </w:abstractNum>
  <w:abstractNum w:abstractNumId="57">
    <w:nsid w:val="29934699"/>
    <w:multiLevelType w:val="hybridMultilevel"/>
    <w:lvl w:ilvl="0">
      <w:lvlJc w:val="left"/>
      <w:lvlText w:val="%1"/>
      <w:numFmt w:val="upperLetter"/>
      <w:start w:val="1"/>
    </w:lvl>
    <w:lvl w:ilvl="1">
      <w:lvlJc w:val="left"/>
      <w:lvlText w:val="(%2)"/>
      <w:numFmt w:val="decimal"/>
      <w:start w:val="10"/>
    </w:lvl>
    <w:lvl w:ilvl="2">
      <w:lvlJc w:val="left"/>
      <w:lvlText w:val="%3"/>
      <w:numFmt w:val="lowerLetter"/>
      <w:start w:val="1"/>
    </w:lvl>
  </w:abstractNum>
  <w:abstractNum w:abstractNumId="58">
    <w:nsid w:val="77485850"/>
    <w:multiLevelType w:val="hybridMultilevel"/>
    <w:lvl w:ilvl="0">
      <w:lvlJc w:val="left"/>
      <w:lvlText w:val="(%1)"/>
      <w:numFmt w:val="upperLetter"/>
      <w:start w:val="4"/>
    </w:lvl>
    <w:lvl w:ilvl="1">
      <w:lvlJc w:val="left"/>
      <w:lvlText w:val="(%2)"/>
      <w:numFmt w:val="decimal"/>
      <w:start w:val="11"/>
    </w:lvl>
    <w:lvl w:ilvl="2">
      <w:lvlJc w:val="left"/>
      <w:lvlText w:val="(%3)"/>
      <w:numFmt w:val="lowerLetter"/>
      <w:start w:val="3"/>
    </w:lvl>
  </w:abstractNum>
  <w:abstractNum w:abstractNumId="59">
    <w:nsid w:val="744939A3"/>
    <w:multiLevelType w:val="hybridMultilevel"/>
    <w:lvl w:ilvl="0">
      <w:lvlJc w:val="left"/>
      <w:lvlText w:val="(%1)"/>
      <w:numFmt w:val="lowerLetter"/>
      <w:start w:val="1"/>
    </w:lvl>
  </w:abstractNum>
  <w:abstractNum w:abstractNumId="60">
    <w:nsid w:val="4FA0D2E3"/>
    <w:multiLevelType w:val="hybridMultilevel"/>
    <w:lvl w:ilvl="0">
      <w:lvlJc w:val="left"/>
      <w:lvlText w:val="(%1)"/>
      <w:numFmt w:val="lowerLetter"/>
      <w:start w:val="1"/>
    </w:lvl>
    <w:lvl w:ilvl="1">
      <w:lvlJc w:val="left"/>
      <w:lvlText w:val="(%2)"/>
      <w:numFmt w:val="lowerRoman"/>
      <w:start w:val="1"/>
    </w:lvl>
  </w:abstractNum>
  <w:abstractNum w:abstractNumId="61">
    <w:nsid w:val="6B1D2C14"/>
    <w:multiLevelType w:val="hybridMultilevel"/>
    <w:lvl w:ilvl="0">
      <w:lvlJc w:val="left"/>
      <w:lvlText w:val="%1"/>
      <w:numFmt w:val="lowerLetter"/>
      <w:start w:val="1"/>
    </w:lvl>
    <w:lvl w:ilvl="1">
      <w:lvlJc w:val="left"/>
      <w:lvlText w:val="(%2)"/>
      <w:numFmt w:val="upperLetter"/>
      <w:start w:val="1"/>
    </w:lvl>
  </w:abstractNum>
  <w:abstractNum w:abstractNumId="62">
    <w:nsid w:val="68B867D3"/>
    <w:multiLevelType w:val="hybridMultilevel"/>
    <w:lvl w:ilvl="0">
      <w:lvlJc w:val="left"/>
      <w:lvlText w:val="(%1)"/>
      <w:numFmt w:val="lowerLetter"/>
      <w:start w:val="2"/>
    </w:lvl>
    <w:lvl w:ilvl="1">
      <w:lvlJc w:val="left"/>
      <w:lvlText w:val="%2"/>
      <w:numFmt w:val="upperLetter"/>
      <w:start w:val="1"/>
    </w:lvl>
  </w:abstractNum>
  <w:abstractNum w:abstractNumId="63">
    <w:nsid w:val="3F7F5DD9"/>
    <w:multiLevelType w:val="hybridMultilevel"/>
    <w:lvl w:ilvl="0">
      <w:lvlJc w:val="left"/>
      <w:lvlText w:val="%1"/>
      <w:numFmt w:val="lowerLetter"/>
      <w:start w:val="1"/>
    </w:lvl>
    <w:lvl w:ilvl="1">
      <w:lvlJc w:val="left"/>
      <w:lvlText w:val="(%2)"/>
      <w:numFmt w:val="lowerRoman"/>
      <w:start w:val="2"/>
    </w:lvl>
  </w:abstractNum>
  <w:abstractNum w:abstractNumId="64">
    <w:nsid w:val="2AE05A34"/>
    <w:multiLevelType w:val="hybridMultilevel"/>
    <w:lvl w:ilvl="0">
      <w:lvlJc w:val="left"/>
      <w:lvlText w:val="(%1)"/>
      <w:numFmt w:val="lowerLetter"/>
      <w:start w:val="3"/>
    </w:lvl>
    <w:lvl w:ilvl="1">
      <w:lvlJc w:val="left"/>
      <w:lvlText w:val="%2"/>
      <w:numFmt w:val="lowerRoman"/>
      <w:start w:val="1"/>
    </w:lvl>
  </w:abstractNum>
  <w:abstractNum w:abstractNumId="65">
    <w:nsid w:val="32794FF7"/>
    <w:multiLevelType w:val="hybridMultilevel"/>
    <w:lvl w:ilvl="0">
      <w:lvlJc w:val="left"/>
      <w:lvlText w:val="(%1)"/>
      <w:numFmt w:val="lowerLetter"/>
      <w:start w:val="5"/>
    </w:lvl>
  </w:abstractNum>
  <w:abstractNum w:abstractNumId="66">
    <w:nsid w:val="5454945E"/>
    <w:multiLevelType w:val="hybridMultilevel"/>
    <w:lvl w:ilvl="0">
      <w:lvlJc w:val="left"/>
      <w:lvlText w:val="(%1)"/>
      <w:numFmt w:val="lowerLetter"/>
      <w:start w:val="1"/>
    </w:lvl>
  </w:abstractNum>
  <w:abstractNum w:abstractNumId="67">
    <w:nsid w:val="4DEFDFA0"/>
    <w:multiLevelType w:val="hybridMultilevel"/>
    <w:lvl w:ilvl="0">
      <w:lvlJc w:val="left"/>
      <w:lvlText w:val="(%1)"/>
      <w:numFmt w:val="lowerLetter"/>
      <w:start w:val="1"/>
    </w:lvl>
  </w:abstractNum>
  <w:abstractNum w:abstractNumId="68">
    <w:nsid w:val="2123D5F2"/>
    <w:multiLevelType w:val="hybridMultilevel"/>
    <w:lvl w:ilvl="0">
      <w:lvlJc w:val="left"/>
      <w:lvlText w:val="(%1)"/>
      <w:numFmt w:val="lowerLetter"/>
      <w:start w:val="8"/>
    </w:lvl>
  </w:abstractNum>
  <w:abstractNum w:abstractNumId="69">
    <w:nsid w:val="135B8110"/>
    <w:multiLevelType w:val="hybridMultilevel"/>
    <w:lvl w:ilvl="0">
      <w:lvlJc w:val="left"/>
      <w:lvlText w:val="(%1)"/>
      <w:numFmt w:val="lowerLetter"/>
      <w:start w:val="1"/>
    </w:lvl>
  </w:abstractNum>
  <w:abstractNum w:abstractNumId="70">
    <w:nsid w:val="94927A8"/>
    <w:multiLevelType w:val="hybridMultilevel"/>
    <w:lvl w:ilvl="0">
      <w:lvlJc w:val="left"/>
      <w:lvlText w:val="(%1)"/>
      <w:numFmt w:val="lowerLetter"/>
      <w:start w:val="1"/>
    </w:lvl>
    <w:lvl w:ilvl="1">
      <w:lvlJc w:val="left"/>
      <w:lvlText w:val="(%2)"/>
      <w:numFmt w:val="lowerRoman"/>
      <w:start w:val="1"/>
    </w:lvl>
  </w:abstractNum>
  <w:abstractNum w:abstractNumId="71">
    <w:nsid w:val="DCDF8F6"/>
    <w:multiLevelType w:val="hybridMultilevel"/>
    <w:lvl w:ilvl="0">
      <w:lvlJc w:val="left"/>
      <w:lvlText w:val="(%1)"/>
      <w:numFmt w:val="lowerLetter"/>
      <w:start w:val="5"/>
    </w:lvl>
  </w:abstractNum>
  <w:abstractNum w:abstractNumId="72">
    <w:nsid w:val="52D7B105"/>
    <w:multiLevelType w:val="hybridMultilevel"/>
    <w:lvl w:ilvl="0">
      <w:lvlJc w:val="left"/>
      <w:lvlText w:val="(%1)"/>
      <w:numFmt w:val="lowerLetter"/>
      <w:start w:val="7"/>
    </w:lvl>
  </w:abstractNum>
  <w:abstractNum w:abstractNumId="73">
    <w:nsid w:val="2E8A6394"/>
    <w:multiLevelType w:val="hybridMultilevel"/>
    <w:lvl w:ilvl="0">
      <w:lvlJc w:val="left"/>
      <w:lvlText w:val="(%1)"/>
      <w:numFmt w:val="lowerLetter"/>
      <w:start w:val="1"/>
    </w:lvl>
  </w:abstractNum>
  <w:abstractNum w:abstractNumId="74">
    <w:nsid w:val="24E60401"/>
    <w:multiLevelType w:val="hybridMultilevel"/>
    <w:lvl w:ilvl="0">
      <w:lvlJc w:val="left"/>
      <w:lvlText w:val="(%1)"/>
      <w:numFmt w:val="lowerLetter"/>
      <w:start w:val="8"/>
    </w:lvl>
  </w:abstractNum>
  <w:abstractNum w:abstractNumId="75">
    <w:nsid w:val="2A6AD9BE"/>
    <w:multiLevelType w:val="hybridMultilevel"/>
    <w:lvl w:ilvl="0">
      <w:lvlJc w:val="left"/>
      <w:lvlText w:val="(%1)"/>
      <w:numFmt w:val="lowerLetter"/>
      <w:start w:val="2"/>
    </w:lvl>
    <w:lvl w:ilvl="1">
      <w:lvlJc w:val="left"/>
      <w:lvlText w:val="(%2)"/>
      <w:numFmt w:val="lowerRoman"/>
      <w:start w:val="1"/>
    </w:lvl>
  </w:abstractNum>
  <w:abstractNum w:abstractNumId="76">
    <w:nsid w:val="BAAC1B4"/>
    <w:multiLevelType w:val="hybridMultilevel"/>
    <w:lvl w:ilvl="0">
      <w:lvlJc w:val="left"/>
      <w:lvlText w:val="(%1)"/>
      <w:numFmt w:val="lowerLetter"/>
      <w:start w:val="1"/>
    </w:lvl>
  </w:abstractNum>
  <w:abstractNum w:abstractNumId="77">
    <w:nsid w:val="36B2ACBC"/>
    <w:multiLevelType w:val="hybridMultilevel"/>
    <w:lvl w:ilvl="0">
      <w:lvlJc w:val="left"/>
      <w:lvlText w:val="(%1)"/>
      <w:numFmt w:val="lowerLetter"/>
      <w:start w:val="3"/>
    </w:lvl>
  </w:abstractNum>
  <w:abstractNum w:abstractNumId="78">
    <w:nsid w:val="779D8544"/>
    <w:multiLevelType w:val="hybridMultilevel"/>
    <w:lvl w:ilvl="0">
      <w:lvlJc w:val="left"/>
      <w:lvlText w:val="(%1)"/>
      <w:numFmt w:val="lowerLetter"/>
      <w:start w:val="1"/>
    </w:lvl>
  </w:abstractNum>
  <w:abstractNum w:abstractNumId="79">
    <w:nsid w:val="4AB26E78"/>
    <w:multiLevelType w:val="hybridMultilevel"/>
    <w:lvl w:ilvl="0">
      <w:lvlJc w:val="left"/>
      <w:lvlText w:val="(%1)"/>
      <w:numFmt w:val="lowerLetter"/>
      <w:start w:val="12"/>
    </w:lvl>
  </w:abstractNum>
  <w:abstractNum w:abstractNumId="80">
    <w:nsid w:val="21FAA2FA"/>
    <w:multiLevelType w:val="hybridMultilevel"/>
    <w:lvl w:ilvl="0">
      <w:lvlJc w:val="left"/>
      <w:lvlText w:val="(%1)"/>
      <w:numFmt w:val="lowerLetter"/>
      <w:start w:val="1"/>
    </w:lvl>
  </w:abstractNum>
  <w:abstractNum w:abstractNumId="81">
    <w:nsid w:val="5451CF49"/>
    <w:multiLevelType w:val="hybridMultilevel"/>
    <w:lvl w:ilvl="0">
      <w:lvlJc w:val="left"/>
      <w:lvlText w:val="(%1)"/>
      <w:numFmt w:val="lowerLetter"/>
      <w:start w:val="1"/>
    </w:lvl>
  </w:abstractNum>
  <w:abstractNum w:abstractNumId="82">
    <w:nsid w:val="6181EF69"/>
    <w:multiLevelType w:val="hybridMultilevel"/>
    <w:lvl w:ilvl="0">
      <w:lvlJc w:val="left"/>
      <w:lvlText w:val="8"/>
      <w:numFmt w:val="bullet"/>
      <w:start w:val="1"/>
    </w:lvl>
  </w:abstractNum>
  <w:abstractNum w:abstractNumId="83">
    <w:nsid w:val="3E6400E6"/>
    <w:multiLevelType w:val="hybridMultilevel"/>
    <w:lvl w:ilvl="0">
      <w:lvlJc w:val="left"/>
      <w:lvlText w:val="(%1)"/>
      <w:numFmt w:val="lowerRoman"/>
      <w:start w:val="1"/>
    </w:lvl>
  </w:abstractNum>
  <w:abstractNum w:abstractNumId="84">
    <w:nsid w:val="14217E23"/>
    <w:multiLevelType w:val="hybridMultilevel"/>
    <w:lvl w:ilvl="0">
      <w:lvlJc w:val="left"/>
      <w:lvlText w:val="(%1)"/>
      <w:numFmt w:val="lowerRoman"/>
      <w:start w:val="2"/>
    </w:lvl>
  </w:abstractNum>
  <w:abstractNum w:abstractNumId="85">
    <w:nsid w:val="710757D0"/>
    <w:multiLevelType w:val="hybridMultilevel"/>
    <w:lvl w:ilvl="0">
      <w:lvlJc w:val="left"/>
      <w:lvlText w:val="(%1)"/>
      <w:numFmt w:val="upperLetter"/>
      <w:start w:val="1"/>
    </w:lvl>
  </w:abstractNum>
  <w:abstractNum w:abstractNumId="86">
    <w:nsid w:val="5015CD1A"/>
    <w:multiLevelType w:val="hybridMultilevel"/>
    <w:lvl w:ilvl="0">
      <w:lvlJc w:val="left"/>
      <w:lvlText w:val="(%1)"/>
      <w:numFmt w:val="upperLetter"/>
      <w:start w:val="3"/>
    </w:lvl>
  </w:abstractNum>
  <w:abstractNum w:abstractNumId="87">
    <w:nsid w:val="424479DA"/>
    <w:multiLevelType w:val="hybridMultilevel"/>
    <w:lvl w:ilvl="0">
      <w:lvlJc w:val="left"/>
      <w:lvlText w:val="%1"/>
      <w:numFmt w:val="lowerLetter"/>
      <w:start w:val="1"/>
    </w:lvl>
    <w:lvl w:ilvl="1">
      <w:lvlJc w:val="left"/>
      <w:lvlText w:val="(%2)"/>
      <w:numFmt w:val="lowerLetter"/>
      <w:start w:val="22"/>
    </w:lvl>
  </w:abstractNum>
  <w:abstractNum w:abstractNumId="88">
    <w:nsid w:val="1A9A9E69"/>
    <w:multiLevelType w:val="hybridMultilevel"/>
    <w:lvl w:ilvl="0">
      <w:lvlJc w:val="left"/>
      <w:lvlText w:val="(%1)"/>
      <w:numFmt w:val="lowerLetter"/>
      <w:start w:val="2"/>
    </w:lvl>
    <w:lvl w:ilvl="1">
      <w:lvlJc w:val="left"/>
      <w:lvlText w:val="%2"/>
      <w:numFmt w:val="lowerLetter"/>
      <w:start w:val="1"/>
    </w:lvl>
  </w:abstractNum>
  <w:abstractNum w:abstractNumId="89">
    <w:nsid w:val="475E256A"/>
    <w:multiLevelType w:val="hybridMultilevel"/>
    <w:lvl w:ilvl="0">
      <w:lvlJc w:val="left"/>
      <w:lvlText w:val="(%1)"/>
      <w:numFmt w:val="lowerLetter"/>
      <w:start w:val="3"/>
    </w:lvl>
  </w:abstractNum>
  <w:abstractNum w:abstractNumId="90">
    <w:nsid w:val="368DB37E"/>
    <w:multiLevelType w:val="hybridMultilevel"/>
    <w:lvl w:ilvl="0">
      <w:lvlJc w:val="left"/>
      <w:lvlText w:val="(%1)"/>
      <w:numFmt w:val="lowerLetter"/>
      <w:start w:val="5"/>
    </w:lvl>
  </w:abstractNum>
  <w:abstractNum w:abstractNumId="91">
    <w:nsid w:val="6A3B714C"/>
    <w:multiLevelType w:val="hybridMultilevel"/>
    <w:lvl w:ilvl="0">
      <w:lvlJc w:val="left"/>
      <w:lvlText w:val="(%1)"/>
      <w:numFmt w:val="lowerLetter"/>
      <w:start w:val="10"/>
    </w:lvl>
  </w:abstractNum>
  <w:abstractNum w:abstractNumId="92">
    <w:nsid w:val="327B517E"/>
    <w:multiLevelType w:val="hybridMultilevel"/>
    <w:lvl w:ilvl="0">
      <w:lvlJc w:val="left"/>
      <w:lvlText w:val="(%1)"/>
      <w:numFmt w:val="lowerLetter"/>
      <w:start w:val="1"/>
    </w:lvl>
  </w:abstractNum>
  <w:abstractNum w:abstractNumId="93">
    <w:nsid w:val="1F461B51"/>
    <w:multiLevelType w:val="hybridMultilevel"/>
    <w:lvl w:ilvl="0">
      <w:lvlJc w:val="left"/>
      <w:lvlText w:val="%1"/>
      <w:numFmt w:val="lowerLetter"/>
      <w:start w:val="1"/>
    </w:lvl>
    <w:lvl w:ilvl="1">
      <w:lvlJc w:val="left"/>
      <w:lvlText w:val="(%2)"/>
      <w:numFmt w:val="lowerRoman"/>
      <w:start w:val="1"/>
    </w:lvl>
  </w:abstractNum>
  <w:abstractNum w:abstractNumId="94">
    <w:nsid w:val="29BACF25"/>
    <w:multiLevelType w:val="hybridMultilevel"/>
    <w:lvl w:ilvl="0">
      <w:lvlJc w:val="left"/>
      <w:lvlText w:val="(%1)"/>
      <w:numFmt w:val="lowerLetter"/>
      <w:start w:val="3"/>
    </w:lvl>
    <w:lvl w:ilvl="1">
      <w:lvlJc w:val="left"/>
      <w:lvlText w:val="%2"/>
      <w:numFmt w:val="lowerRoman"/>
      <w:start w:val="1"/>
    </w:lvl>
  </w:abstractNum>
  <w:abstractNum w:abstractNumId="95">
    <w:nsid w:val="5D5BABB3"/>
    <w:multiLevelType w:val="hybridMultilevel"/>
    <w:lvl w:ilvl="0">
      <w:lvlJc w:val="left"/>
      <w:lvlText w:val="9"/>
      <w:numFmt w:val="bullet"/>
      <w:start w:val="1"/>
    </w:lvl>
  </w:abstractNum>
  <w:abstractNum w:abstractNumId="96">
    <w:nsid w:val="51BF6B48"/>
    <w:multiLevelType w:val="hybridMultilevel"/>
    <w:lvl w:ilvl="0">
      <w:lvlJc w:val="left"/>
      <w:lvlText w:val="(%1)"/>
      <w:numFmt w:val="lowerLetter"/>
      <w:start w:val="5"/>
    </w:lvl>
  </w:abstractNum>
  <w:abstractNum w:abstractNumId="97">
    <w:nsid w:val="7E0F6384"/>
    <w:multiLevelType w:val="hybridMultilevel"/>
    <w:lvl w:ilvl="0">
      <w:lvlJc w:val="left"/>
      <w:lvlText w:val="(%1)"/>
      <w:numFmt w:val="lowerLetter"/>
      <w:start w:val="2"/>
    </w:lvl>
  </w:abstractNum>
  <w:abstractNum w:abstractNumId="98">
    <w:nsid w:val="2B4B8B53"/>
    <w:multiLevelType w:val="hybridMultilevel"/>
    <w:lvl w:ilvl="0">
      <w:lvlJc w:val="left"/>
      <w:lvlText w:val="(%1)"/>
      <w:numFmt w:val="lowerLetter"/>
      <w:start w:val="4"/>
    </w:lvl>
  </w:abstractNum>
  <w:abstractNum w:abstractNumId="99">
    <w:nsid w:val="72E3413A"/>
    <w:multiLevelType w:val="hybridMultilevel"/>
    <w:lvl w:ilvl="0">
      <w:lvlJc w:val="left"/>
      <w:lvlText w:val="(%1)"/>
      <w:numFmt w:val="lowerRoman"/>
      <w:start w:val="1"/>
    </w:lvl>
  </w:abstractNum>
  <w:abstractNum w:abstractNumId="100">
    <w:nsid w:val="116AE494"/>
    <w:multiLevelType w:val="hybridMultilevel"/>
    <w:lvl w:ilvl="0">
      <w:lvlJc w:val="left"/>
      <w:lvlText w:val="(%1)"/>
      <w:numFmt w:val="lowerLetter"/>
      <w:start w:val="6"/>
    </w:lvl>
  </w:abstractNum>
  <w:abstractNum w:abstractNumId="101">
    <w:nsid w:val="3494B2FB"/>
    <w:multiLevelType w:val="hybridMultilevel"/>
    <w:lvl w:ilvl="0">
      <w:lvlJc w:val="left"/>
      <w:lvlText w:val="%1"/>
      <w:numFmt w:val="decimal"/>
      <w:start w:val="11"/>
    </w:lvl>
  </w:abstractNum>
  <w:abstractNum w:abstractNumId="102">
    <w:nsid w:val="B13A31"/>
    <w:multiLevelType w:val="hybridMultilevel"/>
    <w:lvl w:ilvl="0">
      <w:lvlJc w:val="left"/>
      <w:lvlText w:val="(%1)"/>
      <w:numFmt w:val="lowerLetter"/>
      <w:start w:val="25"/>
    </w:lvl>
    <w:lvl w:ilvl="1">
      <w:lvlJc w:val="left"/>
      <w:lvlText w:val="(%2)"/>
      <w:numFmt w:val="lowerLetter"/>
      <w:start w:val="1"/>
    </w:lvl>
  </w:abstractNum>
  <w:abstractNum w:abstractNumId="103">
    <w:nsid w:val="64429599"/>
    <w:multiLevelType w:val="hybridMultilevel"/>
    <w:lvl w:ilvl="0">
      <w:lvlJc w:val="left"/>
      <w:lvlText w:val="(%1)"/>
      <w:numFmt w:val="lowerLetter"/>
      <w:start w:val="2"/>
    </w:lvl>
  </w:abstractNum>
  <w:abstractNum w:abstractNumId="104">
    <w:nsid w:val="631F1690"/>
    <w:multiLevelType w:val="hybridMultilevel"/>
    <w:lvl w:ilvl="0">
      <w:lvlJc w:val="left"/>
      <w:lvlText w:val="X"/>
      <w:numFmt w:val="bullet"/>
      <w:start w:val="1"/>
    </w:lvl>
  </w:abstractNum>
  <w:abstractNum w:abstractNumId="105">
    <w:nsid w:val="25973E32"/>
    <w:multiLevelType w:val="hybridMultilevel"/>
    <w:lvl w:ilvl="0">
      <w:lvlJc w:val="left"/>
      <w:lvlText w:val="Y"/>
      <w:numFmt w:val="bullet"/>
      <w:start w:val="1"/>
    </w:lvl>
  </w:abstractNum>
  <w:abstractNum w:abstractNumId="106">
    <w:nsid w:val="EAD6F57"/>
    <w:multiLevelType w:val="hybridMultilevel"/>
    <w:lvl w:ilvl="0">
      <w:lvlJc w:val="left"/>
      <w:lvlText w:val="(%1)"/>
      <w:numFmt w:val="lowerLetter"/>
      <w:start w:val="3"/>
    </w:lvl>
  </w:abstractNum>
  <w:abstractNum w:abstractNumId="107">
    <w:nsid w:val="6EC9D844"/>
    <w:multiLevelType w:val="hybridMultilevel"/>
    <w:lvl w:ilvl="0">
      <w:lvlJc w:val="left"/>
      <w:lvlText w:val="(%1)"/>
      <w:numFmt w:val="decimal"/>
      <w:start w:val="1"/>
    </w:lvl>
  </w:abstractNum>
  <w:abstractNum w:abstractNumId="108">
    <w:nsid w:val="5C49EAEE"/>
    <w:multiLevelType w:val="hybridMultilevel"/>
    <w:lvl w:ilvl="0">
      <w:lvlJc w:val="left"/>
      <w:lvlText w:val="%1"/>
      <w:numFmt w:val="lowerLetter"/>
      <w:start w:val="1"/>
    </w:lvl>
    <w:lvl w:ilvl="1">
      <w:lvlJc w:val="left"/>
      <w:lvlText w:val="(%2)"/>
      <w:numFmt w:val="upperLetter"/>
      <w:start w:val="1"/>
    </w:lvl>
  </w:abstractNum>
  <w:abstractNum w:abstractNumId="109">
    <w:nsid w:val="64AF49B"/>
    <w:multiLevelType w:val="hybridMultilevel"/>
    <w:lvl w:ilvl="0">
      <w:lvlJc w:val="left"/>
      <w:lvlText w:val="(%1)"/>
      <w:numFmt w:val="lowerLetter"/>
      <w:start w:val="4"/>
    </w:lvl>
    <w:lvl w:ilvl="1">
      <w:lvlJc w:val="left"/>
      <w:lvlText w:val="%2"/>
      <w:numFmt w:val="upperLetter"/>
      <w:start w:val="1"/>
    </w:lvl>
  </w:abstractNum>
  <w:abstractNum w:abstractNumId="110">
    <w:nsid w:val="397C46BC"/>
    <w:multiLevelType w:val="hybridMultilevel"/>
    <w:lvl w:ilvl="0">
      <w:lvlJc w:val="left"/>
      <w:lvlText w:val="C"/>
      <w:numFmt w:val="bullet"/>
      <w:start w:val="1"/>
    </w:lvl>
  </w:abstractNum>
  <w:abstractNum w:abstractNumId="111">
    <w:nsid w:val="7E448DE9"/>
    <w:multiLevelType w:val="hybridMultilevel"/>
    <w:lvl w:ilvl="0">
      <w:lvlJc w:val="left"/>
      <w:lvlText w:val="(%1)"/>
      <w:numFmt w:val="lowerLetter"/>
      <w:start w:val="5"/>
    </w:lvl>
  </w:abstractNum>
  <w:abstractNum w:abstractNumId="112">
    <w:nsid w:val="5A9CC3E5"/>
    <w:multiLevelType w:val="hybridMultilevel"/>
    <w:lvl w:ilvl="0">
      <w:lvlJc w:val="left"/>
      <w:lvlText w:val="(%1)"/>
      <w:numFmt w:val="lowerLetter"/>
      <w:start w:val="6"/>
    </w:lvl>
  </w:abstractNum>
  <w:abstractNum w:abstractNumId="113">
    <w:nsid w:val="1AFE3625"/>
    <w:multiLevelType w:val="hybridMultilevel"/>
    <w:lvl w:ilvl="0">
      <w:lvlJc w:val="left"/>
      <w:lvlText w:val="(%1)"/>
      <w:numFmt w:val="lowerLetter"/>
      <w:start w:val="10"/>
    </w:lvl>
    <w:lvl w:ilvl="1">
      <w:lvlJc w:val="left"/>
      <w:lvlText w:val="(%2)"/>
      <w:numFmt w:val="lowerRoman"/>
      <w:start w:val="1"/>
    </w:lvl>
  </w:abstractNum>
  <w:abstractNum w:abstractNumId="114">
    <w:nsid w:val="3CA88ECF"/>
    <w:multiLevelType w:val="hybridMultilevel"/>
    <w:lvl w:ilvl="0">
      <w:lvlJc w:val="left"/>
      <w:lvlText w:val="(%1)"/>
      <w:numFmt w:val="lowerLetter"/>
      <w:start w:val="13"/>
    </w:lvl>
  </w:abstractNum>
  <w:abstractNum w:abstractNumId="115">
    <w:nsid w:val="6EBE4208"/>
    <w:multiLevelType w:val="hybridMultilevel"/>
    <w:lvl w:ilvl="0">
      <w:lvlJc w:val="left"/>
      <w:lvlText w:val="(%1)"/>
      <w:numFmt w:val="lowerLetter"/>
      <w:start w:val="14"/>
    </w:lvl>
  </w:abstractNum>
  <w:abstractNum w:abstractNumId="116">
    <w:nsid w:val="C058DF5"/>
    <w:multiLevelType w:val="hybridMultilevel"/>
    <w:lvl w:ilvl="0">
      <w:lvlJc w:val="left"/>
      <w:lvlText w:val="(%1)"/>
      <w:numFmt w:val="lowerLetter"/>
      <w:start w:val="1"/>
    </w:lvl>
    <w:lvl w:ilvl="1">
      <w:lvlJc w:val="left"/>
      <w:lvlText w:val="(%2)"/>
      <w:numFmt w:val="lowerRoman"/>
      <w:start w:val="1"/>
    </w:lvl>
  </w:abstractNum>
  <w:abstractNum w:abstractNumId="117">
    <w:nsid w:val="CBE5BE9"/>
    <w:multiLevelType w:val="hybridMultilevel"/>
    <w:lvl w:ilvl="0">
      <w:lvlJc w:val="left"/>
      <w:lvlText w:val="(%1)"/>
      <w:numFmt w:val="lowerLetter"/>
      <w:start w:val="2"/>
    </w:lvl>
  </w:abstractNum>
  <w:abstractNum w:abstractNumId="118">
    <w:nsid w:val="3102BBE2"/>
    <w:multiLevelType w:val="hybridMultilevel"/>
    <w:lvl w:ilvl="0">
      <w:lvlJc w:val="left"/>
      <w:lvlText w:val="(%1)"/>
      <w:numFmt w:val="lowerLetter"/>
      <w:start w:val="2"/>
    </w:lvl>
  </w:abstractNum>
  <w:abstractNum w:abstractNumId="119">
    <w:nsid w:val="26A02C5E"/>
    <w:multiLevelType w:val="hybridMultilevel"/>
    <w:lvl w:ilvl="0">
      <w:lvlJc w:val="left"/>
      <w:lvlText w:val="(%1)"/>
      <w:numFmt w:val="lowerLetter"/>
      <w:start w:val="1"/>
    </w:lvl>
  </w:abstractNum>
  <w:abstractNum w:abstractNumId="120">
    <w:nsid w:val="541C8153"/>
    <w:multiLevelType w:val="hybridMultilevel"/>
    <w:lvl w:ilvl="0">
      <w:lvlJc w:val="left"/>
      <w:lvlText w:val="(%1)"/>
      <w:numFmt w:val="lowerLetter"/>
      <w:start w:val="1"/>
    </w:lvl>
  </w:abstractNum>
  <w:abstractNum w:abstractNumId="121">
    <w:nsid w:val="67906F60"/>
    <w:multiLevelType w:val="hybridMultilevel"/>
    <w:lvl w:ilvl="0">
      <w:lvlJc w:val="left"/>
      <w:lvlText w:val="(%1)"/>
      <w:numFmt w:val="lowerLetter"/>
      <w:start w:val="2"/>
    </w:lvl>
    <w:lvl w:ilvl="1">
      <w:lvlJc w:val="left"/>
      <w:lvlText w:val="(%2)"/>
      <w:numFmt w:val="lowerLetter"/>
      <w:start w:val="9"/>
    </w:lvl>
  </w:abstractNum>
  <w:abstractNum w:abstractNumId="122">
    <w:nsid w:val="10DB9DAA"/>
    <w:multiLevelType w:val="hybridMultilevel"/>
    <w:lvl w:ilvl="0">
      <w:lvlJc w:val="left"/>
      <w:lvlText w:val="(%1)"/>
      <w:numFmt w:val="lowerRoman"/>
      <w:start w:val="2"/>
    </w:lvl>
  </w:abstractNum>
  <w:abstractNum w:abstractNumId="123">
    <w:nsid w:val="697D2D2"/>
    <w:multiLevelType w:val="hybridMultilevel"/>
    <w:lvl w:ilvl="0">
      <w:lvlJc w:val="left"/>
      <w:lvlText w:val="(%1)"/>
      <w:numFmt w:val="decimal"/>
      <w:start w:val="1"/>
    </w:lvl>
  </w:abstractNum>
  <w:abstractNum w:abstractNumId="124">
    <w:nsid w:val="6D68AB2"/>
    <w:multiLevelType w:val="hybridMultilevel"/>
    <w:lvl w:ilvl="0">
      <w:lvlJc w:val="left"/>
      <w:lvlText w:val="(%1)"/>
      <w:numFmt w:val="lowerLetter"/>
      <w:start w:val="3"/>
    </w:lvl>
    <w:lvl w:ilvl="1">
      <w:lvlJc w:val="left"/>
      <w:lvlText w:val="(%2)"/>
      <w:numFmt w:val="lowerRoman"/>
      <w:start w:val="1"/>
    </w:lvl>
  </w:abstractNum>
  <w:abstractNum w:abstractNumId="125">
    <w:nsid w:val="3A966CD0"/>
    <w:multiLevelType w:val="hybridMultilevel"/>
    <w:lvl w:ilvl="0">
      <w:lvlJc w:val="left"/>
      <w:lvlText w:val="(%1)"/>
      <w:numFmt w:val="lowerLetter"/>
      <w:start w:val="4"/>
    </w:lvl>
  </w:abstractNum>
  <w:abstractNum w:abstractNumId="126">
    <w:nsid w:val="63F37E85"/>
    <w:multiLevelType w:val="hybridMultilevel"/>
    <w:lvl w:ilvl="0">
      <w:lvlJc w:val="left"/>
      <w:lvlText w:val="(%1)"/>
      <w:numFmt w:val="lowerRoman"/>
      <w:start w:val="2"/>
    </w:lvl>
  </w:abstractNum>
  <w:abstractNum w:abstractNumId="127">
    <w:nsid w:val="5895F5FA"/>
    <w:multiLevelType w:val="hybridMultilevel"/>
    <w:lvl w:ilvl="0">
      <w:lvlJc w:val="left"/>
      <w:lvlText w:val="(%1)"/>
      <w:numFmt w:val="lowerLetter"/>
      <w:start w:val="2"/>
    </w:lvl>
  </w:abstractNum>
  <w:abstractNum w:abstractNumId="128">
    <w:nsid w:val="38A5D054"/>
    <w:multiLevelType w:val="hybridMultilevel"/>
    <w:lvl w:ilvl="0">
      <w:lvlJc w:val="left"/>
      <w:lvlText w:val="(%1)"/>
      <w:numFmt w:val="lowerLetter"/>
      <w:start w:val="1"/>
    </w:lvl>
  </w:abstractNum>
  <w:abstractNum w:abstractNumId="129">
    <w:nsid w:val="F3F09D8"/>
    <w:multiLevelType w:val="hybridMultilevel"/>
    <w:lvl w:ilvl="0">
      <w:lvlJc w:val="left"/>
      <w:lvlText w:val="(%1)"/>
      <w:numFmt w:val="lowerLetter"/>
      <w:start w:val="2"/>
    </w:lvl>
    <w:lvl w:ilvl="1">
      <w:lvlJc w:val="left"/>
      <w:lvlText w:val="(%2)"/>
      <w:numFmt w:val="lowerRoman"/>
      <w:start w:val="1"/>
    </w:lvl>
  </w:abstractNum>
  <w:abstractNum w:abstractNumId="130">
    <w:nsid w:val="4B793735"/>
    <w:multiLevelType w:val="hybridMultilevel"/>
    <w:lvl w:ilvl="0">
      <w:lvlJc w:val="left"/>
      <w:lvlText w:val="(%1)"/>
      <w:numFmt w:val="lowerLetter"/>
      <w:start w:val="4"/>
    </w:lvl>
  </w:abstractNum>
  <w:abstractNum w:abstractNumId="131">
    <w:nsid w:val="4A10B4E8"/>
    <w:multiLevelType w:val="hybridMultilevel"/>
    <w:lvl w:ilvl="0">
      <w:lvlJc w:val="left"/>
      <w:lvlText w:val="(%1)"/>
      <w:numFmt w:val="lowerLetter"/>
      <w:start w:val="2"/>
    </w:lvl>
  </w:abstractNum>
  <w:abstractNum w:abstractNumId="132">
    <w:nsid w:val="43D3BCD4"/>
    <w:multiLevelType w:val="hybridMultilevel"/>
    <w:lvl w:ilvl="0">
      <w:lvlJc w:val="left"/>
      <w:lvlText w:val="(%1)"/>
      <w:numFmt w:val="decimal"/>
      <w:start w:val="1"/>
    </w:lvl>
  </w:abstractNum>
  <w:abstractNum w:abstractNumId="133">
    <w:nsid w:val="4C2A7166"/>
    <w:multiLevelType w:val="hybridMultilevel"/>
    <w:lvl w:ilvl="0">
      <w:lvlJc w:val="left"/>
      <w:lvlText w:val="(%1)"/>
      <w:numFmt w:val="upperLetter"/>
      <w:start w:val="1"/>
    </w:lvl>
  </w:abstractNum>
  <w:abstractNum w:abstractNumId="134">
    <w:nsid w:val="2E534A82"/>
    <w:multiLevelType w:val="hybridMultilevel"/>
    <w:lvl w:ilvl="0">
      <w:lvlJc w:val="left"/>
      <w:lvlText w:val="%1"/>
      <w:numFmt w:val="decimal"/>
      <w:start w:val="15"/>
    </w:lvl>
  </w:abstractNum>
  <w:abstractNum w:abstractNumId="135">
    <w:nsid w:val="26F2D364"/>
    <w:multiLevelType w:val="hybridMultilevel"/>
    <w:lvl w:ilvl="0">
      <w:lvlJc w:val="left"/>
      <w:lvlText w:val="%1"/>
      <w:numFmt w:val="decimal"/>
      <w:start w:val="16"/>
    </w:lvl>
  </w:abstractNum>
  <w:abstractNum w:abstractNumId="136">
    <w:nsid w:val="71C1AF98"/>
    <w:multiLevelType w:val="hybridMultilevel"/>
    <w:lvl w:ilvl="0">
      <w:lvlJc w:val="left"/>
      <w:lvlText w:val="$"/>
      <w:numFmt w:val="bullet"/>
      <w:start w:val="1"/>
    </w:lvl>
  </w:abstractNum>
  <w:abstractNum w:abstractNumId="137">
    <w:nsid w:val="3D00B9D9"/>
    <w:multiLevelType w:val="hybridMultilevel"/>
    <w:lvl w:ilvl="0">
      <w:lvlJc w:val="left"/>
      <w:lvlText w:val="☐"/>
      <w:numFmt w:val="bullet"/>
      <w:start w:val="1"/>
    </w:lvl>
  </w:abstractNum>
  <w:abstractNum w:abstractNumId="138">
    <w:nsid w:val="15BCABA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39">
    <w:nsid w:val="4E0B9A87"/>
    <w:multiLevelType w:val="hybridMultilevel"/>
    <w:lvl w:ilvl="0">
      <w:lvlJc w:val="left"/>
      <w:lvlText w:val="%1"/>
      <w:numFmt w:val="lowerLetter"/>
      <w:start w:val="1"/>
    </w:lvl>
    <w:lvl w:ilvl="1">
      <w:lvlJc w:val="left"/>
      <w:lvlText w:val="(%2)"/>
      <w:numFmt w:val="lowerRoman"/>
      <w:start w:val="2"/>
    </w:lvl>
  </w:abstractNum>
  <w:abstractNum w:abstractNumId="140">
    <w:nsid w:val="434BAE75"/>
    <w:multiLevelType w:val="hybridMultilevel"/>
    <w:lvl w:ilvl="0">
      <w:lvlJc w:val="left"/>
      <w:lvlText w:val="%1."/>
      <w:numFmt w:val="lowerLetter"/>
      <w:start w:val="4"/>
    </w:lvl>
    <w:lvl w:ilvl="1">
      <w:lvlJc w:val="left"/>
      <w:lvlText w:val="(%2)"/>
      <w:numFmt w:val="lowerRoman"/>
      <w:start w:val="1"/>
    </w:lvl>
  </w:abstractNum>
  <w:abstractNum w:abstractNumId="141">
    <w:nsid w:val="4F38F265"/>
    <w:multiLevelType w:val="hybridMultilevel"/>
    <w:lvl w:ilvl="0">
      <w:lvlJc w:val="left"/>
      <w:lvlText w:val="(%1)"/>
      <w:numFmt w:val="lowerRoman"/>
      <w:start w:val="5"/>
    </w:lvl>
  </w:abstractNum>
  <w:abstractNum w:abstractNumId="142">
    <w:nsid w:val="4C502870"/>
    <w:multiLevelType w:val="hybridMultilevel"/>
    <w:lvl w:ilvl="0">
      <w:lvlJc w:val="left"/>
      <w:lvlText w:val="%1"/>
      <w:numFmt w:val="decimal"/>
      <w:start w:val="1"/>
    </w:lvl>
    <w:lvl w:ilvl="1">
      <w:lvlJc w:val="left"/>
      <w:lvlText w:val="%2."/>
      <w:numFmt w:val="lowerLetter"/>
      <w:start w:val="6"/>
    </w:lvl>
  </w:abstractNum>
  <w:abstractNum w:abstractNumId="143">
    <w:nsid w:val="1DE8725A"/>
    <w:multiLevelType w:val="hybridMultilevel"/>
    <w:lvl w:ilvl="0">
      <w:lvlJc w:val="left"/>
      <w:lvlText w:val="%1."/>
      <w:numFmt w:val="decimal"/>
      <w:start w:val="3"/>
    </w:lvl>
    <w:lvl w:ilvl="1">
      <w:lvlJc w:val="left"/>
      <w:lvlText w:val="%2."/>
      <w:numFmt w:val="lowerLetter"/>
      <w:start w:val="1"/>
    </w:lvl>
  </w:abstractNum>
  <w:abstractNum w:abstractNumId="144">
    <w:nsid w:val="6A37288A"/>
    <w:multiLevelType w:val="hybridMultilevel"/>
    <w:lvl w:ilvl="0">
      <w:lvlJc w:val="left"/>
      <w:lvlText w:val="%1"/>
      <w:numFmt w:val="lowerRoman"/>
      <w:start w:val="1"/>
    </w:lvl>
    <w:lvl w:ilvl="1">
      <w:lvlJc w:val="left"/>
      <w:lvlText w:val="%2."/>
      <w:numFmt w:val="lowerLetter"/>
      <w:start w:val="9"/>
    </w:lvl>
  </w:abstractNum>
  <w:abstractNum w:abstractNumId="145">
    <w:nsid w:val="8F8B73F"/>
    <w:multiLevelType w:val="hybridMultilevel"/>
    <w:lvl w:ilvl="0">
      <w:lvlJc w:val="left"/>
      <w:lvlText w:val="(%1)"/>
      <w:numFmt w:val="lowerRoman"/>
      <w:start w:val="2"/>
    </w:lvl>
    <w:lvl w:ilvl="1">
      <w:lvlJc w:val="left"/>
      <w:lvlText w:val="%2"/>
      <w:numFmt w:val="lowerLetter"/>
      <w:start w:val="1"/>
    </w:lvl>
  </w:abstractNum>
  <w:abstractNum w:abstractNumId="146">
    <w:nsid w:val="CA6B462"/>
    <w:multiLevelType w:val="hybridMultilevel"/>
    <w:lvl w:ilvl="0">
      <w:lvlJc w:val="left"/>
      <w:lvlText w:val="(%1)"/>
      <w:numFmt w:val="lowerRoman"/>
      <w:start w:val="4"/>
    </w:lvl>
    <w:lvl w:ilvl="1">
      <w:lvlJc w:val="left"/>
      <w:lvlText w:val="%2."/>
      <w:numFmt w:val="lowerLetter"/>
      <w:start w:val="10"/>
    </w:lvl>
  </w:abstractNum>
  <w:abstractNum w:abstractNumId="147">
    <w:nsid w:val="763CB680"/>
    <w:multiLevelType w:val="hybridMultilevel"/>
    <w:lvl w:ilvl="0">
      <w:lvlJc w:val="left"/>
      <w:lvlText w:val="%1"/>
      <w:numFmt w:val="lowerRoman"/>
      <w:start w:val="1"/>
    </w:lvl>
    <w:lvl w:ilvl="1">
      <w:lvlJc w:val="left"/>
      <w:lvlText w:val="%2."/>
      <w:numFmt w:val="lowerLetter"/>
      <w:start w:val="12"/>
    </w:lvl>
  </w:abstractNum>
  <w:abstractNum w:abstractNumId="148">
    <w:nsid w:val="15B71329"/>
    <w:multiLevelType w:val="hybridMultilevel"/>
    <w:lvl w:ilvl="0">
      <w:lvlJc w:val="left"/>
      <w:lvlText w:val="(%1)"/>
      <w:numFmt w:val="lowerRoman"/>
      <w:start w:val="1"/>
    </w:lvl>
    <w:lvl w:ilvl="1">
      <w:lvlJc w:val="left"/>
      <w:lvlText w:val="%2"/>
      <w:numFmt w:val="lowerLetter"/>
      <w:start w:val="1"/>
    </w:lvl>
  </w:abstractNum>
  <w:abstractNum w:abstractNumId="149">
    <w:nsid w:val="3DA97044"/>
    <w:multiLevelType w:val="hybridMultilevel"/>
    <w:lvl w:ilvl="0">
      <w:lvlJc w:val="left"/>
      <w:lvlText w:val="%1."/>
      <w:numFmt w:val="decimal"/>
      <w:start w:val="4"/>
    </w:lvl>
    <w:lvl w:ilvl="1">
      <w:lvlJc w:val="left"/>
      <w:lvlText w:val="%2."/>
      <w:numFmt w:val="lowerLetter"/>
      <w:start w:val="1"/>
    </w:lvl>
  </w:abstractNum>
  <w:abstractNum w:abstractNumId="150">
    <w:nsid w:val="1CDCE2DE"/>
    <w:multiLevelType w:val="hybridMultilevel"/>
    <w:lvl w:ilvl="0">
      <w:lvlJc w:val="left"/>
      <w:lvlText w:val="%1."/>
      <w:numFmt w:val="lowerLetter"/>
      <w:start w:val="6"/>
    </w:lvl>
  </w:abstractNum>
  <w:abstractNum w:abstractNumId="151">
    <w:nsid w:val="69D3947C"/>
    <w:multiLevelType w:val="hybridMultilevel"/>
    <w:lvl w:ilvl="0">
      <w:lvlJc w:val="left"/>
      <w:lvlText w:val="(%1)"/>
      <w:numFmt w:val="decimal"/>
      <w:start w:val="1"/>
    </w:lvl>
  </w:abstractNum>
  <w:abstractNum w:abstractNumId="152">
    <w:nsid w:val="2539DFA5"/>
    <w:multiLevelType w:val="hybridMultilevel"/>
    <w:lvl w:ilvl="0">
      <w:lvlJc w:val="left"/>
      <w:lvlText w:val="(%1)"/>
      <w:numFmt w:val="upperLetter"/>
      <w:start w:val="1"/>
    </w:lvl>
  </w:abstractNum>
  <w:abstractNum w:abstractNumId="153">
    <w:nsid w:val="2DB88089"/>
    <w:multiLevelType w:val="hybridMultilevel"/>
    <w:lvl w:ilvl="0">
      <w:lvlJc w:val="left"/>
      <w:lvlText w:val="%1."/>
      <w:numFmt w:val="lowerLetter"/>
      <w:start w:val="9"/>
    </w:lvl>
  </w:abstractNum>
  <w:abstractNum w:abstractNumId="154">
    <w:nsid w:val="706B674E"/>
    <w:multiLevelType w:val="hybridMultilevel"/>
    <w:lvl w:ilvl="0">
      <w:lvlJc w:val="left"/>
      <w:lvlText w:val="%1."/>
      <w:numFmt w:val="lowerLetter"/>
      <w:start w:val="12"/>
    </w:lvl>
  </w:abstractNum>
  <w:abstractNum w:abstractNumId="155">
    <w:nsid w:val="2C106A57"/>
    <w:multiLevelType w:val="hybridMultilevel"/>
    <w:lvl w:ilvl="0">
      <w:lvlJc w:val="left"/>
      <w:lvlText w:val="%1"/>
      <w:numFmt w:val="lowerLetter"/>
      <w:start w:val="1"/>
    </w:lvl>
    <w:lvl w:ilvl="1">
      <w:lvlJc w:val="left"/>
      <w:lvlText w:val="%2."/>
      <w:numFmt w:val="decimal"/>
      <w:start w:val="5"/>
    </w:lvl>
  </w:abstractNum>
  <w:abstractNum w:abstractNumId="156">
    <w:nsid w:val="684EED59"/>
    <w:multiLevelType w:val="hybridMultilevel"/>
    <w:lvl w:ilvl="0">
      <w:lvlJc w:val="left"/>
      <w:lvlText w:val="(%1)"/>
      <w:numFmt w:val="lowerLetter"/>
      <w:start w:val="25"/>
    </w:lvl>
    <w:lvl w:ilvl="1">
      <w:lvlJc w:val="left"/>
      <w:lvlText w:val="%2"/>
      <w:numFmt w:val="decimal"/>
      <w:start w:val="1"/>
    </w:lvl>
  </w:abstractNum>
  <w:abstractNum w:abstractNumId="157">
    <w:nsid w:val="545EE5D3"/>
    <w:multiLevelType w:val="hybridMultilevel"/>
    <w:lvl w:ilvl="0">
      <w:lvlJc w:val="left"/>
      <w:lvlText w:val="%1."/>
      <w:numFmt w:val="decimal"/>
      <w:start w:val="8"/>
    </w:lvl>
    <w:lvl w:ilvl="1">
      <w:lvlJc w:val="left"/>
      <w:lvlText w:val="%2."/>
      <w:numFmt w:val="lowerLetter"/>
      <w:start w:val="1"/>
    </w:lvl>
  </w:abstractNum>
  <w:abstractNum w:abstractNumId="158">
    <w:nsid w:val="4A66051"/>
    <w:multiLevelType w:val="hybridMultilevel"/>
    <w:lvl w:ilvl="0">
      <w:lvlJc w:val="left"/>
      <w:lvlText w:val="(%1)"/>
      <w:numFmt w:val="lowerRoman"/>
      <w:start w:val="7"/>
    </w:lvl>
    <w:lvl w:ilvl="1">
      <w:lvlJc w:val="left"/>
      <w:lvlText w:val="%2."/>
      <w:numFmt w:val="lowerLetter"/>
      <w:start w:val="9"/>
    </w:lvl>
  </w:abstractNum>
  <w:abstractNum w:abstractNumId="159">
    <w:nsid w:val="20F4BDAD"/>
    <w:multiLevelType w:val="hybridMultilevel"/>
    <w:lvl w:ilvl="0">
      <w:lvlJc w:val="left"/>
      <w:lvlText w:val="☐"/>
      <w:numFmt w:val="bullet"/>
      <w:start w:val="1"/>
    </w:lvl>
  </w:abstractNum>
  <w:abstractNum w:abstractNumId="160">
    <w:nsid w:val="639DEFAC"/>
    <w:multiLevelType w:val="hybridMultilevel"/>
    <w:lvl w:ilvl="0">
      <w:lvlJc w:val="left"/>
      <w:lvlText w:val="☐"/>
      <w:numFmt w:val="bullet"/>
      <w:start w:val="1"/>
    </w:lvl>
  </w:abstractNum>
  <w:abstractNum w:abstractNumId="161">
    <w:nsid w:val="501F9786"/>
    <w:multiLevelType w:val="hybridMultilevel"/>
    <w:lvl w:ilvl="0">
      <w:lvlJc w:val="left"/>
      <w:lvlText w:val="☐"/>
      <w:numFmt w:val="bullet"/>
      <w:start w:val="1"/>
    </w:lvl>
  </w:abstractNum>
  <w:abstractNum w:abstractNumId="162">
    <w:nsid w:val="6B057295"/>
    <w:multiLevelType w:val="hybridMultilevel"/>
    <w:lvl w:ilvl="0">
      <w:lvlJc w:val="left"/>
      <w:lvlText w:val="☐"/>
      <w:numFmt w:val="bullet"/>
      <w:start w:val="1"/>
    </w:lvl>
  </w:abstractNum>
  <w:abstractNum w:abstractNumId="163">
    <w:nsid w:val="2771AC80"/>
    <w:multiLevelType w:val="hybridMultilevel"/>
    <w:lvl w:ilvl="0">
      <w:lvlJc w:val="left"/>
      <w:lvlText w:val="%1."/>
      <w:numFmt w:val="decimal"/>
      <w:start w:val="1"/>
    </w:lvl>
  </w:abstractNum>
  <w:abstractNum w:abstractNumId="164">
    <w:nsid w:val="1C4A08EC"/>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65">
    <w:nsid w:val="1958BD17"/>
    <w:multiLevelType w:val="hybridMultilevel"/>
    <w:lvl w:ilvl="0">
      <w:lvlJc w:val="left"/>
      <w:lvlText w:val="%1"/>
      <w:numFmt w:val="lowerLetter"/>
      <w:start w:val="1"/>
    </w:lvl>
    <w:lvl w:ilvl="1">
      <w:lvlJc w:val="left"/>
      <w:lvlText w:val="(%2)"/>
      <w:numFmt w:val="lowerRoman"/>
      <w:start w:val="1"/>
    </w:lvl>
  </w:abstractNum>
  <w:abstractNum w:abstractNumId="166">
    <w:nsid w:val="4E647FE4"/>
    <w:multiLevelType w:val="hybridMultilevel"/>
    <w:lvl w:ilvl="0">
      <w:lvlJc w:val="left"/>
      <w:lvlText w:val="%1."/>
      <w:numFmt w:val="lowerLetter"/>
      <w:start w:val="5"/>
    </w:lvl>
    <w:lvl w:ilvl="1">
      <w:lvlJc w:val="left"/>
      <w:lvlText w:val="(%2)"/>
      <w:numFmt w:val="lowerRoman"/>
      <w:start w:val="1"/>
    </w:lvl>
  </w:abstractNum>
  <w:abstractNum w:abstractNumId="167">
    <w:nsid w:val="E0BB885"/>
    <w:multiLevelType w:val="hybridMultilevel"/>
    <w:lvl w:ilvl="0">
      <w:lvlJc w:val="left"/>
      <w:lvlText w:val="%1."/>
      <w:numFmt w:val="decimal"/>
      <w:start w:val="3"/>
    </w:lvl>
    <w:lvl w:ilvl="1">
      <w:lvlJc w:val="left"/>
      <w:lvlText w:val="%2."/>
      <w:numFmt w:val="lowerLetter"/>
      <w:start w:val="1"/>
    </w:lvl>
  </w:abstractNum>
  <w:abstractNum w:abstractNumId="168">
    <w:nsid w:val="565976F1"/>
    <w:multiLevelType w:val="hybridMultilevel"/>
    <w:lvl w:ilvl="0">
      <w:lvlJc w:val="left"/>
      <w:lvlText w:val="%1."/>
      <w:numFmt w:val="decimal"/>
      <w:start w:val="4"/>
    </w:lvl>
    <w:lvl w:ilvl="1">
      <w:lvlJc w:val="left"/>
      <w:lvlText w:val="%2."/>
      <w:numFmt w:val="lowerLetter"/>
      <w:start w:val="1"/>
    </w:lvl>
  </w:abstractNum>
  <w:abstractNum w:abstractNumId="169">
    <w:nsid w:val="64212B8C"/>
    <w:multiLevelType w:val="hybridMultilevel"/>
    <w:lvl w:ilvl="0">
      <w:lvlJc w:val="left"/>
      <w:lvlText w:val="(%1)"/>
      <w:numFmt w:val="lowerRoman"/>
      <w:start w:val="2"/>
    </w:lvl>
    <w:lvl w:ilvl="1">
      <w:lvlJc w:val="left"/>
      <w:lvlText w:val="%2."/>
      <w:numFmt w:val="lowerLetter"/>
      <w:start w:val="5"/>
    </w:lvl>
  </w:abstractNum>
  <w:abstractNum w:abstractNumId="170">
    <w:nsid w:val="5C17530C"/>
    <w:multiLevelType w:val="hybridMultilevel"/>
    <w:lvl w:ilvl="0">
      <w:lvlJc w:val="left"/>
      <w:lvlText w:val="(%1)"/>
      <w:numFmt w:val="decimal"/>
      <w:start w:val="1"/>
    </w:lvl>
  </w:abstractNum>
  <w:abstractNum w:abstractNumId="171">
    <w:nsid w:val="19A52566"/>
    <w:multiLevelType w:val="hybridMultilevel"/>
    <w:lvl w:ilvl="0">
      <w:lvlJc w:val="left"/>
      <w:lvlText w:val="(%1)"/>
      <w:numFmt w:val="upperLetter"/>
      <w:start w:val="2"/>
    </w:lvl>
  </w:abstractNum>
  <w:abstractNum w:abstractNumId="172">
    <w:nsid w:val="335A1DF1"/>
    <w:multiLevelType w:val="hybridMultilevel"/>
    <w:lvl w:ilvl="0">
      <w:lvlJc w:val="left"/>
      <w:lvlText w:val="%1."/>
      <w:numFmt w:val="decimal"/>
      <w:start w:val="5"/>
    </w:lvl>
  </w:abstractNum>
  <w:abstractNum w:abstractNumId="173">
    <w:nsid w:val="28677B7C"/>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abstractNum>
  <w:abstractNum w:abstractNumId="174">
    <w:nsid w:val="378D97C0"/>
    <w:multiLevelType w:val="hybridMultilevel"/>
    <w:lvl w:ilvl="0">
      <w:lvlJc w:val="left"/>
      <w:lvlText w:val="(%1)"/>
      <w:numFmt w:val="lowerLetter"/>
      <w:start w:val="25"/>
    </w:lvl>
    <w:lvl w:ilvl="1">
      <w:lvlJc w:val="left"/>
      <w:lvlText w:val="%2."/>
      <w:numFmt w:val="decimal"/>
      <w:start w:val="9"/>
    </w:lvl>
    <w:lvl w:ilvl="2">
      <w:lvlJc w:val="left"/>
      <w:lvlText w:val="%3."/>
      <w:numFmt w:val="lowerLetter"/>
      <w:start w:val="1"/>
    </w:lvl>
  </w:abstractNum>
  <w:abstractNum w:abstractNumId="175">
    <w:nsid w:val="1D91467C"/>
    <w:multiLevelType w:val="hybridMultilevel"/>
    <w:lvl w:ilvl="0">
      <w:lvlJc w:val="left"/>
      <w:lvlText w:val="%1."/>
      <w:numFmt w:val="upperLetter"/>
      <w:start w:val="1"/>
    </w:lvl>
    <w:lvl w:ilvl="1">
      <w:lvlJc w:val="left"/>
      <w:lvlText w:val="☐"/>
      <w:numFmt w:val="bullet"/>
      <w:start w:val="1"/>
    </w:lvl>
  </w:abstractNum>
  <w:abstractNum w:abstractNumId="176">
    <w:nsid w:val="316032BB"/>
    <w:multiLevelType w:val="hybridMultilevel"/>
    <w:lvl w:ilvl="0">
      <w:lvlJc w:val="left"/>
      <w:lvlText w:val="☐"/>
      <w:numFmt w:val="bullet"/>
      <w:start w:val="1"/>
    </w:lvl>
  </w:abstractNum>
  <w:abstractNum w:abstractNumId="177">
    <w:nsid w:val="44344C22"/>
    <w:multiLevelType w:val="hybridMultilevel"/>
    <w:lvl w:ilvl="0">
      <w:lvlJc w:val="left"/>
      <w:lvlText w:val="%1."/>
      <w:numFmt w:val="decimal"/>
      <w:start w:val="1"/>
    </w:lvl>
    <w:lvl w:ilvl="1">
      <w:lvlJc w:val="left"/>
      <w:lvlText w:val="%2"/>
      <w:numFmt w:val="lowerLetter"/>
      <w:start w:val="1"/>
    </w:lvl>
  </w:abstractNum>
  <w:abstractNum w:abstractNumId="178">
    <w:nsid w:val="13CDFCFC"/>
    <w:multiLevelType w:val="hybridMultilevel"/>
    <w:lvl w:ilvl="0">
      <w:lvlJc w:val="left"/>
      <w:lvlText w:val="(%1)"/>
      <w:numFmt w:val="lowerRoman"/>
      <w:start w:val="1"/>
    </w:lvl>
  </w:abstractNum>
  <w:abstractNum w:abstractNumId="179">
    <w:nsid w:val="471745E4"/>
    <w:multiLevelType w:val="hybridMultilevel"/>
    <w:lvl w:ilvl="0">
      <w:lvlJc w:val="left"/>
      <w:lvlText w:val="%1"/>
      <w:numFmt w:val="lowerLetter"/>
      <w:start w:val="1"/>
    </w:lvl>
    <w:lvl w:ilvl="1">
      <w:lvlJc w:val="left"/>
      <w:lvlText w:val="(%2)"/>
      <w:numFmt w:val="lowerRoman"/>
      <w:start w:val="1"/>
    </w:lvl>
  </w:abstractNum>
  <w:abstractNum w:abstractNumId="180">
    <w:nsid w:val="1DDBC66"/>
    <w:multiLevelType w:val="hybridMultilevel"/>
    <w:lvl w:ilvl="0">
      <w:lvlJc w:val="left"/>
      <w:lvlText w:val="%1."/>
      <w:numFmt w:val="lowerLetter"/>
      <w:start w:val="5"/>
    </w:lvl>
    <w:lvl w:ilvl="1">
      <w:lvlJc w:val="left"/>
      <w:lvlText w:val="(%2)"/>
      <w:numFmt w:val="lowerRoman"/>
      <w:start w:val="1"/>
    </w:lvl>
  </w:abstractNum>
  <w:abstractNum w:abstractNumId="181">
    <w:nsid w:val="30AADFDA"/>
    <w:multiLevelType w:val="hybridMultilevel"/>
    <w:lvl w:ilvl="0">
      <w:lvlJc w:val="left"/>
      <w:lvlText w:val="%1."/>
      <w:numFmt w:val="decimal"/>
      <w:start w:val="3"/>
    </w:lvl>
    <w:lvl w:ilvl="1">
      <w:lvlJc w:val="left"/>
      <w:lvlText w:val="%2."/>
      <w:numFmt w:val="lowerLetter"/>
      <w:start w:val="1"/>
    </w:lvl>
  </w:abstractNum>
  <w:abstractNum w:abstractNumId="182">
    <w:nsid w:val="30EADA61"/>
    <w:multiLevelType w:val="hybridMultilevel"/>
    <w:lvl w:ilvl="0">
      <w:lvlJc w:val="left"/>
      <w:lvlText w:val="%1."/>
      <w:numFmt w:val="lowerLetter"/>
      <w:start w:val="6"/>
    </w:lvl>
  </w:abstractNum>
  <w:abstractNum w:abstractNumId="183">
    <w:nsid w:val="27179C0B"/>
    <w:multiLevelType w:val="hybridMultilevel"/>
    <w:lvl w:ilvl="0">
      <w:lvlJc w:val="left"/>
      <w:lvlText w:val="%1."/>
      <w:numFmt w:val="lowerLetter"/>
      <w:start w:val="9"/>
    </w:lvl>
  </w:abstractNum>
  <w:abstractNum w:abstractNumId="184">
    <w:nsid w:val="5E636063"/>
    <w:multiLevelType w:val="hybridMultilevel"/>
    <w:lvl w:ilvl="0">
      <w:lvlJc w:val="left"/>
      <w:lvlText w:val="%1"/>
      <w:numFmt w:val="decimal"/>
      <w:start w:val="1"/>
    </w:lvl>
    <w:lvl w:ilvl="1">
      <w:lvlJc w:val="left"/>
      <w:lvlText w:val="%2."/>
      <w:numFmt w:val="lowerLetter"/>
      <w:start w:val="18"/>
    </w:lvl>
  </w:abstractNum>
  <w:abstractNum w:abstractNumId="185">
    <w:nsid w:val="215641AF"/>
    <w:multiLevelType w:val="hybridMultilevel"/>
    <w:lvl w:ilvl="0">
      <w:lvlJc w:val="left"/>
      <w:lvlText w:val="%1."/>
      <w:numFmt w:val="decimal"/>
      <w:start w:val="4"/>
    </w:lvl>
    <w:lvl w:ilvl="1">
      <w:lvlJc w:val="left"/>
      <w:lvlText w:val="%2."/>
      <w:numFmt w:val="lowerLetter"/>
      <w:start w:val="1"/>
    </w:lvl>
  </w:abstractNum>
  <w:abstractNum w:abstractNumId="186">
    <w:nsid w:val="53280662"/>
    <w:multiLevelType w:val="hybridMultilevel"/>
    <w:lvl w:ilvl="0">
      <w:lvlJc w:val="left"/>
      <w:lvlText w:val="%1."/>
      <w:numFmt w:val="lowerLetter"/>
      <w:start w:val="6"/>
    </w:lvl>
  </w:abstractNum>
  <w:abstractNum w:abstractNumId="187">
    <w:nsid w:val="46B24DBC"/>
    <w:multiLevelType w:val="hybridMultilevel"/>
    <w:lvl w:ilvl="0">
      <w:lvlJc w:val="left"/>
      <w:lvlText w:val="(%1)"/>
      <w:numFmt w:val="decimal"/>
      <w:start w:val="1"/>
    </w:lvl>
  </w:abstractNum>
  <w:abstractNum w:abstractNumId="188">
    <w:nsid w:val="75B52783"/>
    <w:multiLevelType w:val="hybridMultilevel"/>
    <w:lvl w:ilvl="0">
      <w:lvlJc w:val="left"/>
      <w:lvlText w:val="(%1)"/>
      <w:numFmt w:val="upperLetter"/>
      <w:start w:val="2"/>
    </w:lvl>
  </w:abstractNum>
  <w:abstractNum w:abstractNumId="189">
    <w:nsid w:val="57CE66B4"/>
    <w:multiLevelType w:val="hybridMultilevel"/>
    <w:lvl w:ilvl="0">
      <w:lvlJc w:val="left"/>
      <w:lvlText w:val="%1."/>
      <w:numFmt w:val="lowerRoman"/>
      <w:start w:val="1"/>
    </w:lvl>
  </w:abstractNum>
  <w:abstractNum w:abstractNumId="190">
    <w:nsid w:val="67A70B69"/>
    <w:multiLevelType w:val="hybridMultilevel"/>
    <w:lvl w:ilvl="0">
      <w:lvlJc w:val="left"/>
      <w:lvlText w:val="%1."/>
      <w:numFmt w:val="decimal"/>
      <w:start w:val="5"/>
    </w:lvl>
  </w:abstractNum>
  <w:abstractNum w:abstractNumId="191">
    <w:nsid w:val="5953172F"/>
    <w:multiLevelType w:val="hybridMultilevel"/>
    <w:lvl w:ilvl="0">
      <w:lvlJc w:val="left"/>
      <w:lvlText w:val="%1"/>
      <w:numFmt w:val="lowerRoman"/>
      <w:start w:val="1"/>
    </w:lvl>
    <w:lvl w:ilvl="1">
      <w:lvlJc w:val="left"/>
      <w:lvlText w:val="%2."/>
      <w:numFmt w:val="decimal"/>
      <w:start w:val="6"/>
    </w:lvl>
    <w:lvl w:ilvl="2">
      <w:lvlJc w:val="left"/>
      <w:lvlText w:val="%3"/>
      <w:numFmt w:val="lowerLetter"/>
      <w:start w:val="1"/>
    </w:lvl>
  </w:abstractNum>
  <w:abstractNum w:abstractNumId="192">
    <w:nsid w:val="27EDFE3A"/>
    <w:multiLevelType w:val="hybridMultilevel"/>
    <w:lvl w:ilvl="0">
      <w:lvlJc w:val="left"/>
      <w:lvlText w:val="(%1)"/>
      <w:numFmt w:val="lowerRoman"/>
      <w:start w:val="2"/>
    </w:lvl>
    <w:lvl w:ilvl="1">
      <w:lvlJc w:val="left"/>
      <w:lvlText w:val="%2"/>
      <w:numFmt w:val="decimal"/>
      <w:start w:val="1"/>
    </w:lvl>
    <w:lvl w:ilvl="2">
      <w:lvlJc w:val="left"/>
      <w:lvlText w:val="%3"/>
      <w:numFmt w:val="lowerLetter"/>
      <w:start w:val="1"/>
    </w:lvl>
  </w:abstractNum>
  <w:abstractNum w:abstractNumId="193">
    <w:nsid w:val="52AC7DFF"/>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abstractNum>
  <w:abstractNum w:abstractNumId="194">
    <w:nsid w:val="C4C3AF"/>
    <w:multiLevelType w:val="hybridMultilevel"/>
    <w:lvl w:ilvl="0">
      <w:lvlJc w:val="left"/>
      <w:lvlText w:val="(%1)"/>
      <w:numFmt w:val="lowerLetter"/>
      <w:start w:val="25"/>
    </w:lvl>
    <w:lvl w:ilvl="1">
      <w:lvlJc w:val="left"/>
      <w:lvlText w:val="%2."/>
      <w:numFmt w:val="decimal"/>
      <w:start w:val="9"/>
    </w:lvl>
    <w:lvl w:ilvl="2">
      <w:lvlJc w:val="left"/>
      <w:lvlText w:val="%3"/>
      <w:numFmt w:val="lowerLetter"/>
      <w:start w:val="1"/>
    </w:lvl>
  </w:abstractNum>
  <w:abstractNum w:abstractNumId="195">
    <w:nsid w:val="44380727"/>
    <w:multiLevelType w:val="hybridMultilevel"/>
    <w:lvl w:ilvl="0">
      <w:lvlJc w:val="left"/>
      <w:lvlText w:val="%1."/>
      <w:numFmt w:val="upperLetter"/>
      <w:start w:val="1"/>
    </w:lvl>
    <w:lvl w:ilvl="1">
      <w:lvlJc w:val="left"/>
      <w:lvlText w:val="☐"/>
      <w:numFmt w:val="bullet"/>
      <w:start w:val="1"/>
    </w:lvl>
  </w:abstractNum>
  <w:abstractNum w:abstractNumId="196">
    <w:nsid w:val="6C053B16"/>
    <w:multiLevelType w:val="hybridMultilevel"/>
    <w:lvl w:ilvl="0">
      <w:lvlJc w:val="left"/>
      <w:lvlText w:val="☐"/>
      <w:numFmt w:val="bullet"/>
      <w:start w:val="1"/>
    </w:lvl>
  </w:abstractNum>
  <w:abstractNum w:abstractNumId="197">
    <w:nsid w:val="4F294393"/>
    <w:multiLevelType w:val="hybridMultilevel"/>
    <w:lvl w:ilvl="0">
      <w:lvlJc w:val="left"/>
      <w:lvlText w:val="%1."/>
      <w:numFmt w:val="decimal"/>
      <w:start w:val="1"/>
    </w:lvl>
  </w:abstractNum>
  <w:abstractNum w:abstractNumId="198">
    <w:nsid w:val="5243BFAC"/>
    <w:multiLevelType w:val="hybridMultilevel"/>
    <w:lvl w:ilvl="0">
      <w:lvlJc w:val="left"/>
      <w:lvlText w:val="(%1)"/>
      <w:numFmt w:val="lowerRoman"/>
      <w:start w:val="2"/>
    </w:lvl>
  </w:abstractNum>
  <w:abstractNum w:abstractNumId="199">
    <w:nsid w:val="425EB207"/>
    <w:multiLevelType w:val="hybridMultilevel"/>
    <w:lvl w:ilvl="0">
      <w:lvlJc w:val="left"/>
      <w:lvlText w:val="(%1)"/>
      <w:numFmt w:val="lowerRoman"/>
      <w:start w:val="1"/>
    </w:lvl>
  </w:abstractNum>
  <w:abstractNum w:abstractNumId="200">
    <w:nsid w:val="334A6F1F"/>
    <w:multiLevelType w:val="hybridMultilevel"/>
    <w:lvl w:ilvl="0">
      <w:lvlJc w:val="left"/>
      <w:lvlText w:val="%1."/>
      <w:numFmt w:val="decimal"/>
      <w:start w:val="4"/>
    </w:lvl>
  </w:abstractNum>
  <w:abstractNum w:abstractNumId="201">
    <w:nsid w:val="2E5B12B8"/>
    <w:multiLevelType w:val="hybridMultilevel"/>
    <w:lvl w:ilvl="0">
      <w:lvlJc w:val="left"/>
      <w:lvlText w:val="%1."/>
      <w:numFmt w:val="decimal"/>
      <w:start w:val="5"/>
    </w:lvl>
  </w:abstractNum>
  <w:abstractNum w:abstractNumId="202">
    <w:nsid w:val="5C03D76D"/>
    <w:multiLevelType w:val="hybridMultilevel"/>
    <w:lvl w:ilvl="0">
      <w:lvlJc w:val="left"/>
      <w:lvlText w:val="%1."/>
      <w:numFmt w:val="decimal"/>
      <w:start w:val="6"/>
    </w:lvl>
  </w:abstractNum>
  <w:abstractNum w:abstractNumId="203">
    <w:nsid w:val="66A48D11"/>
    <w:multiLevelType w:val="hybridMultilevel"/>
    <w:lvl w:ilvl="0">
      <w:lvlJc w:val="left"/>
      <w:lvlText w:val="%1."/>
      <w:numFmt w:val="decimal"/>
      <w:start w:val="7"/>
    </w:lvl>
  </w:abstractNum>
  <w:abstractNum w:abstractNumId="204">
    <w:nsid w:val="56C28E34"/>
    <w:multiLevelType w:val="hybridMultilevel"/>
    <w:lvl w:ilvl="0">
      <w:lvlJc w:val="left"/>
      <w:lvlText w:val="%1."/>
      <w:numFmt w:val="decimal"/>
      <w:start w:val="8"/>
    </w:lvl>
  </w:abstractNum>
  <w:abstractNum w:abstractNumId="205">
    <w:nsid w:val="13916F2D"/>
    <w:multiLevelType w:val="hybridMultilevel"/>
    <w:lvl w:ilvl="0">
      <w:lvlJc w:val="left"/>
      <w:lvlText w:val="%1."/>
      <w:numFmt w:val="decimal"/>
      <w:start w:val="9"/>
    </w:lvl>
  </w:abstractNum>
  <w:abstractNum w:abstractNumId="206">
    <w:nsid w:val="435D38D"/>
    <w:multiLevelType w:val="hybridMultilevel"/>
    <w:lvl w:ilvl="0">
      <w:lvlJc w:val="left"/>
      <w:lvlText w:val="%1."/>
      <w:numFmt w:val="decimal"/>
      <w:start w:val="1"/>
    </w:lvl>
    <w:lvl w:ilvl="1">
      <w:lvlJc w:val="left"/>
      <w:lvlText w:val="(%2)"/>
      <w:numFmt w:val="lowerLetter"/>
      <w:start w:val="1"/>
    </w:lvl>
  </w:abstractNum>
  <w:abstractNum w:abstractNumId="207">
    <w:nsid w:val="822C0EF"/>
    <w:multiLevelType w:val="hybridMultilevel"/>
    <w:lvl w:ilvl="0">
      <w:lvlJc w:val="left"/>
      <w:lvlText w:val="%1"/>
      <w:numFmt w:val="decimal"/>
      <w:start w:val="1"/>
    </w:lvl>
    <w:lvl w:ilvl="1">
      <w:lvlJc w:val="left"/>
      <w:lvlText w:val="(%2)"/>
      <w:numFmt w:val="lowerLetter"/>
      <w:start w:val="3"/>
    </w:lvl>
  </w:abstractNum>
  <w:abstractNum w:abstractNumId="208">
    <w:nsid w:val="57C5BB4F"/>
    <w:multiLevelType w:val="hybridMultilevel"/>
    <w:lvl w:ilvl="0">
      <w:lvlJc w:val="left"/>
      <w:lvlText w:val="%1."/>
      <w:numFmt w:val="decimal"/>
      <w:start w:val="2"/>
    </w:lvl>
    <w:lvl w:ilvl="1">
      <w:lvlJc w:val="left"/>
      <w:lvlText w:val="(%2)"/>
      <w:numFmt w:val="lowerLetter"/>
      <w:start w:val="1"/>
    </w:lvl>
  </w:abstractNum>
  <w:abstractNum w:abstractNumId="209">
    <w:nsid w:val="1803D089"/>
    <w:multiLevelType w:val="hybridMultilevel"/>
    <w:lvl w:ilvl="0">
      <w:lvlJc w:val="left"/>
      <w:lvlText w:val="(%1)"/>
      <w:numFmt w:val="lowerLetter"/>
      <w:start w:val="2"/>
    </w:lvl>
  </w:abstractNum>
  <w:abstractNum w:abstractNumId="210">
    <w:nsid w:val="4F3A06D4"/>
    <w:multiLevelType w:val="hybridMultilevel"/>
    <w:lvl w:ilvl="0">
      <w:lvlJc w:val="left"/>
      <w:lvlText w:val="(%1)"/>
      <w:numFmt w:val="lowerLetter"/>
      <w:start w:val="4"/>
    </w:lvl>
    <w:lvl w:ilvl="1">
      <w:lvlJc w:val="left"/>
      <w:lvlText w:val="(%2)"/>
      <w:numFmt w:val="lowerLetter"/>
      <w:start w:val="9"/>
    </w:lvl>
  </w:abstractNum>
  <w:abstractNum w:abstractNumId="211">
    <w:nsid w:val="59A377B6"/>
    <w:multiLevelType w:val="hybridMultilevel"/>
    <w:lvl w:ilvl="0">
      <w:lvlJc w:val="left"/>
      <w:lvlText w:val="%1"/>
      <w:numFmt w:val="lowerLetter"/>
      <w:start w:val="1"/>
    </w:lvl>
    <w:lvl w:ilvl="1">
      <w:lvlJc w:val="left"/>
      <w:lvlText w:val="(%2)"/>
      <w:numFmt w:val="lowerRoman"/>
      <w:start w:val="2"/>
    </w:lvl>
  </w:abstractNum>
  <w:abstractNum w:abstractNumId="212">
    <w:nsid w:val="48AEB063"/>
    <w:multiLevelType w:val="hybridMultilevel"/>
    <w:lvl w:ilvl="0">
      <w:lvlJc w:val="left"/>
      <w:lvlText w:val="(%1)"/>
      <w:numFmt w:val="lowerLetter"/>
      <w:start w:val="7"/>
    </w:lvl>
    <w:lvl w:ilvl="1">
      <w:lvlJc w:val="left"/>
      <w:lvlText w:val="%2"/>
      <w:numFmt w:val="lowerRoman"/>
      <w:start w:val="1"/>
    </w:lvl>
  </w:abstractNum>
  <w:abstractNum w:abstractNumId="213">
    <w:nsid w:val="24E13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8"/>
    </w:lvl>
  </w:abstractNum>
  <w:abstractNum w:abstractNumId="214">
    <w:nsid w:val="BB13C1"/>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215">
    <w:nsid w:val="271210C7"/>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216">
    <w:nsid w:val="217B22E4"/>
    <w:multiLevelType w:val="hybridMultilevel"/>
    <w:lvl w:ilvl="0">
      <w:lvlJc w:val="left"/>
      <w:lvlText w:val="%1"/>
      <w:numFmt w:val="decimal"/>
      <w:start w:val="1"/>
    </w:lvl>
    <w:lvl w:ilvl="1">
      <w:lvlJc w:val="left"/>
      <w:lvlText w:val="(%2)"/>
      <w:numFmt w:val="lowerLetter"/>
      <w:start w:val="5"/>
    </w:lvl>
  </w:abstractNum>
  <w:abstractNum w:abstractNumId="217">
    <w:nsid w:val="53E31A24"/>
    <w:multiLevelType w:val="hybridMultilevel"/>
    <w:lvl w:ilvl="0">
      <w:lvlJc w:val="left"/>
      <w:lvlText w:val="%1."/>
      <w:numFmt w:val="decimal"/>
      <w:start w:val="4"/>
    </w:lvl>
    <w:lvl w:ilvl="1">
      <w:lvlJc w:val="left"/>
      <w:lvlText w:val="(%2)"/>
      <w:numFmt w:val="lowerLetter"/>
      <w:start w:val="1"/>
    </w:lvl>
  </w:abstractNum>
  <w:abstractNum w:abstractNumId="218">
    <w:nsid w:val="6DC45E83"/>
    <w:multiLevelType w:val="hybridMultilevel"/>
    <w:lvl w:ilvl="0">
      <w:lvlJc w:val="left"/>
      <w:lvlText w:val="%1."/>
      <w:numFmt w:val="decimal"/>
      <w:start w:val="5"/>
    </w:lvl>
    <w:lvl w:ilvl="1">
      <w:lvlJc w:val="left"/>
      <w:lvlText w:val="(%2)"/>
      <w:numFmt w:val="lowerLetter"/>
      <w:start w:val="1"/>
    </w:lvl>
  </w:abstractNum>
  <w:abstractNum w:abstractNumId="219">
    <w:nsid w:val="17304A67"/>
    <w:multiLevelType w:val="hybridMultilevel"/>
    <w:lvl w:ilvl="0">
      <w:lvlJc w:val="left"/>
      <w:lvlText w:val="%1"/>
      <w:numFmt w:val="lowerLetter"/>
      <w:start w:val="1"/>
    </w:lvl>
    <w:lvl w:ilvl="1">
      <w:lvlJc w:val="left"/>
      <w:lvlText w:val="(%2)"/>
      <w:numFmt w:val="lowerLetter"/>
      <w:start w:val="2"/>
    </w:lvl>
  </w:abstractNum>
  <w:abstractNum w:abstractNumId="220">
    <w:nsid w:val="2BB180D8"/>
    <w:multiLevelType w:val="hybridMultilevel"/>
    <w:lvl w:ilvl="0">
      <w:lvlJc w:val="left"/>
      <w:lvlText w:val="(%1)"/>
      <w:numFmt w:val="lowerLetter"/>
      <w:start w:val="61"/>
    </w:lvl>
    <w:lvl w:ilvl="1">
      <w:lvlJc w:val="left"/>
      <w:lvlText w:val="(%2)"/>
      <w:numFmt w:val="lowerLetter"/>
      <w:start w:val="7"/>
    </w:lvl>
  </w:abstractNum>
  <w:abstractNum w:abstractNumId="221">
    <w:nsid w:val="556B69ED"/>
    <w:multiLevelType w:val="hybridMultilevel"/>
    <w:lvl w:ilvl="0">
      <w:lvlJc w:val="left"/>
      <w:lvlText w:val="(%1)"/>
      <w:numFmt w:val="lowerLetter"/>
      <w:start w:val="8"/>
    </w:lvl>
  </w:abstractNum>
  <w:abstractNum w:abstractNumId="222">
    <w:nsid w:val="70836196"/>
    <w:multiLevelType w:val="hybridMultilevel"/>
    <w:lvl w:ilvl="0">
      <w:lvlJc w:val="left"/>
      <w:lvlText w:val="%1"/>
      <w:numFmt w:val="decimal"/>
      <w:start w:val="1"/>
    </w:lvl>
    <w:lvl w:ilvl="1">
      <w:lvlJc w:val="left"/>
      <w:lvlText w:val="(%2)"/>
      <w:numFmt w:val="lowerLetter"/>
      <w:start w:val="19"/>
    </w:lvl>
  </w:abstractNum>
  <w:abstractNum w:abstractNumId="223">
    <w:nsid w:val="539F7F12"/>
    <w:multiLevelType w:val="hybridMultilevel"/>
    <w:lvl w:ilvl="0">
      <w:lvlJc w:val="left"/>
      <w:lvlText w:val="%1."/>
      <w:numFmt w:val="decimal"/>
      <w:start w:val="6"/>
    </w:lvl>
    <w:lvl w:ilvl="1">
      <w:lvlJc w:val="left"/>
      <w:lvlText w:val="%2"/>
      <w:numFmt w:val="lowerLetter"/>
      <w:start w:val="1"/>
    </w:lvl>
  </w:abstractNum>
  <w:abstractNum w:abstractNumId="224">
    <w:nsid w:val="2817E7EC"/>
    <w:multiLevelType w:val="hybridMultilevel"/>
    <w:lvl w:ilvl="0">
      <w:lvlJc w:val="left"/>
      <w:lvlText w:val="%1."/>
      <w:numFmt w:val="decimal"/>
      <w:start w:val="7"/>
    </w:lvl>
    <w:lvl w:ilvl="1">
      <w:lvlJc w:val="left"/>
      <w:lvlText w:val="(%2)"/>
      <w:numFmt w:val="lowerLetter"/>
      <w:start w:val="1"/>
    </w:lvl>
  </w:abstractNum>
  <w:abstractNum w:abstractNumId="225">
    <w:nsid w:val="71482545"/>
    <w:multiLevelType w:val="hybridMultilevel"/>
    <w:lvl w:ilvl="0">
      <w:lvlJc w:val="left"/>
      <w:lvlText w:val="(%1)"/>
      <w:numFmt w:val="lowerLetter"/>
      <w:start w:val="2"/>
    </w:lvl>
  </w:abstractNum>
  <w:abstractNum w:abstractNumId="226">
    <w:nsid w:val="17D78639"/>
    <w:multiLevelType w:val="hybridMultilevel"/>
    <w:lvl w:ilvl="0">
      <w:lvlJc w:val="left"/>
      <w:lvlText w:val="%1"/>
      <w:numFmt w:val="decimal"/>
      <w:start w:val="1"/>
    </w:lvl>
    <w:lvl w:ilvl="1">
      <w:lvlJc w:val="left"/>
      <w:lvlText w:val="(%2)"/>
      <w:numFmt w:val="lowerLetter"/>
      <w:start w:val="5"/>
    </w:lvl>
  </w:abstractNum>
  <w:abstractNum w:abstractNumId="227">
    <w:nsid w:val="141D2302"/>
    <w:multiLevelType w:val="hybridMultilevel"/>
    <w:lvl w:ilvl="0">
      <w:lvlJc w:val="left"/>
      <w:lvlText w:val="%1."/>
      <w:numFmt w:val="decimal"/>
      <w:start w:val="9"/>
    </w:lvl>
    <w:lvl w:ilvl="1">
      <w:lvlJc w:val="left"/>
      <w:lvlText w:val="(%2)"/>
      <w:numFmt w:val="lowerLetter"/>
      <w:start w:val="1"/>
    </w:lvl>
  </w:abstractNum>
  <w:abstractNum w:abstractNumId="228">
    <w:nsid w:val="407168D8"/>
    <w:multiLevelType w:val="hybridMultilevel"/>
    <w:lvl w:ilvl="0">
      <w:lvlJc w:val="left"/>
      <w:lvlText w:val="(%1)"/>
      <w:numFmt w:val="lowerLetter"/>
      <w:start w:val="2"/>
    </w:lvl>
  </w:abstractNum>
  <w:abstractNum w:abstractNumId="229">
    <w:nsid w:val="6A1B45E5"/>
    <w:multiLevelType w:val="hybridMultilevel"/>
    <w:lvl w:ilvl="0">
      <w:lvlJc w:val="left"/>
      <w:lvlText w:val="%1."/>
      <w:numFmt w:val="decimal"/>
      <w:start w:val="11"/>
    </w:lvl>
    <w:lvl w:ilvl="1">
      <w:lvlJc w:val="left"/>
      <w:lvlText w:val="(%2)"/>
      <w:numFmt w:val="lowerLetter"/>
      <w:start w:val="1"/>
    </w:lvl>
  </w:abstractNum>
  <w:abstractNum w:abstractNumId="230">
    <w:nsid w:val="567BD50A"/>
    <w:multiLevelType w:val="hybridMultilevel"/>
    <w:lvl w:ilvl="0">
      <w:lvlJc w:val="left"/>
      <w:lvlText w:val="(%1)"/>
      <w:numFmt w:val="upperLetter"/>
      <w:start w:val="2"/>
    </w:lvl>
    <w:lvl w:ilvl="1">
      <w:lvlJc w:val="left"/>
      <w:lvlText w:val="(%2)"/>
      <w:numFmt w:val="lowerLetter"/>
      <w:start w:val="13"/>
    </w:lvl>
  </w:abstractNum>
  <w:abstractNum w:abstractNumId="231">
    <w:nsid w:val="73BBD7F8"/>
    <w:multiLevelType w:val="hybridMultilevel"/>
    <w:lvl w:ilvl="0">
      <w:lvlJc w:val="left"/>
      <w:lvlText w:val="(%1)"/>
      <w:numFmt w:val="lowerLetter"/>
      <w:start w:val="14"/>
    </w:lvl>
  </w:abstractNum>
  <w:abstractNum w:abstractNumId="232">
    <w:nsid w:val="1876589D"/>
    <w:multiLevelType w:val="hybridMultilevel"/>
    <w:lvl w:ilvl="0">
      <w:lvlJc w:val="left"/>
      <w:lvlText w:val="%1"/>
      <w:numFmt w:val="decimal"/>
      <w:start w:val="1"/>
    </w:lvl>
    <w:lvl w:ilvl="1">
      <w:lvlJc w:val="left"/>
      <w:lvlText w:val="(%2)"/>
      <w:numFmt w:val="lowerLetter"/>
      <w:start w:val="23"/>
    </w:lvl>
  </w:abstractNum>
  <w:abstractNum w:abstractNumId="233">
    <w:nsid w:val="327FAC77"/>
    <w:multiLevelType w:val="hybridMultilevel"/>
    <w:lvl w:ilvl="0">
      <w:lvlJc w:val="left"/>
      <w:lvlText w:val="%1."/>
      <w:numFmt w:val="decimal"/>
      <w:start w:val="12"/>
    </w:lvl>
    <w:lvl w:ilvl="1">
      <w:lvlJc w:val="left"/>
      <w:lvlText w:val="(%2)"/>
      <w:numFmt w:val="lowerLetter"/>
      <w:start w:val="1"/>
    </w:lvl>
  </w:abstractNum>
  <w:abstractNum w:abstractNumId="234">
    <w:nsid w:val="5A606509"/>
    <w:multiLevelType w:val="hybridMultilevel"/>
    <w:lvl w:ilvl="0">
      <w:lvlJc w:val="left"/>
      <w:lvlText w:val="(%1)"/>
      <w:numFmt w:val="lowerLetter"/>
      <w:start w:val="7"/>
    </w:lvl>
  </w:abstractNum>
  <w:abstractNum w:abstractNumId="235">
    <w:nsid w:val="6F38E6D1"/>
    <w:multiLevelType w:val="hybridMultilevel"/>
    <w:lvl w:ilvl="0">
      <w:lvlJc w:val="left"/>
      <w:lvlText w:val="(%1)"/>
      <w:numFmt w:val="lowerLetter"/>
      <w:start w:val="12"/>
    </w:lvl>
    <w:lvl w:ilvl="1">
      <w:lvlJc w:val="left"/>
      <w:lvlText w:val="*"/>
      <w:numFmt w:val="bullet"/>
      <w:start w:val="1"/>
    </w:lvl>
  </w:abstractNum>
  <w:abstractNum w:abstractNumId="236">
    <w:nsid w:val="46111BA5"/>
    <w:multiLevelType w:val="hybridMultilevel"/>
    <w:lvl w:ilvl="0">
      <w:lvlJc w:val="left"/>
      <w:lvlText w:val="(%1)"/>
      <w:numFmt w:val="lowerLetter"/>
      <w:start w:val="1"/>
    </w:lvl>
    <w:lvl w:ilvl="1">
      <w:lvlJc w:val="left"/>
      <w:lvlText w:val="(%2)"/>
      <w:numFmt w:val="lowerRoman"/>
      <w:start w:val="1"/>
    </w:lvl>
  </w:abstractNum>
  <w:abstractNum w:abstractNumId="237">
    <w:nsid w:val="5E963896"/>
    <w:multiLevelType w:val="hybridMultilevel"/>
    <w:lvl w:ilvl="0">
      <w:lvlJc w:val="left"/>
      <w:lvlText w:val="(%1)"/>
      <w:numFmt w:val="lowerLetter"/>
      <w:start w:val="3"/>
    </w:lvl>
  </w:abstractNum>
  <w:abstractNum w:abstractNumId="238">
    <w:nsid w:val="775BA7C1"/>
    <w:multiLevelType w:val="hybridMultilevel"/>
    <w:lvl w:ilvl="0">
      <w:lvlJc w:val="left"/>
      <w:lvlText w:val="(%1)"/>
      <w:numFmt w:val="lowerLetter"/>
      <w:start w:val="1"/>
    </w:lvl>
  </w:abstractNum>
  <w:abstractNum w:abstractNumId="239">
    <w:nsid w:val="1DD6D6F4"/>
    <w:multiLevelType w:val="hybridMultilevel"/>
    <w:lvl w:ilvl="0">
      <w:lvlJc w:val="left"/>
      <w:lvlText w:val="(%1)"/>
      <w:numFmt w:val="lowerLetter"/>
      <w:start w:val="1"/>
    </w:lvl>
    <w:lvl w:ilvl="1">
      <w:lvlJc w:val="left"/>
      <w:lvlText w:val="(%2)"/>
      <w:numFmt w:val="lowerRoman"/>
      <w:start w:val="1"/>
    </w:lvl>
  </w:abstractNum>
  <w:abstractNum w:abstractNumId="240">
    <w:nsid w:val="769A091F"/>
    <w:multiLevelType w:val="hybridMultilevel"/>
    <w:lvl w:ilvl="0">
      <w:lvlJc w:val="left"/>
      <w:lvlText w:val="(%1)"/>
      <w:numFmt w:val="lowerRoman"/>
      <w:start w:val="4"/>
    </w:lvl>
    <w:lvl w:ilvl="1">
      <w:lvlJc w:val="left"/>
      <w:lvlText w:val="(%2)"/>
      <w:numFmt w:val="decimal"/>
      <w:start w:val="1"/>
    </w:lvl>
  </w:abstractNum>
  <w:abstractNum w:abstractNumId="241">
    <w:nsid w:val="4695AE95"/>
    <w:multiLevelType w:val="hybridMultilevel"/>
    <w:lvl w:ilvl="0">
      <w:lvlJc w:val="left"/>
      <w:lvlText w:val="(%1)"/>
      <w:numFmt w:val="lowerLetter"/>
      <w:start w:val="3"/>
    </w:lvl>
  </w:abstractNum>
  <w:abstractNum w:abstractNumId="242">
    <w:nsid w:val="777A4EAA"/>
    <w:multiLevelType w:val="hybridMultilevel"/>
    <w:lvl w:ilvl="0">
      <w:lvlJc w:val="left"/>
      <w:lvlText w:val="(%1)"/>
      <w:numFmt w:val="lowerLetter"/>
      <w:start w:val="1"/>
    </w:lvl>
  </w:abstractNum>
  <w:abstractNum w:abstractNumId="243">
    <w:nsid w:val="3F48B982"/>
    <w:multiLevelType w:val="hybridMultilevel"/>
    <w:lvl w:ilvl="0">
      <w:lvlJc w:val="left"/>
      <w:lvlText w:val="(%1)"/>
      <w:numFmt w:val="lowerLetter"/>
      <w:start w:val="3"/>
    </w:lvl>
  </w:abstractNum>
  <w:abstractNum w:abstractNumId="244">
    <w:nsid w:val="46BA8FCA"/>
    <w:multiLevelType w:val="hybridMultilevel"/>
    <w:lvl w:ilvl="0">
      <w:lvlJc w:val="left"/>
      <w:lvlText w:val="(%1)"/>
      <w:numFmt w:val="lowerLetter"/>
      <w:start w:val="1"/>
    </w:lvl>
  </w:abstractNum>
  <w:abstractNum w:abstractNumId="245">
    <w:nsid w:val="7835626C"/>
    <w:multiLevelType w:val="hybridMultilevel"/>
    <w:lvl w:ilvl="0">
      <w:lvlJc w:val="left"/>
      <w:lvlText w:val="(%1)"/>
      <w:numFmt w:val="lowerLetter"/>
      <w:start w:val="3"/>
    </w:lvl>
  </w:abstractNum>
  <w:abstractNum w:abstractNumId="246">
    <w:nsid w:val="665ACA49"/>
    <w:multiLevelType w:val="hybridMultilevel"/>
    <w:lvl w:ilvl="0">
      <w:lvlJc w:val="left"/>
      <w:lvlText w:val="(%1)"/>
      <w:numFmt w:val="lowerRoman"/>
      <w:start w:val="2"/>
    </w:lvl>
  </w:abstractNum>
  <w:abstractNum w:abstractNumId="247">
    <w:nsid w:val="6835B2AE"/>
    <w:multiLevelType w:val="hybridMultilevel"/>
    <w:lvl w:ilvl="0">
      <w:lvlJc w:val="left"/>
      <w:lvlText w:val="(%1)"/>
      <w:numFmt w:val="lowerLetter"/>
      <w:start w:val="1"/>
    </w:lvl>
    <w:lvl w:ilvl="1">
      <w:lvlJc w:val="left"/>
      <w:lvlText w:val="(%2)"/>
      <w:numFmt w:val="lowerRoman"/>
      <w:start w:val="1"/>
    </w:lvl>
  </w:abstractNum>
  <w:abstractNum w:abstractNumId="248">
    <w:nsid w:val="4C187C90"/>
    <w:multiLevelType w:val="hybridMultilevel"/>
    <w:lvl w:ilvl="0">
      <w:lvlJc w:val="left"/>
      <w:lvlText w:val="%1"/>
      <w:numFmt w:val="lowerLetter"/>
      <w:start w:val="1"/>
    </w:lvl>
    <w:lvl w:ilvl="1">
      <w:lvlJc w:val="left"/>
      <w:lvlText w:val="(%2)"/>
      <w:numFmt w:val="lowerLetter"/>
      <w:start w:val="35"/>
    </w:lvl>
  </w:abstractNum>
  <w:abstractNum w:abstractNumId="249">
    <w:nsid w:val="541F28CD"/>
    <w:multiLevelType w:val="hybridMultilevel"/>
    <w:lvl w:ilvl="0">
      <w:lvlJc w:val="left"/>
      <w:lvlText w:val="(%1)"/>
      <w:numFmt w:val="lowerLetter"/>
      <w:start w:val="5"/>
    </w:lvl>
    <w:lvl w:ilvl="1">
      <w:lvlJc w:val="left"/>
      <w:lvlText w:val="%2"/>
      <w:numFmt w:val="lowerLetter"/>
      <w:start w:val="1"/>
    </w:lvl>
  </w:abstractNum>
  <w:abstractNum w:abstractNumId="250">
    <w:nsid w:val="7F65FD16"/>
    <w:multiLevelType w:val="hybridMultilevel"/>
    <w:lvl w:ilvl="0">
      <w:lvlJc w:val="left"/>
      <w:lvlText w:val="(%1)"/>
      <w:numFmt w:val="lowerLetter"/>
      <w:start w:val="1"/>
    </w:lvl>
    <w:lvl w:ilvl="1">
      <w:lvlJc w:val="left"/>
      <w:lvlText w:val="(%2)"/>
      <w:numFmt w:val="lowerRoman"/>
      <w:start w:val="1"/>
    </w:lvl>
  </w:abstractNum>
  <w:abstractNum w:abstractNumId="251">
    <w:nsid w:val="77C9FD68"/>
    <w:multiLevelType w:val="hybridMultilevel"/>
    <w:lvl w:ilvl="0">
      <w:lvlJc w:val="left"/>
      <w:lvlText w:val="(%1)"/>
      <w:numFmt w:val="lowerRoman"/>
      <w:start w:val="1"/>
    </w:lvl>
  </w:abstractNum>
  <w:abstractNum w:abstractNumId="252">
    <w:nsid w:val="298A92BA"/>
    <w:multiLevelType w:val="hybridMultilevel"/>
    <w:lvl w:ilvl="0">
      <w:lvlJc w:val="left"/>
      <w:lvlText w:val="(%1)"/>
      <w:numFmt w:val="lowerLetter"/>
      <w:start w:val="1"/>
    </w:lvl>
  </w:abstractNum>
  <w:abstractNum w:abstractNumId="253">
    <w:nsid w:val="6FE95EAC"/>
    <w:multiLevelType w:val="hybridMultilevel"/>
    <w:lvl w:ilvl="0">
      <w:lvlJc w:val="left"/>
      <w:lvlText w:val="(%1)"/>
      <w:numFmt w:val="lowerLetter"/>
      <w:start w:val="1"/>
    </w:lvl>
  </w:abstractNum>
  <w:abstractNum w:abstractNumId="254">
    <w:nsid w:val="4B697C7A"/>
    <w:multiLevelType w:val="hybridMultilevel"/>
    <w:lvl w:ilvl="0">
      <w:lvlJc w:val="left"/>
      <w:lvlText w:val="%1."/>
      <w:numFmt w:val="decimal"/>
      <w:start w:val="1"/>
    </w:lvl>
    <w:lvl w:ilvl="1">
      <w:lvlJc w:val="left"/>
      <w:lvlText w:val="(%2)"/>
      <w:numFmt w:val="lowerLetter"/>
      <w:start w:val="1"/>
    </w:lvl>
  </w:abstractNum>
  <w:abstractNum w:abstractNumId="255">
    <w:nsid w:val="51A27AA6"/>
    <w:multiLevelType w:val="hybridMultilevel"/>
    <w:lvl w:ilvl="0">
      <w:lvlJc w:val="left"/>
      <w:lvlText w:val="(%1)"/>
      <w:numFmt w:val="lowerLetter"/>
      <w:start w:val="4"/>
    </w:lvl>
  </w:abstractNum>
  <w:abstractNum w:abstractNumId="256">
    <w:nsid w:val="613183F2"/>
    <w:multiLevelType w:val="hybridMultilevel"/>
    <w:lvl w:ilvl="0">
      <w:lvlJc w:val="left"/>
      <w:lvlText w:val="%1."/>
      <w:numFmt w:val="decimal"/>
      <w:start w:val="2"/>
    </w:lvl>
    <w:lvl w:ilvl="1">
      <w:lvlJc w:val="left"/>
      <w:lvlText w:val="(%2)"/>
      <w:numFmt w:val="lowerLetter"/>
      <w:start w:val="1"/>
    </w:lvl>
  </w:abstractNum>
  <w:abstractNum w:abstractNumId="257">
    <w:nsid w:val="634102B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258">
    <w:nsid w:val="65BF9DA8"/>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259">
    <w:nsid w:val="21A2ECCA"/>
    <w:multiLevelType w:val="hybridMultilevel"/>
    <w:lvl w:ilvl="0">
      <w:lvlJc w:val="left"/>
      <w:lvlText w:val="(%1)"/>
      <w:numFmt w:val="lowerLetter"/>
      <w:start w:val="61"/>
    </w:lvl>
    <w:lvl w:ilvl="1">
      <w:lvlJc w:val="left"/>
      <w:lvlText w:val="%2."/>
      <w:numFmt w:val="decimal"/>
      <w:start w:val="6"/>
    </w:lvl>
    <w:lvl w:ilvl="2">
      <w:lvlJc w:val="left"/>
      <w:lvlText w:val="(%3)"/>
      <w:numFmt w:val="lowerLetter"/>
      <w:start w:val="1"/>
    </w:lvl>
  </w:abstractNum>
  <w:abstractNum w:abstractNumId="260">
    <w:nsid w:val="4D5C4899"/>
    <w:multiLevelType w:val="hybridMultilevel"/>
    <w:lvl w:ilvl="0">
      <w:lvlJc w:val="left"/>
      <w:lvlText w:val="%1"/>
      <w:numFmt w:val="lowerLetter"/>
      <w:start w:val="1"/>
    </w:lvl>
    <w:lvl w:ilvl="1">
      <w:lvlJc w:val="left"/>
      <w:lvlText w:val="(%2)"/>
      <w:numFmt w:val="lowerLetter"/>
      <w:start w:val="2"/>
    </w:lvl>
  </w:abstractNum>
  <w:abstractNum w:abstractNumId="261">
    <w:nsid w:val="3C3B72B2"/>
    <w:multiLevelType w:val="hybridMultilevel"/>
    <w:lvl w:ilvl="0">
      <w:lvlJc w:val="left"/>
      <w:lvlText w:val="(%1)"/>
      <w:numFmt w:val="lowerLetter"/>
      <w:start w:val="61"/>
    </w:lvl>
    <w:lvl w:ilvl="1">
      <w:lvlJc w:val="left"/>
      <w:lvlText w:val="(%2)"/>
      <w:numFmt w:val="lowerLetter"/>
      <w:start w:val="3"/>
    </w:lvl>
  </w:abstractNum>
  <w:abstractNum w:abstractNumId="262">
    <w:nsid w:val="155EC4C2"/>
    <w:multiLevelType w:val="hybridMultilevel"/>
    <w:lvl w:ilvl="0">
      <w:lvlJc w:val="left"/>
      <w:lvlText w:val="(%1)"/>
      <w:numFmt w:val="lowerLetter"/>
      <w:start w:val="5"/>
    </w:lvl>
  </w:abstractNum>
  <w:abstractNum w:abstractNumId="263">
    <w:nsid w:val="65D2A137"/>
    <w:multiLevelType w:val="hybridMultilevel"/>
    <w:lvl w:ilvl="0">
      <w:lvlJc w:val="left"/>
      <w:lvlText w:val="%1."/>
      <w:numFmt w:val="decimal"/>
      <w:start w:val="7"/>
    </w:lvl>
    <w:lvl w:ilvl="1">
      <w:lvlJc w:val="left"/>
      <w:lvlText w:val="(%2)"/>
      <w:numFmt w:val="lowerLetter"/>
      <w:start w:val="1"/>
    </w:lvl>
  </w:abstractNum>
  <w:abstractNum w:abstractNumId="264">
    <w:nsid w:val="6EBB1F2A"/>
    <w:multiLevelType w:val="hybridMultilevel"/>
    <w:lvl w:ilvl="0">
      <w:lvlJc w:val="left"/>
      <w:lvlText w:val="(%1)"/>
      <w:numFmt w:val="lowerLetter"/>
      <w:start w:val="2"/>
    </w:lvl>
  </w:abstractNum>
  <w:abstractNum w:abstractNumId="265">
    <w:nsid w:val="6FBF29CB"/>
    <w:multiLevelType w:val="hybridMultilevel"/>
    <w:lvl w:ilvl="0">
      <w:lvlJc w:val="left"/>
      <w:lvlText w:val="%1."/>
      <w:numFmt w:val="decimal"/>
      <w:start w:val="8"/>
    </w:lvl>
  </w:abstractNum>
  <w:abstractNum w:abstractNumId="266">
    <w:nsid w:val="550B8808"/>
    <w:multiLevelType w:val="hybridMultilevel"/>
    <w:lvl w:ilvl="0">
      <w:lvlJc w:val="left"/>
      <w:lvlText w:val="%1."/>
      <w:numFmt w:val="decimal"/>
      <w:start w:val="13"/>
    </w:lvl>
  </w:abstractNum>
  <w:abstractNum w:abstractNumId="267">
    <w:nsid w:val="34CC3ACF"/>
    <w:multiLevelType w:val="hybridMultilevel"/>
    <w:lvl w:ilvl="0">
      <w:lvlJc w:val="left"/>
      <w:lvlText w:val="%1."/>
      <w:numFmt w:val="decimal"/>
      <w:start w:val="14"/>
    </w:lvl>
  </w:abstractNum>
  <w:abstractNum w:abstractNumId="268">
    <w:nsid w:val="4E556261"/>
    <w:multiLevelType w:val="hybridMultilevel"/>
    <w:lvl w:ilvl="0">
      <w:lvlJc w:val="left"/>
      <w:lvlText w:val="%1."/>
      <w:numFmt w:val="decimal"/>
      <w:start w:val="17"/>
    </w:lvl>
  </w:abstractNum>
  <w:abstractNum w:abstractNumId="269">
    <w:nsid w:val="4C672FC9"/>
    <w:multiLevelType w:val="hybridMultilevel"/>
    <w:lvl w:ilvl="0">
      <w:lvlJc w:val="left"/>
      <w:lvlText w:val="%1."/>
      <w:numFmt w:val="decimal"/>
      <w:start w:val="22"/>
    </w:lvl>
  </w:abstractNum>
  <w:abstractNum w:abstractNumId="270">
    <w:nsid w:val="52A311C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2022-07-26T09:21:18Z</dcterms:created>
  <dcterms:modified xsi:type="dcterms:W3CDTF">2022-07-26T09:21:18Z</dcterms:modified>
</cp:coreProperties>
</file>