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18415</wp:posOffset>
            </wp:positionV>
            <wp:extent cx="6998335" cy="3962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39624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Mosher Dan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Presto Automation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PRST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09/21/2022</w:t>
      </w:r>
    </w:p>
    <w:p>
      <w:pPr>
        <w:spacing w:after="0" w:line="20" w:lineRule="exact"/>
        <w:rPr>
          <w:sz w:val="24"/>
          <w:szCs w:val="24"/>
          <w:color w:val="auto"/>
        </w:rPr>
      </w:pPr>
      <w:r>
        <w:rPr>
          <w:sz w:val="24"/>
          <w:szCs w:val="24"/>
          <w:color w:val="auto"/>
        </w:rPr>
        <w:br w:type="column"/>
      </w: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tbl>
      <w:tblPr>
        <w:tblLayout w:type="fixed"/>
        <w:tblInd w:w="197"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37"/>
        <w:spacing w:after="0"/>
        <w:rPr>
          <w:sz w:val="20"/>
          <w:szCs w:val="20"/>
          <w:color w:val="auto"/>
        </w:rPr>
      </w:pPr>
      <w:r>
        <w:rPr>
          <w:rFonts w:ascii="Arial" w:cs="Arial" w:eastAsia="Arial" w:hAnsi="Arial"/>
          <w:sz w:val="16"/>
          <w:szCs w:val="16"/>
          <w:color w:val="0000FF"/>
        </w:rPr>
        <w:t>Chief Revenue Officer</w:t>
      </w:r>
    </w:p>
    <w:p>
      <w:pPr>
        <w:spacing w:after="0" w:line="324" w:lineRule="exact"/>
        <w:rPr>
          <w:sz w:val="24"/>
          <w:szCs w:val="24"/>
          <w:color w:val="auto"/>
        </w:rPr>
      </w:pPr>
    </w:p>
    <w:p>
      <w:pPr>
        <w:sectPr>
          <w:pgSz w:w="11900" w:h="16838" w:orient="portrait"/>
          <w:cols w:equalWidth="0" w:num="3">
            <w:col w:w="3180" w:space="720"/>
            <w:col w:w="3123" w:space="720"/>
            <w:col w:w="3337"/>
          </w:cols>
          <w:pgMar w:left="460" w:top="220" w:right="359" w:bottom="1440" w:gutter="0" w:footer="0" w:header="0"/>
          <w:type w:val="continuous"/>
        </w:sectPr>
      </w:pP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00" w:type="dxa"/>
            <w:vAlign w:val="bottom"/>
            <w:gridSpan w:val="3"/>
            <w:vMerge w:val="restart"/>
          </w:tcPr>
          <w:p>
            <w:pPr>
              <w:ind w:left="380"/>
              <w:spacing w:after="0" w:line="175" w:lineRule="exact"/>
              <w:rPr>
                <w:sz w:val="20"/>
                <w:szCs w:val="20"/>
                <w:color w:val="auto"/>
              </w:rPr>
            </w:pPr>
            <w:r>
              <w:rPr>
                <w:rFonts w:ascii="Arial" w:cs="Arial" w:eastAsia="Arial" w:hAnsi="Arial"/>
                <w:sz w:val="16"/>
                <w:szCs w:val="16"/>
                <w:color w:val="0000FF"/>
              </w:rPr>
              <w:t>09/23/2022</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gridSpan w:val="2"/>
            <w:vMerge w:val="restart"/>
          </w:tcPr>
          <w:p>
            <w:pPr>
              <w:ind w:left="380"/>
              <w:spacing w:after="0"/>
              <w:rPr>
                <w:sz w:val="20"/>
                <w:szCs w:val="20"/>
                <w:color w:val="auto"/>
              </w:rPr>
            </w:pPr>
            <w:r>
              <w:rPr>
                <w:rFonts w:ascii="Arial" w:cs="Arial" w:eastAsia="Arial" w:hAnsi="Arial"/>
                <w:sz w:val="12"/>
                <w:szCs w:val="12"/>
                <w:color w:val="auto"/>
              </w:rPr>
              <w:t>Line)</w:t>
            </w: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20" w:type="dxa"/>
            <w:vAlign w:val="bottom"/>
            <w:gridSpan w:val="3"/>
            <w:vMerge w:val="restart"/>
          </w:tcPr>
          <w:p>
            <w:pPr>
              <w:ind w:left="20"/>
              <w:spacing w:after="0"/>
              <w:rPr>
                <w:sz w:val="20"/>
                <w:szCs w:val="20"/>
                <w:color w:val="auto"/>
              </w:rPr>
            </w:pPr>
            <w:r>
              <w:rPr>
                <w:rFonts w:ascii="Arial" w:cs="Arial" w:eastAsia="Arial" w:hAnsi="Arial"/>
                <w:sz w:val="16"/>
                <w:szCs w:val="16"/>
                <w:color w:val="0000FF"/>
              </w:rPr>
              <w:t>SAN CARLOS   CA</w:t>
            </w:r>
          </w:p>
        </w:tc>
        <w:tc>
          <w:tcPr>
            <w:tcW w:w="1100" w:type="dxa"/>
            <w:vAlign w:val="bottom"/>
            <w:vMerge w:val="restart"/>
          </w:tcPr>
          <w:p>
            <w:pPr>
              <w:ind w:left="140"/>
              <w:spacing w:after="0"/>
              <w:rPr>
                <w:sz w:val="20"/>
                <w:szCs w:val="20"/>
                <w:color w:val="auto"/>
              </w:rPr>
            </w:pPr>
            <w:r>
              <w:rPr>
                <w:rFonts w:ascii="Arial" w:cs="Arial" w:eastAsia="Arial" w:hAnsi="Arial"/>
                <w:sz w:val="16"/>
                <w:szCs w:val="16"/>
                <w:color w:val="0000FF"/>
              </w:rPr>
              <w:t>94070</w:t>
            </w:r>
          </w:p>
        </w:tc>
        <w:tc>
          <w:tcPr>
            <w:tcW w:w="15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20" w:type="dxa"/>
            <w:vAlign w:val="bottom"/>
            <w:gridSpan w:val="9"/>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2"/>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6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8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Earn-Out</w:t>
            </w:r>
          </w:p>
        </w:tc>
        <w:tc>
          <w:tcPr>
            <w:tcW w:w="740" w:type="dxa"/>
            <w:vAlign w:val="bottom"/>
          </w:tcPr>
          <w:p>
            <w:pPr>
              <w:ind w:left="260"/>
              <w:spacing w:after="0"/>
              <w:rPr>
                <w:sz w:val="20"/>
                <w:szCs w:val="20"/>
                <w:color w:val="auto"/>
              </w:rPr>
            </w:pPr>
            <w:r>
              <w:rPr>
                <w:rFonts w:ascii="Arial" w:cs="Arial" w:eastAsia="Arial" w:hAnsi="Arial"/>
                <w:sz w:val="10"/>
                <w:szCs w:val="10"/>
                <w:color w:val="008000"/>
              </w:rPr>
              <w:t>(1)(2)</w:t>
            </w:r>
          </w:p>
        </w:tc>
        <w:tc>
          <w:tcPr>
            <w:tcW w:w="1000" w:type="dxa"/>
            <w:vAlign w:val="bottom"/>
          </w:tcPr>
          <w:p>
            <w:pPr>
              <w:jc w:val="right"/>
              <w:ind w:right="122"/>
              <w:spacing w:after="0"/>
              <w:rPr>
                <w:sz w:val="20"/>
                <w:szCs w:val="20"/>
                <w:color w:val="auto"/>
              </w:rPr>
            </w:pPr>
            <w:r>
              <w:rPr>
                <w:rFonts w:ascii="Arial" w:cs="Arial" w:eastAsia="Arial" w:hAnsi="Arial"/>
                <w:sz w:val="12"/>
                <w:szCs w:val="12"/>
                <w:color w:val="0000FF"/>
              </w:rPr>
              <w:t>09/21/2022</w:t>
            </w:r>
          </w:p>
        </w:tc>
        <w:tc>
          <w:tcPr>
            <w:tcW w:w="1100" w:type="dxa"/>
            <w:vAlign w:val="bottom"/>
          </w:tcPr>
          <w:p>
            <w:pPr>
              <w:spacing w:after="0"/>
              <w:rPr>
                <w:sz w:val="20"/>
                <w:szCs w:val="20"/>
                <w:color w:val="auto"/>
              </w:rPr>
            </w:pPr>
          </w:p>
        </w:tc>
        <w:tc>
          <w:tcPr>
            <w:tcW w:w="800" w:type="dxa"/>
            <w:vAlign w:val="bottom"/>
            <w:gridSpan w:val="2"/>
          </w:tcPr>
          <w:p>
            <w:pPr>
              <w:ind w:left="100"/>
              <w:spacing w:after="0" w:line="236"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(1)</w:t>
            </w:r>
          </w:p>
        </w:tc>
        <w:tc>
          <w:tcPr>
            <w:tcW w:w="700" w:type="dxa"/>
            <w:vAlign w:val="bottom"/>
          </w:tcPr>
          <w:p>
            <w:pPr>
              <w:ind w:left="60"/>
              <w:spacing w:after="0"/>
              <w:rPr>
                <w:sz w:val="20"/>
                <w:szCs w:val="20"/>
                <w:color w:val="auto"/>
              </w:rPr>
            </w:pPr>
            <w:r>
              <w:rPr>
                <w:rFonts w:ascii="Arial" w:cs="Arial" w:eastAsia="Arial" w:hAnsi="Arial"/>
                <w:sz w:val="12"/>
                <w:szCs w:val="12"/>
                <w:color w:val="0000FF"/>
              </w:rPr>
              <w:t>153,019</w:t>
            </w:r>
            <w:r>
              <w:rPr>
                <w:rFonts w:ascii="Arial" w:cs="Arial" w:eastAsia="Arial" w:hAnsi="Arial"/>
                <w:sz w:val="20"/>
                <w:szCs w:val="20"/>
                <w:color w:val="008000"/>
                <w:vertAlign w:val="superscript"/>
              </w:rPr>
              <w:t>(3)</w:t>
            </w:r>
          </w:p>
        </w:tc>
        <w:tc>
          <w:tcPr>
            <w:tcW w:w="26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Arial" w:cs="Arial" w:eastAsia="Arial" w:hAnsi="Arial"/>
                <w:sz w:val="10"/>
                <w:szCs w:val="10"/>
                <w:color w:val="008000"/>
              </w:rPr>
              <w:t>(2)</w:t>
            </w:r>
          </w:p>
        </w:tc>
        <w:tc>
          <w:tcPr>
            <w:tcW w:w="700" w:type="dxa"/>
            <w:vAlign w:val="bottom"/>
          </w:tcPr>
          <w:p>
            <w:pPr>
              <w:ind w:left="60"/>
              <w:spacing w:after="0"/>
              <w:rPr>
                <w:sz w:val="20"/>
                <w:szCs w:val="20"/>
                <w:color w:val="auto"/>
              </w:rPr>
            </w:pPr>
            <w:r>
              <w:rPr>
                <w:rFonts w:ascii="Arial" w:cs="Arial" w:eastAsia="Arial" w:hAnsi="Arial"/>
                <w:sz w:val="12"/>
                <w:szCs w:val="12"/>
                <w:color w:val="0000FF"/>
              </w:rPr>
              <w:t>09/21/2027</w:t>
            </w:r>
          </w:p>
        </w:tc>
        <w:tc>
          <w:tcPr>
            <w:tcW w:w="640" w:type="dxa"/>
            <w:vAlign w:val="bottom"/>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tcPr>
          <w:p>
            <w:pPr>
              <w:ind w:left="20"/>
              <w:spacing w:after="0"/>
              <w:rPr>
                <w:sz w:val="20"/>
                <w:szCs w:val="20"/>
                <w:color w:val="auto"/>
              </w:rPr>
            </w:pPr>
            <w:r>
              <w:rPr>
                <w:rFonts w:ascii="Arial" w:cs="Arial" w:eastAsia="Arial" w:hAnsi="Arial"/>
                <w:sz w:val="16"/>
                <w:szCs w:val="16"/>
                <w:color w:val="0000FF"/>
                <w:w w:val="91"/>
              </w:rPr>
              <w:t>153,019</w:t>
            </w:r>
            <w:r>
              <w:rPr>
                <w:rFonts w:ascii="Arial" w:cs="Arial" w:eastAsia="Arial" w:hAnsi="Arial"/>
                <w:sz w:val="20"/>
                <w:szCs w:val="20"/>
                <w:color w:val="008000"/>
                <w:w w:val="91"/>
                <w:vertAlign w:val="superscript"/>
              </w:rPr>
              <w:t>(3)</w:t>
            </w:r>
          </w:p>
        </w:tc>
        <w:tc>
          <w:tcPr>
            <w:tcW w:w="2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008000"/>
              </w:rPr>
              <w:t>(1)</w:t>
            </w:r>
          </w:p>
        </w:tc>
        <w:tc>
          <w:tcPr>
            <w:tcW w:w="840" w:type="dxa"/>
            <w:vAlign w:val="bottom"/>
            <w:gridSpan w:val="2"/>
          </w:tcPr>
          <w:p>
            <w:pPr>
              <w:ind w:left="140"/>
              <w:spacing w:after="0"/>
              <w:rPr>
                <w:sz w:val="20"/>
                <w:szCs w:val="20"/>
                <w:color w:val="auto"/>
              </w:rPr>
            </w:pPr>
            <w:r>
              <w:rPr>
                <w:rFonts w:ascii="Arial" w:cs="Arial" w:eastAsia="Arial" w:hAnsi="Arial"/>
                <w:sz w:val="12"/>
                <w:szCs w:val="12"/>
                <w:color w:val="0000FF"/>
              </w:rPr>
              <w:t>153,019</w:t>
            </w:r>
            <w:r>
              <w:rPr>
                <w:rFonts w:ascii="Arial" w:cs="Arial" w:eastAsia="Arial" w:hAnsi="Arial"/>
                <w:sz w:val="20"/>
                <w:szCs w:val="20"/>
                <w:color w:val="008000"/>
                <w:vertAlign w:val="superscript"/>
              </w:rPr>
              <w:t>(3)</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7" w:lineRule="exact"/>
              <w:rPr>
                <w:sz w:val="20"/>
                <w:szCs w:val="20"/>
                <w:color w:val="auto"/>
              </w:rPr>
            </w:pPr>
            <w:r>
              <w:rPr>
                <w:rFonts w:ascii="Arial" w:cs="Arial" w:eastAsia="Arial" w:hAnsi="Arial"/>
                <w:sz w:val="12"/>
                <w:szCs w:val="12"/>
                <w:color w:val="0000FF"/>
              </w:rPr>
              <w:t>Shares</w:t>
            </w:r>
          </w:p>
        </w:tc>
        <w:tc>
          <w:tcPr>
            <w:tcW w:w="7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40"/>
              <w:spacing w:after="0" w:line="137" w:lineRule="exact"/>
              <w:rPr>
                <w:sz w:val="20"/>
                <w:szCs w:val="20"/>
                <w:color w:val="auto"/>
              </w:rPr>
            </w:pPr>
            <w:r>
              <w:rPr>
                <w:rFonts w:ascii="Arial" w:cs="Arial" w:eastAsia="Arial" w:hAnsi="Arial"/>
                <w:sz w:val="12"/>
                <w:szCs w:val="12"/>
                <w:color w:val="0000FF"/>
              </w:rPr>
              <w:t>Stock</w:t>
            </w: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-1537970</wp:posOffset>
            </wp:positionV>
            <wp:extent cx="28575" cy="1543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54305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160" w:hanging="3"/>
        <w:spacing w:after="0" w:line="246"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securities acquired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27" w:lineRule="exact"/>
        <w:rPr>
          <w:rFonts w:ascii="Arial" w:cs="Arial" w:eastAsia="Arial" w:hAnsi="Arial"/>
          <w:sz w:val="12"/>
          <w:szCs w:val="12"/>
          <w:color w:val="008000"/>
        </w:rPr>
      </w:pPr>
    </w:p>
    <w:p>
      <w:pPr>
        <w:ind w:left="40" w:right="300" w:hanging="3"/>
        <w:spacing w:after="0" w:line="249"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consummation of the Business Combination, the Reporting Person received the right to acquire shares of the Issuer's common stock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and one-half will be issued to the Reporting Person if the VWAP of the Issuer common stock equals or exceeds $15.00 over 20 trading days within any 30 trading day period on or before the fifth anniversary of the Closing Date.</w:t>
      </w:r>
    </w:p>
    <w:p>
      <w:pPr>
        <w:spacing w:after="0" w:line="24"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23, 2022, a Form 4 was filed that inadvertently reported that 266,822 Earn-Out Shares were acquired. This amendment to Form 4 is being filed to report the correct number of Earn-Out Shares.</w:t>
      </w:r>
    </w:p>
    <w:p>
      <w:pPr>
        <w:ind w:left="6600"/>
        <w:spacing w:after="0" w:line="194" w:lineRule="auto"/>
        <w:rPr>
          <w:sz w:val="20"/>
          <w:szCs w:val="20"/>
          <w:color w:val="auto"/>
        </w:rPr>
      </w:pPr>
      <w:r>
        <w:rPr>
          <w:rFonts w:ascii="Arial" w:cs="Arial" w:eastAsia="Arial" w:hAnsi="Arial"/>
          <w:sz w:val="16"/>
          <w:szCs w:val="16"/>
          <w:color w:val="0000FF"/>
        </w:rPr>
        <w:t xml:space="preserve">/s/ Stephen Perry, as attorney-in- </w:t>
      </w:r>
      <w:r>
        <w:rPr>
          <w:rFonts w:ascii="Arial" w:cs="Arial" w:eastAsia="Arial" w:hAnsi="Arial"/>
          <w:sz w:val="32"/>
          <w:szCs w:val="32"/>
          <w:color w:val="0000FF"/>
          <w:vertAlign w:val="subscript"/>
        </w:rPr>
        <w:t>09/30/2022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30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53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9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2022-09-30T15:11:14Z</dcterms:created>
  <dcterms:modified xsi:type="dcterms:W3CDTF">2022-09-30T15:11:14Z</dcterms:modified>
</cp:coreProperties>
</file>