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3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14819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CURRENT REPORT</w:t>
      </w:r>
    </w:p>
    <w:p>
      <w:pPr>
        <w:spacing w:after="0" w:line="24"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PURSUANT TO SECTION 13 OR 15(d)</w:t>
      </w:r>
    </w:p>
    <w:p>
      <w:pPr>
        <w:spacing w:after="0" w:line="7"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Date of Report (Date of earliest event reported): January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400"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Ventoux CCM Acquisition Corp.</w:t>
      </w:r>
    </w:p>
    <w:p>
      <w:pPr>
        <w:spacing w:after="0" w:line="33"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80" w:lineRule="exact"/>
        <w:rPr>
          <w:sz w:val="24"/>
          <w:szCs w:val="24"/>
          <w:color w:val="auto"/>
        </w:rPr>
      </w:pPr>
    </w:p>
    <w:tbl>
      <w:tblPr>
        <w:tblLayout w:type="fixed"/>
        <w:tblInd w:w="4" w:type="dxa"/>
        <w:tblCellMar>
          <w:top w:w="0" w:type="dxa"/>
          <w:left w:w="0" w:type="dxa"/>
          <w:bottom w:w="0" w:type="dxa"/>
          <w:right w:w="0" w:type="dxa"/>
        </w:tblCellMar>
      </w:tblPr>
      <w:tr>
        <w:trPr>
          <w:trHeight w:val="224"/>
        </w:trPr>
        <w:tc>
          <w:tcPr>
            <w:tcW w:w="3040" w:type="dxa"/>
            <w:vAlign w:val="bottom"/>
          </w:tcPr>
          <w:p>
            <w:pPr>
              <w:jc w:val="center"/>
              <w:ind w:left="480"/>
              <w:spacing w:after="0"/>
              <w:rPr>
                <w:sz w:val="20"/>
                <w:szCs w:val="20"/>
                <w:color w:val="auto"/>
              </w:rPr>
            </w:pPr>
            <w:r>
              <w:rPr>
                <w:rFonts w:ascii="Arial" w:cs="Arial" w:eastAsia="Arial" w:hAnsi="Arial"/>
                <w:sz w:val="16"/>
                <w:szCs w:val="16"/>
                <w:b w:val="1"/>
                <w:bCs w:val="1"/>
                <w:color w:val="auto"/>
                <w:w w:val="91"/>
              </w:rPr>
              <w:t>Delaware</w:t>
            </w:r>
          </w:p>
        </w:tc>
        <w:tc>
          <w:tcPr>
            <w:tcW w:w="4400" w:type="dxa"/>
            <w:vAlign w:val="bottom"/>
            <w:gridSpan w:val="3"/>
          </w:tcPr>
          <w:p>
            <w:pPr>
              <w:jc w:val="center"/>
              <w:ind w:left="720"/>
              <w:spacing w:after="0"/>
              <w:rPr>
                <w:sz w:val="20"/>
                <w:szCs w:val="20"/>
                <w:color w:val="auto"/>
              </w:rPr>
            </w:pPr>
            <w:r>
              <w:rPr>
                <w:rFonts w:ascii="Arial" w:cs="Arial" w:eastAsia="Arial" w:hAnsi="Arial"/>
                <w:sz w:val="16"/>
                <w:szCs w:val="16"/>
                <w:b w:val="1"/>
                <w:bCs w:val="1"/>
                <w:color w:val="auto"/>
                <w:w w:val="88"/>
              </w:rPr>
              <w:t>001-39830</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80" w:type="dxa"/>
            <w:vAlign w:val="bottom"/>
          </w:tcPr>
          <w:p>
            <w:pPr>
              <w:jc w:val="center"/>
              <w:ind w:right="660"/>
              <w:spacing w:after="0"/>
              <w:rPr>
                <w:sz w:val="20"/>
                <w:szCs w:val="20"/>
                <w:color w:val="auto"/>
              </w:rPr>
            </w:pPr>
            <w:r>
              <w:rPr>
                <w:rFonts w:ascii="Arial" w:cs="Arial" w:eastAsia="Arial" w:hAnsi="Arial"/>
                <w:sz w:val="16"/>
                <w:szCs w:val="16"/>
                <w:b w:val="1"/>
                <w:bCs w:val="1"/>
                <w:color w:val="auto"/>
                <w:w w:val="91"/>
              </w:rPr>
              <w:t>84-2968594</w:t>
            </w:r>
          </w:p>
        </w:tc>
      </w:tr>
      <w:tr>
        <w:trPr>
          <w:trHeight w:val="175"/>
        </w:trPr>
        <w:tc>
          <w:tcPr>
            <w:tcW w:w="3040" w:type="dxa"/>
            <w:vAlign w:val="bottom"/>
            <w:tcBorders>
              <w:top w:val="single" w:sz="8" w:color="auto"/>
            </w:tcBorders>
          </w:tcPr>
          <w:p>
            <w:pPr>
              <w:jc w:val="center"/>
              <w:ind w:left="480"/>
              <w:spacing w:after="0" w:line="175" w:lineRule="exact"/>
              <w:rPr>
                <w:sz w:val="20"/>
                <w:szCs w:val="20"/>
                <w:color w:val="auto"/>
              </w:rPr>
            </w:pPr>
            <w:r>
              <w:rPr>
                <w:rFonts w:ascii="Arial" w:cs="Arial" w:eastAsia="Arial" w:hAnsi="Arial"/>
                <w:sz w:val="16"/>
                <w:szCs w:val="16"/>
                <w:b w:val="1"/>
                <w:bCs w:val="1"/>
                <w:color w:val="auto"/>
                <w:w w:val="90"/>
              </w:rPr>
              <w:t>(State or Other Jurisdiction</w:t>
            </w:r>
          </w:p>
        </w:tc>
        <w:tc>
          <w:tcPr>
            <w:tcW w:w="5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0"/>
              </w:rPr>
              <w:t>(Commission File Number)</w:t>
            </w:r>
          </w:p>
        </w:tc>
        <w:tc>
          <w:tcPr>
            <w:tcW w:w="2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880" w:type="dxa"/>
            <w:vAlign w:val="bottom"/>
            <w:tcBorders>
              <w:top w:val="single" w:sz="8" w:color="auto"/>
            </w:tcBorders>
          </w:tcPr>
          <w:p>
            <w:pPr>
              <w:jc w:val="center"/>
              <w:ind w:right="660"/>
              <w:spacing w:after="0" w:line="175" w:lineRule="exact"/>
              <w:rPr>
                <w:sz w:val="20"/>
                <w:szCs w:val="20"/>
                <w:color w:val="auto"/>
              </w:rPr>
            </w:pPr>
            <w:r>
              <w:rPr>
                <w:rFonts w:ascii="Arial" w:cs="Arial" w:eastAsia="Arial" w:hAnsi="Arial"/>
                <w:sz w:val="16"/>
                <w:szCs w:val="16"/>
                <w:b w:val="1"/>
                <w:bCs w:val="1"/>
                <w:color w:val="auto"/>
                <w:w w:val="93"/>
              </w:rPr>
              <w:t>(IRS Employer</w:t>
            </w:r>
          </w:p>
        </w:tc>
      </w:tr>
      <w:tr>
        <w:trPr>
          <w:trHeight w:val="208"/>
        </w:trPr>
        <w:tc>
          <w:tcPr>
            <w:tcW w:w="3040" w:type="dxa"/>
            <w:vAlign w:val="bottom"/>
          </w:tcPr>
          <w:p>
            <w:pPr>
              <w:jc w:val="center"/>
              <w:ind w:left="480"/>
              <w:spacing w:after="0"/>
              <w:rPr>
                <w:sz w:val="20"/>
                <w:szCs w:val="20"/>
                <w:color w:val="auto"/>
              </w:rPr>
            </w:pPr>
            <w:r>
              <w:rPr>
                <w:rFonts w:ascii="Arial" w:cs="Arial" w:eastAsia="Arial" w:hAnsi="Arial"/>
                <w:sz w:val="16"/>
                <w:szCs w:val="16"/>
                <w:b w:val="1"/>
                <w:bCs w:val="1"/>
                <w:color w:val="auto"/>
                <w:w w:val="93"/>
              </w:rPr>
              <w:t>of Incorporation)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jc w:val="center"/>
              <w:ind w:right="640"/>
              <w:spacing w:after="0"/>
              <w:rPr>
                <w:sz w:val="20"/>
                <w:szCs w:val="20"/>
                <w:color w:val="auto"/>
              </w:rPr>
            </w:pPr>
            <w:r>
              <w:rPr>
                <w:rFonts w:ascii="Arial" w:cs="Arial" w:eastAsia="Arial" w:hAnsi="Arial"/>
                <w:sz w:val="16"/>
                <w:szCs w:val="16"/>
                <w:b w:val="1"/>
                <w:bCs w:val="1"/>
                <w:color w:val="auto"/>
                <w:w w:val="91"/>
              </w:rPr>
              <w:t>Identification No.)</w:t>
            </w:r>
          </w:p>
        </w:tc>
      </w:tr>
      <w:tr>
        <w:trPr>
          <w:trHeight w:val="366"/>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Arial" w:cs="Arial" w:eastAsia="Arial" w:hAnsi="Arial"/>
                <w:sz w:val="16"/>
                <w:szCs w:val="16"/>
                <w:b w:val="1"/>
                <w:bCs w:val="1"/>
                <w:color w:val="auto"/>
                <w:w w:val="90"/>
              </w:rPr>
              <w:t>1 East Putnam Avenue, Floor 4</w:t>
            </w:r>
          </w:p>
        </w:tc>
        <w:tc>
          <w:tcPr>
            <w:tcW w:w="2880" w:type="dxa"/>
            <w:vAlign w:val="bottom"/>
          </w:tcPr>
          <w:p>
            <w:pPr>
              <w:spacing w:after="0"/>
              <w:rPr>
                <w:sz w:val="24"/>
                <w:szCs w:val="24"/>
                <w:color w:val="auto"/>
              </w:rPr>
            </w:pPr>
          </w:p>
        </w:tc>
      </w:tr>
      <w:tr>
        <w:trPr>
          <w:trHeight w:val="191"/>
        </w:trPr>
        <w:tc>
          <w:tcPr>
            <w:tcW w:w="3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40" w:type="dxa"/>
            <w:vAlign w:val="bottom"/>
            <w:gridSpan w:val="3"/>
          </w:tcPr>
          <w:p>
            <w:pPr>
              <w:jc w:val="center"/>
              <w:ind w:right="980"/>
              <w:spacing w:after="0"/>
              <w:rPr>
                <w:sz w:val="20"/>
                <w:szCs w:val="20"/>
                <w:color w:val="auto"/>
              </w:rPr>
            </w:pPr>
            <w:r>
              <w:rPr>
                <w:rFonts w:ascii="Arial" w:cs="Arial" w:eastAsia="Arial" w:hAnsi="Arial"/>
                <w:sz w:val="16"/>
                <w:szCs w:val="16"/>
                <w:b w:val="1"/>
                <w:bCs w:val="1"/>
                <w:color w:val="auto"/>
                <w:w w:val="91"/>
              </w:rPr>
              <w:t>Greenwich, CT 06830</w:t>
            </w:r>
          </w:p>
        </w:tc>
        <w:tc>
          <w:tcPr>
            <w:tcW w:w="2880" w:type="dxa"/>
            <w:vAlign w:val="bottom"/>
          </w:tcPr>
          <w:p>
            <w:pPr>
              <w:spacing w:after="0"/>
              <w:rPr>
                <w:sz w:val="16"/>
                <w:szCs w:val="16"/>
                <w:color w:val="auto"/>
              </w:rPr>
            </w:pPr>
          </w:p>
        </w:tc>
      </w:tr>
      <w:tr>
        <w:trPr>
          <w:trHeight w:val="208"/>
        </w:trPr>
        <w:tc>
          <w:tcPr>
            <w:tcW w:w="3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40" w:type="dxa"/>
            <w:vAlign w:val="bottom"/>
            <w:gridSpan w:val="3"/>
          </w:tcPr>
          <w:p>
            <w:pPr>
              <w:jc w:val="center"/>
              <w:ind w:right="980"/>
              <w:spacing w:after="0"/>
              <w:rPr>
                <w:sz w:val="20"/>
                <w:szCs w:val="20"/>
                <w:color w:val="auto"/>
              </w:rPr>
            </w:pPr>
            <w:r>
              <w:rPr>
                <w:rFonts w:ascii="Arial" w:cs="Arial" w:eastAsia="Arial" w:hAnsi="Arial"/>
                <w:sz w:val="16"/>
                <w:szCs w:val="16"/>
                <w:b w:val="1"/>
                <w:bCs w:val="1"/>
                <w:color w:val="auto"/>
                <w:w w:val="88"/>
              </w:rPr>
              <w:t>(Address of principal executive office) (zip code)</w:t>
            </w:r>
          </w:p>
        </w:tc>
        <w:tc>
          <w:tcPr>
            <w:tcW w:w="2880" w:type="dxa"/>
            <w:vAlign w:val="bottom"/>
          </w:tcPr>
          <w:p>
            <w:pPr>
              <w:spacing w:after="0"/>
              <w:rPr>
                <w:sz w:val="18"/>
                <w:szCs w:val="18"/>
                <w:color w:val="auto"/>
              </w:rPr>
            </w:pPr>
          </w:p>
        </w:tc>
      </w:tr>
      <w:tr>
        <w:trPr>
          <w:trHeight w:val="382"/>
        </w:trPr>
        <w:tc>
          <w:tcPr>
            <w:tcW w:w="3040" w:type="dxa"/>
            <w:vAlign w:val="bottom"/>
          </w:tcPr>
          <w:p>
            <w:pPr>
              <w:spacing w:after="0"/>
              <w:rPr>
                <w:sz w:val="24"/>
                <w:szCs w:val="24"/>
                <w:color w:val="auto"/>
              </w:rPr>
            </w:pPr>
          </w:p>
        </w:tc>
        <w:tc>
          <w:tcPr>
            <w:tcW w:w="534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89"/>
              </w:rPr>
              <w:t>Registrant’s telephone number, including area code: (646) 465-9000</w:t>
            </w:r>
          </w:p>
        </w:tc>
        <w:tc>
          <w:tcPr>
            <w:tcW w:w="2880" w:type="dxa"/>
            <w:vAlign w:val="bottom"/>
          </w:tcPr>
          <w:p>
            <w:pPr>
              <w:spacing w:after="0"/>
              <w:rPr>
                <w:sz w:val="24"/>
                <w:szCs w:val="24"/>
                <w:color w:val="auto"/>
              </w:rPr>
            </w:pPr>
          </w:p>
        </w:tc>
      </w:tr>
      <w:tr>
        <w:trPr>
          <w:trHeight w:val="366"/>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Arial" w:cs="Arial" w:eastAsia="Arial" w:hAnsi="Arial"/>
                <w:sz w:val="16"/>
                <w:szCs w:val="16"/>
                <w:b w:val="1"/>
                <w:bCs w:val="1"/>
                <w:color w:val="auto"/>
              </w:rPr>
              <w:t>N/A</w:t>
            </w:r>
          </w:p>
        </w:tc>
        <w:tc>
          <w:tcPr>
            <w:tcW w:w="2880" w:type="dxa"/>
            <w:vAlign w:val="bottom"/>
          </w:tcPr>
          <w:p>
            <w:pPr>
              <w:spacing w:after="0"/>
              <w:rPr>
                <w:sz w:val="24"/>
                <w:szCs w:val="24"/>
                <w:color w:val="auto"/>
              </w:rPr>
            </w:pPr>
          </w:p>
        </w:tc>
      </w:tr>
      <w:tr>
        <w:trPr>
          <w:trHeight w:val="208"/>
        </w:trPr>
        <w:tc>
          <w:tcPr>
            <w:tcW w:w="3040" w:type="dxa"/>
            <w:vAlign w:val="bottom"/>
          </w:tcPr>
          <w:p>
            <w:pPr>
              <w:spacing w:after="0"/>
              <w:rPr>
                <w:sz w:val="18"/>
                <w:szCs w:val="18"/>
                <w:color w:val="auto"/>
              </w:rPr>
            </w:pPr>
          </w:p>
        </w:tc>
        <w:tc>
          <w:tcPr>
            <w:tcW w:w="534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89"/>
              </w:rPr>
              <w:t>(Former name or former address, if changed since last report)</w:t>
            </w:r>
          </w:p>
        </w:tc>
        <w:tc>
          <w:tcPr>
            <w:tcW w:w="2880" w:type="dxa"/>
            <w:vAlign w:val="bottom"/>
          </w:tcPr>
          <w:p>
            <w:pPr>
              <w:spacing w:after="0"/>
              <w:rPr>
                <w:sz w:val="18"/>
                <w:szCs w:val="18"/>
                <w:color w:val="auto"/>
              </w:rPr>
            </w:pPr>
          </w:p>
        </w:tc>
      </w:tr>
    </w:tbl>
    <w:p>
      <w:pPr>
        <w:spacing w:after="0" w:line="178" w:lineRule="exact"/>
        <w:rPr>
          <w:sz w:val="24"/>
          <w:szCs w:val="24"/>
          <w:color w:val="auto"/>
        </w:rPr>
      </w:pPr>
    </w:p>
    <w:p>
      <w:pPr>
        <w:ind w:left="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w:t>
      </w:r>
    </w:p>
    <w:p>
      <w:pPr>
        <w:spacing w:after="0" w:line="31" w:lineRule="exact"/>
        <w:rPr>
          <w:sz w:val="24"/>
          <w:szCs w:val="24"/>
          <w:color w:val="auto"/>
        </w:rPr>
      </w:pPr>
    </w:p>
    <w:p>
      <w:pPr>
        <w:ind w:left="4"/>
        <w:spacing w:after="0"/>
        <w:rPr>
          <w:sz w:val="20"/>
          <w:szCs w:val="20"/>
          <w:color w:val="auto"/>
        </w:rPr>
      </w:pPr>
      <w:r>
        <w:rPr>
          <w:rFonts w:ascii="Arial" w:cs="Arial" w:eastAsia="Arial" w:hAnsi="Arial"/>
          <w:sz w:val="16"/>
          <w:szCs w:val="16"/>
          <w:color w:val="auto"/>
        </w:rPr>
        <w:t>General Instruction A.2. below):</w:t>
      </w:r>
    </w:p>
    <w:p>
      <w:pPr>
        <w:spacing w:after="0" w:line="186"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8" w:lineRule="exact"/>
        <w:rPr>
          <w:sz w:val="24"/>
          <w:szCs w:val="24"/>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4" w:right="3860" w:hanging="4"/>
        <w:spacing w:after="0" w:line="496" w:lineRule="auto"/>
        <w:tabs>
          <w:tab w:leader="none" w:pos="29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91"/>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87"/>
              </w:rPr>
              <w:t>Name of each exchange on which</w:t>
            </w:r>
          </w:p>
        </w:tc>
      </w:tr>
      <w:tr>
        <w:trPr>
          <w:trHeight w:val="212"/>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240" w:type="dxa"/>
            <w:vAlign w:val="bottom"/>
          </w:tcPr>
          <w:p>
            <w:pPr>
              <w:spacing w:after="0"/>
              <w:rPr>
                <w:sz w:val="18"/>
                <w:szCs w:val="18"/>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Trading Symbol(s)</w:t>
            </w:r>
          </w:p>
        </w:tc>
        <w:tc>
          <w:tcPr>
            <w:tcW w:w="220" w:type="dxa"/>
            <w:vAlign w:val="bottom"/>
          </w:tcPr>
          <w:p>
            <w:pPr>
              <w:spacing w:after="0"/>
              <w:rPr>
                <w:sz w:val="18"/>
                <w:szCs w:val="18"/>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registered</w:t>
            </w:r>
          </w:p>
        </w:tc>
      </w:tr>
      <w:tr>
        <w:trPr>
          <w:trHeight w:val="191"/>
        </w:trPr>
        <w:tc>
          <w:tcPr>
            <w:tcW w:w="3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Common Stock</w:t>
            </w:r>
          </w:p>
        </w:tc>
        <w:tc>
          <w:tcPr>
            <w:tcW w:w="240" w:type="dxa"/>
            <w:vAlign w:val="bottom"/>
            <w:shd w:val="clear" w:color="auto" w:fill="CCEEFF"/>
          </w:tcPr>
          <w:p>
            <w:pPr>
              <w:spacing w:after="0"/>
              <w:rPr>
                <w:sz w:val="16"/>
                <w:szCs w:val="16"/>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VTAQ</w:t>
            </w:r>
          </w:p>
        </w:tc>
        <w:tc>
          <w:tcPr>
            <w:tcW w:w="220" w:type="dxa"/>
            <w:vAlign w:val="bottom"/>
            <w:shd w:val="clear" w:color="auto" w:fill="CCEEFF"/>
          </w:tcPr>
          <w:p>
            <w:pPr>
              <w:spacing w:after="0"/>
              <w:rPr>
                <w:sz w:val="16"/>
                <w:szCs w:val="16"/>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The Nasdaq Stock Market LLC</w:t>
            </w:r>
          </w:p>
        </w:tc>
      </w:tr>
      <w:tr>
        <w:trPr>
          <w:trHeight w:val="191"/>
        </w:trPr>
        <w:tc>
          <w:tcPr>
            <w:tcW w:w="3600" w:type="dxa"/>
            <w:vAlign w:val="bottom"/>
          </w:tcPr>
          <w:p>
            <w:pPr>
              <w:jc w:val="center"/>
              <w:spacing w:after="0"/>
              <w:rPr>
                <w:sz w:val="20"/>
                <w:szCs w:val="20"/>
                <w:color w:val="auto"/>
              </w:rPr>
            </w:pPr>
            <w:r>
              <w:rPr>
                <w:rFonts w:ascii="Arial" w:cs="Arial" w:eastAsia="Arial" w:hAnsi="Arial"/>
                <w:sz w:val="16"/>
                <w:szCs w:val="16"/>
                <w:color w:val="auto"/>
                <w:w w:val="86"/>
              </w:rPr>
              <w:t>Warrants</w:t>
            </w:r>
          </w:p>
        </w:tc>
        <w:tc>
          <w:tcPr>
            <w:tcW w:w="24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w w:val="98"/>
              </w:rPr>
              <w:t>VTAQW</w:t>
            </w:r>
          </w:p>
        </w:tc>
        <w:tc>
          <w:tcPr>
            <w:tcW w:w="22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w w:val="91"/>
              </w:rPr>
              <w:t>The Nasdaq Stock Market LLC</w:t>
            </w:r>
          </w:p>
        </w:tc>
      </w:tr>
      <w:tr>
        <w:trPr>
          <w:trHeight w:val="191"/>
        </w:trPr>
        <w:tc>
          <w:tcPr>
            <w:tcW w:w="3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Rights</w:t>
            </w:r>
          </w:p>
        </w:tc>
        <w:tc>
          <w:tcPr>
            <w:tcW w:w="240" w:type="dxa"/>
            <w:vAlign w:val="bottom"/>
            <w:shd w:val="clear" w:color="auto" w:fill="CCEEFF"/>
          </w:tcPr>
          <w:p>
            <w:pPr>
              <w:spacing w:after="0"/>
              <w:rPr>
                <w:sz w:val="16"/>
                <w:szCs w:val="16"/>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VTAQR</w:t>
            </w:r>
          </w:p>
        </w:tc>
        <w:tc>
          <w:tcPr>
            <w:tcW w:w="220" w:type="dxa"/>
            <w:vAlign w:val="bottom"/>
            <w:shd w:val="clear" w:color="auto" w:fill="CCEEFF"/>
          </w:tcPr>
          <w:p>
            <w:pPr>
              <w:spacing w:after="0"/>
              <w:rPr>
                <w:sz w:val="16"/>
                <w:szCs w:val="16"/>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The Nasdaq Stock Market LLC</w:t>
            </w:r>
          </w:p>
        </w:tc>
      </w:tr>
      <w:tr>
        <w:trPr>
          <w:trHeight w:val="204"/>
        </w:trPr>
        <w:tc>
          <w:tcPr>
            <w:tcW w:w="3600" w:type="dxa"/>
            <w:vAlign w:val="bottom"/>
          </w:tcPr>
          <w:p>
            <w:pPr>
              <w:jc w:val="center"/>
              <w:spacing w:after="0"/>
              <w:rPr>
                <w:sz w:val="20"/>
                <w:szCs w:val="20"/>
                <w:color w:val="auto"/>
              </w:rPr>
            </w:pPr>
            <w:r>
              <w:rPr>
                <w:rFonts w:ascii="Arial" w:cs="Arial" w:eastAsia="Arial" w:hAnsi="Arial"/>
                <w:sz w:val="16"/>
                <w:szCs w:val="16"/>
                <w:color w:val="auto"/>
                <w:w w:val="98"/>
              </w:rPr>
              <w:t>Units</w:t>
            </w:r>
          </w:p>
        </w:tc>
        <w:tc>
          <w:tcPr>
            <w:tcW w:w="24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w w:val="97"/>
              </w:rPr>
              <w:t>VTAQU</w:t>
            </w:r>
          </w:p>
        </w:tc>
        <w:tc>
          <w:tcPr>
            <w:tcW w:w="22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w w:val="91"/>
              </w:rPr>
              <w:t>The Nasdaq Stock Market LLC</w:t>
            </w:r>
          </w:p>
        </w:tc>
      </w:tr>
    </w:tbl>
    <w:p>
      <w:pPr>
        <w:spacing w:after="0" w:line="166" w:lineRule="exact"/>
        <w:rPr>
          <w:sz w:val="24"/>
          <w:szCs w:val="24"/>
          <w:color w:val="auto"/>
        </w:rPr>
      </w:pPr>
    </w:p>
    <w:p>
      <w:pPr>
        <w:jc w:val="both"/>
        <w:ind w:left="4"/>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8" w:lineRule="exact"/>
        <w:rPr>
          <w:sz w:val="24"/>
          <w:szCs w:val="24"/>
          <w:color w:val="auto"/>
        </w:rPr>
      </w:pPr>
    </w:p>
    <w:p>
      <w:pPr>
        <w:jc w:val="both"/>
        <w:ind w:left="4"/>
        <w:spacing w:after="0" w:line="20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1481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126365</wp:posOffset>
            </wp:positionV>
            <wp:extent cx="7148195"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528320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65"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Attached as Exhibit 99.1 hereto and incorporated herein by reference is an updated investor presentation dated January 12, 2022.</w:t>
      </w:r>
    </w:p>
    <w:p>
      <w:pPr>
        <w:spacing w:after="0" w:line="198"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The information in this Item 7.01, including Exhibit 99.1, is furnished and shall not be deemed “filed” for purposes of Section 18 of the Securities Exchange Act of 1934, as amended (the “Exchange Act”), or otherwise subject to liabilities under that section, and shall not be deemed to be incorporated by reference into the filings of VTAQ under the Securities Act or the Exchange Act, regardless of any general incorporation language in such filings. This Current Report on Form 8-K will not be deemed an admission as to the materiality of any information of the information in this Item 7.01, including Exhibit 99.1.</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Participants in Solicitation</w:t>
      </w:r>
    </w:p>
    <w:p>
      <w:pPr>
        <w:spacing w:after="0" w:line="198"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This Current Report on Form 8-K is not a solicitation of a proxy from any investor or security holder. However, VTAQ, Presto, and certain of their directors and executive officers may be deemed to be participants in the solicitation of proxies in connection with the proposed business combination under the rules of the SEC. Information about VTAQ’s directors and executive officers and their ownership of VTAQ’s securities is set forth in filings with the SEC, including VTAQ’s Annual Report on Form 10-K filed with the SEC on March 30, 2021 and amended on June 22, 2021 and December 3, 2021. To the extent that holdings of VTAQ’s securities have changed since the amounts included in VTAQ’s Annual Report on Form 10-K, such changes have been or will be reflected on Statements of Changes in Ownership on Form 4 filed with the SEC. Additional information regarding the participants will also be included in the proxy statement/prospectus, when it becomes available. When available, these documents can be obtained free of charge from the sources indicated above.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Forward-Looking Statements</w:t>
      </w:r>
    </w:p>
    <w:p>
      <w:pPr>
        <w:spacing w:after="0" w:line="198" w:lineRule="exact"/>
        <w:rPr>
          <w:sz w:val="20"/>
          <w:szCs w:val="20"/>
          <w:color w:val="auto"/>
        </w:rPr>
      </w:pPr>
    </w:p>
    <w:p>
      <w:pPr>
        <w:jc w:val="both"/>
        <w:ind w:right="20" w:firstLine="574"/>
        <w:spacing w:after="0" w:line="271" w:lineRule="auto"/>
        <w:rPr>
          <w:sz w:val="20"/>
          <w:szCs w:val="20"/>
          <w:color w:val="auto"/>
        </w:rPr>
      </w:pPr>
      <w:r>
        <w:rPr>
          <w:rFonts w:ascii="Arial" w:cs="Arial" w:eastAsia="Arial" w:hAnsi="Arial"/>
          <w:sz w:val="15"/>
          <w:szCs w:val="15"/>
          <w:color w:val="auto"/>
        </w:rPr>
        <w:t>This Current Report on Form 8-K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Presto’s industry and market sizes, future opportunities for VTAQ, Presto and New Presto, VTAQ’s and Presto’s estimated future results and the proposed business combination, the expected transaction and ownership structure and the likelihood and ability of the parties to successfully consummate the proposed business combination.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 w:name="page3"/>
    <w:bookmarkEnd w:id="2"/>
    <w:p>
      <w:pPr>
        <w:jc w:val="both"/>
        <w:ind w:left="4" w:firstLine="574"/>
        <w:spacing w:after="0" w:line="288" w:lineRule="auto"/>
        <w:rPr>
          <w:sz w:val="20"/>
          <w:szCs w:val="20"/>
          <w:color w:val="auto"/>
        </w:rPr>
      </w:pPr>
      <w:r>
        <w:rPr>
          <w:rFonts w:ascii="Arial" w:cs="Arial" w:eastAsia="Arial" w:hAnsi="Arial"/>
          <w:sz w:val="14"/>
          <w:szCs w:val="14"/>
          <w:color w:val="auto"/>
        </w:rPr>
        <w:t>In addition to factors previously disclosed or that will be disclosed in VTAQ’s reports filed with the SEC and those identified elsewhere in this Current Report on Form 8-K, the following factors, among others, could cause actual results and the timing of events to differ materially from the anticipated results or other expectations expressed in the forward-looking statements: (1) the occurrence of any event, change or other circumstances that could give rise to the termination of the merger agreement or could otherwise cause the transactions contemplated therein to fail to close; (2) the outcome of any legal proceedings that may be instituted against VTAQ, Presto, VTAQ or others following the announcement of the Business Combination and any definitive agreements with respect thereto; (3) the inability to complete the Business Combination due to the failure to obtain approval of the stockholders of VTAQ or Presto; (4) the inability of Presto to satisfy other conditions to closing; (5) changes to the proposed structure of the Business Combination that may be required or appropriate as a result of applicable laws or regulations or as a condition to obtaining regulatory approval of the Business Combination; (6) the ability to meet stock exchange listing standards in connection with and following the consummation of the Business Combination; (7) the risk that the Business Combination disrupts current plans and operations of Presto as a result of the announcement and consummation of the Business Combination; (8) the ability to recognize the anticipated benefits of the Business Combination, which may be affected by, among other things, competition, the ability of VTAQ to grow and manage growth profitably, grow its customer base, maintain relationships with customers and suppliers and retain its management and key employees; (9) the impact of the COVID-19 pandemic on the business of Presto and VTAQ (including the effects of the ongoing global supply chain shortage); (10) Presto’s limited operating history and history of net losses; (11) Presto’s customer concentration and reliance on a limited number of key technology providers and payment processors facilitating payments to and by Presto’s customers; (12) costs related to the Business Combination; (13) changes in applicable laws or regulations; (14) the possibility that Presto or VTAQ may be adversely affected by other economic, business, regulatory, and/or competitive factors; (15) Presto’s estimates of expenses and profitability; (16) the evolution of the markets in which Presto competes; (17) the ability of Presto to implement its strategic initiatives and continue to innovate its existing products; (18) the ability of Presto to adhere to legal requirements with respect to the protection of personal data and privacy laws; (19) cybersecurity risks, data loss and other breaches of Presto’s network security and the disclosure of personal information; and (20) the risk of regulatory lawsuits or proceedings relating to Presto’s products or services.</w:t>
      </w:r>
    </w:p>
    <w:p>
      <w:pPr>
        <w:spacing w:after="0" w:line="348" w:lineRule="exact"/>
        <w:rPr>
          <w:sz w:val="20"/>
          <w:szCs w:val="20"/>
          <w:color w:val="auto"/>
        </w:rPr>
      </w:pPr>
    </w:p>
    <w:p>
      <w:pPr>
        <w:jc w:val="both"/>
        <w:ind w:left="4" w:firstLine="574"/>
        <w:spacing w:after="0" w:line="271" w:lineRule="auto"/>
        <w:rPr>
          <w:sz w:val="20"/>
          <w:szCs w:val="20"/>
          <w:color w:val="auto"/>
        </w:rPr>
      </w:pPr>
      <w:r>
        <w:rPr>
          <w:rFonts w:ascii="Arial" w:cs="Arial" w:eastAsia="Arial" w:hAnsi="Arial"/>
          <w:sz w:val="15"/>
          <w:szCs w:val="15"/>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VTAQ and Presto or the date of such information in the case of information from persons other than VTAQ and Presto, and we disclaim any intention or obligation to update any forward-looking statements as a result of developments occurring after the date of this Current Report on Form 8-K. Forecasts and estimates regarding Presto’s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No Offer or Solicitation</w:t>
      </w:r>
    </w:p>
    <w:p>
      <w:pPr>
        <w:spacing w:after="0" w:line="198" w:lineRule="exact"/>
        <w:rPr>
          <w:sz w:val="20"/>
          <w:szCs w:val="20"/>
          <w:color w:val="auto"/>
        </w:rPr>
      </w:pPr>
    </w:p>
    <w:p>
      <w:pPr>
        <w:jc w:val="both"/>
        <w:ind w:left="4" w:firstLine="574"/>
        <w:spacing w:after="0" w:line="258" w:lineRule="auto"/>
        <w:rPr>
          <w:sz w:val="20"/>
          <w:szCs w:val="20"/>
          <w:color w:val="auto"/>
        </w:rPr>
      </w:pPr>
      <w:r>
        <w:rPr>
          <w:rFonts w:ascii="Arial" w:cs="Arial" w:eastAsia="Arial" w:hAnsi="Arial"/>
          <w:sz w:val="16"/>
          <w:szCs w:val="16"/>
          <w:color w:val="auto"/>
        </w:rPr>
        <w:t>This Current Report on Form 8-K is not intended to and shall not constitute a proxy statement or the solicitation of a proxy, consent or authorization with respect to any securities in respect of the Business Combination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2" w:lineRule="exact"/>
        <w:rPr>
          <w:sz w:val="20"/>
          <w:szCs w:val="20"/>
          <w:color w:val="auto"/>
        </w:rPr>
      </w:pPr>
    </w:p>
    <w:p>
      <w:pPr>
        <w:ind w:left="224" w:hanging="224"/>
        <w:spacing w:after="0"/>
        <w:tabs>
          <w:tab w:leader="none" w:pos="224"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Exhibits</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The following exhibit is furnished with this report.</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Exhibit No.</w:t>
            </w:r>
          </w:p>
        </w:tc>
        <w:tc>
          <w:tcPr>
            <w:tcW w:w="220" w:type="dxa"/>
            <w:vAlign w:val="bottom"/>
            <w:tcBorders>
              <w:bottom w:val="single" w:sz="8" w:color="CCEEFF"/>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7040" w:type="dxa"/>
            <w:vAlign w:val="bottom"/>
            <w:tcBorders>
              <w:bottom w:val="single" w:sz="8" w:color="auto"/>
            </w:tcBorders>
          </w:tcPr>
          <w:p>
            <w:pPr>
              <w:jc w:val="right"/>
              <w:ind w:right="4480"/>
              <w:spacing w:after="0"/>
              <w:rPr>
                <w:sz w:val="20"/>
                <w:szCs w:val="20"/>
                <w:color w:val="auto"/>
              </w:rPr>
            </w:pPr>
            <w:r>
              <w:rPr>
                <w:rFonts w:ascii="Arial" w:cs="Arial" w:eastAsia="Arial" w:hAnsi="Arial"/>
                <w:sz w:val="16"/>
                <w:szCs w:val="16"/>
                <w:b w:val="1"/>
                <w:bCs w:val="1"/>
                <w:color w:val="auto"/>
              </w:rPr>
              <w:t>Description</w:t>
            </w:r>
          </w:p>
        </w:tc>
      </w:tr>
      <w:tr>
        <w:trPr>
          <w:trHeight w:val="155"/>
        </w:trPr>
        <w:tc>
          <w:tcPr>
            <w:tcW w:w="1140" w:type="dxa"/>
            <w:vAlign w:val="bottom"/>
            <w:shd w:val="clear" w:color="auto" w:fill="CCEEFF"/>
          </w:tcPr>
          <w:p>
            <w:pPr>
              <w:jc w:val="right"/>
              <w:ind w:right="360"/>
              <w:spacing w:after="0" w:line="155" w:lineRule="exact"/>
              <w:rPr>
                <w:sz w:val="20"/>
                <w:szCs w:val="20"/>
                <w:color w:val="auto"/>
              </w:rPr>
            </w:pPr>
            <w:r>
              <w:rPr>
                <w:rFonts w:ascii="Arial" w:cs="Arial" w:eastAsia="Arial" w:hAnsi="Arial"/>
                <w:sz w:val="16"/>
                <w:szCs w:val="16"/>
                <w:color w:val="auto"/>
              </w:rPr>
              <w:t>99.1</w:t>
            </w:r>
          </w:p>
        </w:tc>
        <w:tc>
          <w:tcPr>
            <w:tcW w:w="220" w:type="dxa"/>
            <w:vAlign w:val="bottom"/>
            <w:shd w:val="clear" w:color="auto" w:fill="CCEEFF"/>
          </w:tcPr>
          <w:p>
            <w:pPr>
              <w:spacing w:after="0"/>
              <w:rPr>
                <w:sz w:val="13"/>
                <w:szCs w:val="13"/>
                <w:color w:val="auto"/>
              </w:rPr>
            </w:pPr>
          </w:p>
        </w:tc>
        <w:tc>
          <w:tcPr>
            <w:tcW w:w="9900" w:type="dxa"/>
            <w:vAlign w:val="bottom"/>
            <w:gridSpan w:val="2"/>
            <w:shd w:val="clear" w:color="auto" w:fill="CCEEFF"/>
          </w:tcPr>
          <w:p>
            <w:pPr>
              <w:spacing w:after="0" w:line="155" w:lineRule="exact"/>
              <w:rPr>
                <w:rFonts w:ascii="Arial" w:cs="Arial" w:eastAsia="Arial" w:hAnsi="Arial"/>
                <w:sz w:val="16"/>
                <w:szCs w:val="16"/>
                <w:color w:val="0000EE"/>
              </w:rPr>
            </w:pPr>
            <w:hyperlink w:anchor="page5">
              <w:r>
                <w:rPr>
                  <w:rFonts w:ascii="Arial" w:cs="Arial" w:eastAsia="Arial" w:hAnsi="Arial"/>
                  <w:sz w:val="16"/>
                  <w:szCs w:val="16"/>
                  <w:color w:val="0000EE"/>
                </w:rPr>
                <w:t>Investor Presentation dated January 12, 2022</w:t>
              </w:r>
            </w:hyperlink>
          </w:p>
        </w:tc>
      </w:tr>
      <w:tr>
        <w:trPr>
          <w:trHeight w:val="36"/>
        </w:trPr>
        <w:tc>
          <w:tcPr>
            <w:tcW w:w="1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860" w:type="dxa"/>
            <w:vAlign w:val="bottom"/>
            <w:shd w:val="clear" w:color="auto" w:fill="0000EE"/>
          </w:tcPr>
          <w:p>
            <w:pPr>
              <w:spacing w:after="0"/>
              <w:rPr>
                <w:sz w:val="3"/>
                <w:szCs w:val="3"/>
                <w:color w:val="auto"/>
              </w:rPr>
            </w:pPr>
          </w:p>
        </w:tc>
        <w:tc>
          <w:tcPr>
            <w:tcW w:w="7040" w:type="dxa"/>
            <w:vAlign w:val="bottom"/>
            <w:shd w:val="clear" w:color="auto" w:fill="CCEEFF"/>
          </w:tcPr>
          <w:p>
            <w:pPr>
              <w:spacing w:after="0"/>
              <w:rPr>
                <w:sz w:val="3"/>
                <w:szCs w:val="3"/>
                <w:color w:val="auto"/>
              </w:rPr>
            </w:pPr>
          </w:p>
        </w:tc>
      </w:tr>
      <w:tr>
        <w:trPr>
          <w:trHeight w:val="204"/>
        </w:trPr>
        <w:tc>
          <w:tcPr>
            <w:tcW w:w="1140" w:type="dxa"/>
            <w:vAlign w:val="bottom"/>
          </w:tcPr>
          <w:p>
            <w:pPr>
              <w:jc w:val="right"/>
              <w:ind w:right="380"/>
              <w:spacing w:after="0"/>
              <w:rPr>
                <w:sz w:val="20"/>
                <w:szCs w:val="20"/>
                <w:color w:val="auto"/>
              </w:rPr>
            </w:pPr>
            <w:r>
              <w:rPr>
                <w:rFonts w:ascii="Arial" w:cs="Arial" w:eastAsia="Arial" w:hAnsi="Arial"/>
                <w:sz w:val="16"/>
                <w:szCs w:val="16"/>
                <w:color w:val="auto"/>
              </w:rPr>
              <w:t>104</w:t>
            </w:r>
          </w:p>
        </w:tc>
        <w:tc>
          <w:tcPr>
            <w:tcW w:w="10120" w:type="dxa"/>
            <w:vAlign w:val="bottom"/>
            <w:gridSpan w:val="3"/>
          </w:tcPr>
          <w:p>
            <w:pPr>
              <w:ind w:left="220"/>
              <w:spacing w:after="0"/>
              <w:rPr>
                <w:sz w:val="20"/>
                <w:szCs w:val="20"/>
                <w:color w:val="auto"/>
              </w:rPr>
            </w:pPr>
            <w:r>
              <w:rPr>
                <w:rFonts w:ascii="Arial" w:cs="Arial" w:eastAsia="Arial" w:hAnsi="Arial"/>
                <w:sz w:val="16"/>
                <w:szCs w:val="16"/>
                <w:color w:val="auto"/>
              </w:rPr>
              <w:t>Cover Page Interactive Data File (embedded within the Inline XBRL document)</w:t>
            </w:r>
          </w:p>
        </w:tc>
      </w:tr>
      <w:tr>
        <w:trPr>
          <w:trHeight w:val="589"/>
        </w:trPr>
        <w:tc>
          <w:tcPr>
            <w:tcW w:w="114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gridSpan w:val="3"/>
          </w:tcPr>
          <w:p>
            <w:pPr>
              <w:jc w:val="right"/>
              <w:ind w:right="5500"/>
              <w:spacing w:after="0"/>
              <w:rPr>
                <w:sz w:val="20"/>
                <w:szCs w:val="20"/>
                <w:color w:val="auto"/>
              </w:rPr>
            </w:pPr>
            <w:r>
              <w:rPr>
                <w:rFonts w:ascii="Arial" w:cs="Arial" w:eastAsia="Arial" w:hAnsi="Arial"/>
                <w:sz w:val="19"/>
                <w:szCs w:val="19"/>
                <w:color w:val="auto"/>
              </w:rPr>
              <w:t>2</w:t>
            </w:r>
          </w:p>
        </w:tc>
      </w:tr>
    </w:tbl>
    <w:p>
      <w:pPr>
        <w:sectPr>
          <w:pgSz w:w="11900" w:h="16838" w:orient="portrait"/>
          <w:cols w:equalWidth="0" w:num="1">
            <w:col w:w="11264"/>
          </w:cols>
          <w:pgMar w:left="316" w:top="820"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ind w:firstLine="574"/>
        <w:spacing w:after="0" w:line="275" w:lineRule="auto"/>
        <w:rPr>
          <w:sz w:val="20"/>
          <w:szCs w:val="20"/>
          <w:color w:val="auto"/>
        </w:rPr>
      </w:pPr>
      <w:r>
        <w:rPr>
          <w:rFonts w:ascii="Arial" w:cs="Arial" w:eastAsia="Arial" w:hAnsi="Arial"/>
          <w:sz w:val="16"/>
          <w:szCs w:val="16"/>
          <w:color w:val="auto"/>
        </w:rPr>
        <w:t>Pursuant to the requirements of the Securities Exchange Act of 1934, Ventoux CCM Acquisition Corp. has duly caused this report to be signed on its behalf by the undersigned hereunto duly authorized.</w:t>
      </w:r>
    </w:p>
    <w:p>
      <w:pPr>
        <w:spacing w:after="0" w:line="148"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VENTOUX CCM ACQUISITION CORP.</w:t>
      </w:r>
    </w:p>
    <w:p>
      <w:pPr>
        <w:spacing w:after="0" w:line="202"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6"/>
          <w:szCs w:val="16"/>
          <w:color w:val="auto"/>
        </w:rPr>
        <w:t>Date: January 12,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Edward Scheetz</w:t>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Chief Executive Officer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4" w:name="page5"/>
    <w:bookmarkEnd w:id="4"/>
    <w:p>
      <w:pPr>
        <w:ind w:left="930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143510</wp:posOffset>
            </wp:positionV>
            <wp:extent cx="7203440" cy="43103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4310380"/>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80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431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80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431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80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43180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2022-01-12T09:41:20Z</dcterms:created>
  <dcterms:modified xsi:type="dcterms:W3CDTF">2022-01-12T09:41:20Z</dcterms:modified>
</cp:coreProperties>
</file>