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85" w:lineRule="exact"/>
        <w:rPr>
          <w:sz w:val="24"/>
          <w:szCs w:val="24"/>
          <w:color w:val="auto"/>
        </w:rPr>
      </w:pPr>
    </w:p>
    <w:p>
      <w:pPr>
        <w:jc w:val="center"/>
        <w:ind w:left="3980" w:right="1120" w:hanging="2854"/>
        <w:spacing w:after="0" w:line="362" w:lineRule="auto"/>
        <w:tabs>
          <w:tab w:leader="none" w:pos="132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2020</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9" w:lineRule="exact"/>
        <w:rPr>
          <w:rFonts w:ascii="MS PGothic" w:cs="MS PGothic" w:eastAsia="MS PGothic" w:hAnsi="MS PGothic"/>
          <w:sz w:val="18"/>
          <w:szCs w:val="18"/>
          <w:color w:val="auto"/>
        </w:rPr>
      </w:pPr>
    </w:p>
    <w:p>
      <w:pPr>
        <w:jc w:val="center"/>
        <w:ind w:left="3120" w:right="940" w:hanging="2179"/>
        <w:spacing w:after="0" w:line="360" w:lineRule="auto"/>
        <w:tabs>
          <w:tab w:leader="none" w:pos="11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________________</w:t>
      </w: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001-39830</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VENTOUX CCM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84-2968594</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92"/>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1 East Putnam Avenue, Floor 4</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3"/>
              </w:rPr>
              <w:t>Greenwich, CT</w:t>
            </w:r>
          </w:p>
        </w:tc>
        <w:tc>
          <w:tcPr>
            <w:tcW w:w="572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58"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securities were not publicly traded. The registrant’s units began trading on The Nasdaq Stock Market LLC on December 24, 2020, and the registrant’s common stock, warrants and rights began trading on The Nasdaq Stock Market LLC on February 5, 2021.</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shares of common stock as of December 3, 2021 was 21,562,500.</w:t>
      </w:r>
    </w:p>
    <w:p>
      <w:pPr>
        <w:spacing w:after="0" w:line="10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15"/>
          </w:tcPr>
          <w:p>
            <w:pPr>
              <w:ind w:left="200"/>
              <w:spacing w:after="0"/>
              <w:rPr>
                <w:sz w:val="20"/>
                <w:szCs w:val="20"/>
                <w:color w:val="auto"/>
              </w:rPr>
            </w:pPr>
            <w:r>
              <w:rPr>
                <w:rFonts w:ascii="Arial" w:cs="Arial" w:eastAsia="Arial" w:hAnsi="Arial"/>
                <w:sz w:val="18"/>
                <w:szCs w:val="18"/>
                <w:b w:val="1"/>
                <w:bCs w:val="1"/>
                <w:color w:val="auto"/>
              </w:rPr>
              <w:t>VENTOUX CCM ACQUISITION CORP.</w:t>
            </w:r>
          </w:p>
        </w:tc>
        <w:tc>
          <w:tcPr>
            <w:tcW w:w="114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1B. UNRESOLVED STAFF COMMENTS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1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PURCHASES OF EQUITY SECURITIES</w:t>
              </w:r>
            </w:hyperlink>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7.</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6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OPERATIONS</w:t>
              </w:r>
            </w:hyperlink>
          </w:p>
        </w:tc>
        <w:tc>
          <w:tcPr>
            <w:tcW w:w="980" w:type="dxa"/>
            <w:vAlign w:val="bottom"/>
            <w:tcBorders>
              <w:top w:val="single" w:sz="8" w:color="CCEEFF"/>
            </w:tcBorders>
            <w:gridSpan w:val="4"/>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7A. 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8.</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9.</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CHANGES IN AND DISAGREEMENTS WITH ACCOUNTANTS ON ACCOUNTING AND FINANCIAL</w:t>
              </w:r>
            </w:hyperlink>
          </w:p>
        </w:tc>
        <w:tc>
          <w:tcPr>
            <w:tcW w:w="1140" w:type="dxa"/>
            <w:vAlign w:val="bottom"/>
            <w:shd w:val="clear" w:color="auto" w:fill="CCEEFF"/>
          </w:tcPr>
          <w:p>
            <w:pPr>
              <w:spacing w:after="0"/>
              <w:rPr>
                <w:sz w:val="15"/>
                <w:szCs w:val="15"/>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7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DISCLOSURE</w:t>
              </w:r>
            </w:hyperlink>
          </w:p>
        </w:tc>
        <w:tc>
          <w:tcPr>
            <w:tcW w:w="800" w:type="dxa"/>
            <w:vAlign w:val="bottom"/>
            <w:tcBorders>
              <w:top w:val="single" w:sz="8" w:color="CCEEFF"/>
            </w:tcBorders>
            <w:gridSpan w:val="3"/>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9A. 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9B. 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10.</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DIRECTORS, EXECUTIVE OFFICERS AND CORPORATE GOVERNANCE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6"/>
            <w:shd w:val="clear" w:color="auto" w:fill="CCEEFF"/>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12.</w:t>
              </w:r>
            </w:hyperlink>
          </w:p>
        </w:tc>
        <w:tc>
          <w:tcPr>
            <w:tcW w:w="460" w:type="dxa"/>
            <w:vAlign w:val="bottom"/>
            <w:shd w:val="clear" w:color="auto" w:fill="CCEEFF"/>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SECURITY OWNERSHIP OF CERTAIN BENEFICIAL OWNERS AND MANAGEMENT AND RELATED</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8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STOCKHOLDER MATTERS</w:t>
              </w:r>
            </w:hyperlink>
          </w:p>
        </w:tc>
        <w:tc>
          <w:tcPr>
            <w:tcW w:w="74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PRINCIPAL ACCOUNTANT FEES AND SERVICES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IV</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15.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 AND FINANCIAL STATEMENT SCHEDULES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6"/>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FORM 10-K SUMMARY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References throughout this Amendment No. 2 to the Annual Report on Form 10-K to “we,” “us,” the “Company” or “our company” are to Ventoux CCM Acquisition Corp. unless the context otherwise indicates.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No. 2 (“Amendment No. 2”) to the Annual Report on Form 10-K/A amends Amendment No. 1 to the Annual Report on Form 10-K/A of Ventoux CCM Acquisition Corp., as of and for the period ended December 31, 2020, as filed with the Securities and Exchange Commission (“SEC”) on June 22, 2021 (the “First Amended Filing”).</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re-evaluated the Company’s application of ASC 480-10-S99-3A to its accounting classification of the redeemable common stock, par value $0.0001 per share (the “Public Shares”), issued as part of the units sold in the Company’s initial public offering (the “initial public offering”) on December 30, 2020. Historically, a portion of the Public Shares were classified as permanent equity to maintain stockholders’ equity greater than $5 million on the basis that the Company will not redeem its Public Shares in an amount that would cause its net tangible assets to be less than $5,000,001, as described in the Company’s amended and restated certificate of incorporation (the “Charter”). Previously, the Company did not consider redeemable stock classified as temporary equity as part of net tangible assets. Effective with these financial statements, the Company revised this interpretation to include temporary equity in net tangible assets. Pursuant to such re-evaluation, the Company’s management has determined that the Public Shares include certain provisions that require classification of all of the Public Shares as temporary equity. In addition, in connection with the change in presentation for the Public Shares, the Company determined it should restate its earnings per share calculation to allocate income and losses shared pro rata between the two classes of common stock. This presentation contemplates a Business Combination as the most likely outcome, in which case, both classes of common stock share pro rata in the income and losses of the Company.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 2021, the Audit Committee of the Board of Directors of the Company (the “Audit Committee”) concluded, after discussion with the Company’s management that the Company’s previously issued (i) audited balance sheet as of December 30, 2020 (the "Post IPO Balance Sheet"), (ii) audited financial statements as of December 30, 2020 and for the year ended December 31, 2020 (the “FY 2020 Financial Statements”) included in the 2020 Form 10-K/A No. 1; (iii) unaudited interim financial statements as of and for the quarterly period ended March 31, 2021 (the “Q1 2021 Financial Statements”) included in the Company’s Quarterly Report on Form 10-Q for the quarterly period ended March 31, 2021, filed with the SEC on June 22, 2021; and (iv) unaudited interim financial statements as of and for the three and six months ended June 30, 2021 (the “Q2 2021 Financial Statements”) included in the Company’s Quarterly Report on Form 10-Q for the quarterly period ended June 30, 2021, filed with the SEC on August 12, 2021 (collectively, the “Affected Periods”), should be restated to report all Public Shares as temporary equity and should no longer be relied upon. As such, the Company will restate its financial statements for the Affected Periods. The Post IPO Balance Sheet and the FY 2020 Financial Statements are being restated in this Amendment No. 2 and the Q1 2021 Financial Statements and Q2 2021 Financial Statements will be restated in an amendment to the Company’s Quarterly Report on Form 10-Q for the quarterly period ended September 30, 2021, to be filed with the SEC (the “Q3 Form 10-Q/A”).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does not have an impact on the Company’s cash position.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has concluded that a material weakness remains in the Company’s internal control over financial reporting and that the Company’s disclosure controls and procedures were not effective. The Company’s remediation plan with respect to such material weakness will be described in Item 9A.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convenience of the reader, this Amendment sets forth the Original Filing in its entirety, as amended to reflect the restatement. No attempt has been made in this Form 10-K/A to update other disclosures presented in the Original Filing, except as required to reflect the effects of the restatement. The following items have been amended as a result of the restatement: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Part II, Item 7, Management’s Discussion and Analysis of Financial Condition and Results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Part II, Item 8. Financial Statements and Supplementary Data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Part II, Item 9A Controls and Procedures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Part IV, Item 15. Exhibit and Financial statement Schedules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Company’s Chief Executive Officer and Chief Financial Officer have provided new certifications dated as of the date of this filing in connection with this Amendment No. 2 (Exhibits 31.1, 31.2, 32.1 and 32.2).</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Except as described above, no other information included in the Annual Report on Form 10-K of Ventoux CCM Acquisition Corp., as of and for the period ended December 31, 2020, as filed with the SEC on March 30, 2021 (the “Original Filing”) or the First Amended Filing is being amended or updated by this Amendment No. 2 and, other than as described herein, this Amendment No. 2 does not purport to reflect any information or events subsequent to the Original Filing or the First Amended Filing. We have not amended our previously filed Quarterly Reports on Form 10-Q for the periods affected by the restatement or the Current Report on Form 8-K with which the Post IPO Balance Sheet was originally filed as an exhibit. This Amendment No. 2 continues to describe the conditions as of the date of the Original Filing or the First Amended Filing and, except as expressly contained herein, we have not updated, modified or supplemented the disclosures contained in the Original Filing or the First Amended Filing.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7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our filings from time to time with the United States Securities and Exchange Commission (the “SEC”).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Ventoux CCM Acquisition Corp. (the “Company”) is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herein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stockholders.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30, 2020, the Company consummated the IPO of 15,000,000 units (the “Units”). Each Unit consists of one share of common stock, $0.0001 par value (“Common Stock”), one right entitling the holder thereof to receive one-twentieth (1/20) of one share of Common Stock upon the consummation of an initial business combination, and one warrant entitling the holder thereof to purchase one-half (1/2) of one share of Common Stock at a price of $11.50 per whole share. The Units were sold at an offering price of $10.00 per Unit, generating gross proceeds of $150,000,000.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30, 2020, simultaneously with the consummation of the IPO, the Company consummated the private placement with initial stockholders of the Company of 6,000,000 warrants (the “Private Warrants”), at a price of $1.00 per Private Warrant, generating total proceeds of $6,000,000. The Private Warrants are identical to the warrants sold as part of the public Units in the IPO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Such initial purchasers were granted certain demand and piggyback registration rights in connection with the purchase of the Private Warrants.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29, 2020, the underwriters exercised their over-allotment option in full. The closing of the issuance and sale of the additional Units (the “Over-Allotment Option Units”) occurred on January 5, 2021.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total of $174,225,000 of the net proceeds from the IPO (including the Over-Allotment Option Units) and the private placements on December 30, 2020 and January 5, 2021 were deposited in a trust account maintained by Continental Stock Transfer &amp; Trust Company, acting as trustee, established for the benefit of the Company’s public stockholders. None of the funds held in trust will be released from the trust account, other than to pay our income or other tax obligations until the earlier of (i) the consummation of the Company’s initial business combination, (ii) the Company’s failure to consummate a business combination within 15 months (or up to 18 months if we have extended the period of time) from the closing of the IPO, and (iii) the redemption of any public shares properly submitted in connection with a stockholder vote to amend the Company’s amended and restated certificate of incorporation</w:t>
      </w:r>
    </w:p>
    <w:p>
      <w:pPr>
        <w:spacing w:after="0" w:line="4" w:lineRule="exact"/>
        <w:rPr>
          <w:sz w:val="20"/>
          <w:szCs w:val="20"/>
          <w:color w:val="auto"/>
        </w:rPr>
      </w:pPr>
    </w:p>
    <w:p>
      <w:pPr>
        <w:jc w:val="both"/>
        <w:ind w:firstLine="8"/>
        <w:spacing w:after="0" w:line="253" w:lineRule="auto"/>
        <w:tabs>
          <w:tab w:leader="none" w:pos="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modify the substance or timing of the ability of holders of the Company’s public shares to seek redemption in connection with the Company’s initial business combination or the Company’s obligation to redeem 100% of its public shares if the Company does not complete its initial business combination within 15 months (or up to 18 months if we have extended the period of time) from the closing of the IPO or (B) with respect to any other provision relating to stockholders’ rights or pre-business combination activity.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 Holdings LLC (“Ventoux Acquisition”) and Chardan International Investments, LLC (“Chardan Investments”). Our management team, led by co-founders Mr. Edward Scheetz and Mr. Matthew MacDonald, has a combined 40 years of hospitality and investment experience. Together with our management team, Chardan Investments and its affiliate, Chardan Capital Markets, LLC (“Chardan” or “Chardan Capital Markets”),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Chardan has an extensive track record in the SPAC market as underwriter, sponsor and advisor. Since 2004, Chardan has been lead or co-lead underwriter on 88 SPAC IPOs. Since 2018, Chardan has been merger and acquisition advisor to sixteen SPACs, helping companies close transactions valued at approximately $6.4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sponsored or co-sponsored twelve SPACs, six of which have closed successful business combinations, one of which has announced a business combination, three of which are currently seeking an acquisition, and two of which have publicly filed.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Jonas Grossman is a partner, the President and Head of Capital Markets for Chardan. Since 2003, Mr. Grossman has overseen the firm’s investment banking and capital markets activities and initiatives. He has extensive transactional experience, having led or managed more than 400 transactions during his tenure at Chardan. Mr. Grossman has nearly two decades of SPAC expertise. Mr. Grossman has provided underwriting and business combination advisory services to more than 100 SPACs in a variety of industries. He has been a founder, CEO and President of two SPACs, and holds the same positions in two SPACs that have publicly filed, Chardan NexTech Acquisition Corp and Chardan NexTech Acquisition 2 Corp. He has also served as a nonexecutive board member of two additional SPACs. Mr. Grossman was the Chief Executive Officer and President of Chardan Healthcare 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a director of Chardan Healthcare Acquisition 2 Corp., which announced its merger with Renovacor in March 2021.</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Alex Weil is currently co-head of FinTech investment banking at Chardan, and is CFO of Chardan NexTech Acquisition Corp and Chardan NexTech Acquisition 2 Corp.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 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includes Woodrow (“Woody”) H. Levin, Julie Atkinson, Christian (“Chris”) Ahrens and Bernard Van der Lande.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7"/>
          <w:szCs w:val="17"/>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 Travel Leaders Network and Nexion.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Robert Martin serves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to evaluate each investment opportunity.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foregoing experiences of our management, directors, and Chardan, past performance is not a guarantee (i) that we will be able to identify a suitable candidate for our initial business combination or (ii) of success with respect to any business combination we may consummate. You should not rely on the historical record of our management’s, directors’, or Chardan’s performance as indicative of our future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COVID-19 has created a temporary valuation dislocation, and has adversely impacted the ability of companies and business divisions to access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 positioned for continued organic growth and may grow through bolt-on acquisitions in these challenging times for the industry sectors;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in the form of proxy solicitation materials or tender offer documents that we would file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Creation Post Merger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stockholder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effectuate our initial business combination using cash from the proceeds of the IPO and the private placements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We may engage the services of professional firms or other individuals that specialize in business acquisitions,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 At this time, we are not a party to any arrangement or understanding with any third party with respect to raising any additional funds through the sale of securities or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stockholder of the target (or control the target through contractual arrangements in limited circumstances for regulatory compliance purposes as discussed below) or are otherwise not required to register as an investment company under the Investment Company Act of 1940, as amended (the “Investment Company Act), or to the extent permitted by law we may acquire interests in a variable interest entity, in which we may have less than a majority of the voting rights in such entity, but in which we are the primary beneficiary. There is no current basis for investors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debt or equity securities and have no current intention of doing so.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the IPO in order to be able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in or after the IPO.</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pro rata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do not complete a business combination within 15 months (or up to 18 months, as applicable) from the closing of the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7"/>
          <w:szCs w:val="17"/>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$1,725,000 (due to the exercise in full of the underwriters’ over-allotment option)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distribution. It 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as applicable)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seek to have all third parties and any prospective target businesses enter into valid and enforceable agreements with us waiving any right, title, interest or claim of any kind they may have in or to any monies held in the trust account. The underwriters in the IPO have executed such a waiver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(which we refer to herein as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date of the IPO,</w:t>
      </w:r>
    </w:p>
    <w:p>
      <w:pPr>
        <w:spacing w:after="0" w:line="46" w:lineRule="exact"/>
        <w:rPr>
          <w:sz w:val="20"/>
          <w:szCs w:val="20"/>
          <w:color w:val="auto"/>
        </w:rPr>
      </w:pPr>
    </w:p>
    <w:p>
      <w:pPr>
        <w:jc w:val="both"/>
        <w:ind w:firstLine="8"/>
        <w:spacing w:after="0" w:line="277" w:lineRule="auto"/>
        <w:tabs>
          <w:tab w:leader="none" w:pos="268"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which we have total annual gross revenue of at least $1.07 billion, or (c) in which we are deemed to be a large accelerated filer, which means the market value of our shares of common stock that are held by non-affiliates exceeds $700 million on the last day of the second fiscal quarter of any given fiscal year, and (2) the date on which we have issued more than $1.0 billion in non-convertible debt during the prior three year period.</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units, common stock, rights and warrants trade on The Nasdaq Stock Market LLC, or Nasdaq, under the symbols “VTAQU,” “VTAQ,” “VTAQR” and “VTAQW,”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29, 2021, there were 21,562,500 shares of common stock issued and outstanding held by one stockholder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References to the “Company,” “us,” “our” or “we” refer to Ventoux CCM Acquisition Corp. The following discussion and analysis of our financial condition and results of operations should be read in conjunction with our audited financial statements and related notes included herein.</w:t>
      </w:r>
    </w:p>
    <w:p>
      <w:pPr>
        <w:spacing w:after="0" w:line="146" w:lineRule="exact"/>
        <w:rPr>
          <w:sz w:val="20"/>
          <w:szCs w:val="20"/>
          <w:color w:val="auto"/>
        </w:rPr>
      </w:pPr>
    </w:p>
    <w:p>
      <w:pPr>
        <w:jc w:val="both"/>
        <w:ind w:firstLine="50"/>
        <w:spacing w:after="0" w:line="263" w:lineRule="auto"/>
        <w:rPr>
          <w:sz w:val="20"/>
          <w:szCs w:val="20"/>
          <w:color w:val="auto"/>
        </w:rPr>
      </w:pPr>
      <w:r>
        <w:rPr>
          <w:rFonts w:ascii="Arial" w:cs="Arial" w:eastAsia="Arial" w:hAnsi="Arial"/>
          <w:sz w:val="18"/>
          <w:szCs w:val="18"/>
          <w:color w:val="auto"/>
        </w:rPr>
        <w:t>In this Amendment No. 2 (“Amendment No. 2”) to the Annual Report on Form 10-K of Ventoux CCM Acquisition Corp. (the “Company”) for the period ended December 31, 2020, we are restating (i) the Post IPO Balance Sheet, as previously restated in the 2020 Form 10-K/A No. 1, and (ii) FY 2020 statements as previously restated in the 2020 Form 10-K/A No. 1.</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re-evaluated our application of ASC 480-10-S99-3A to our accounting and classification of the Public Shares, issued as part of the units sold in the initial public offering on December 30, 2020. Historically, a portion of the Public Shares was classified as permanent equity to maintain stockholders’ equity greater than $5 million on the basis that we will not redeem our Public Shares in an amount that would cause our net tangible assets to be less than $5,000,001, as described in the Charter. Previously, the Company did not consider redeemable stock classified as temporary equity as part of net tangible assets. Effective with these financial statements, the Company revised this interpretation to include temporary equity in net tangible assets. Pursuant to such re-evaluation, our management has determined that the Public Shares include certain provisions that require classification of all of the Public Shares as temporary equity. In addition, in connection with the change in presentation for the Public Shares, management determined it should restate earnings per share calculation to allocate income and losses shared pro rata between the two classes of common stock. This presentation contemplates a Business Combination as the most likely outcome, in which case, both classes of common stock share pro rata in the income and losses of our Company.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 ], 2021, the Audit Committee concluded, after discussion with the Company’s management, that our previously issued (i) Post IPO Balance sheet, as previously restated in the 2020 Form 10-K/A No. 1, (ii) FY 2020 Financial Statements as previously restated in the 2020 Form 10-K/A No. 1, (iii) Q1 2021 Financial Statements included in our Quarterly Report on Form 10-Q for the quarterly period ended March 31, 2021, filed with the SEC on June 22, 2021 and (iv) Q2 Financial Statements included in our Quarterly Report on Form 10-Q for the quarterly period ended June 30, 2021, filed with the SEC on August 12, 2021, should be restated to report all Public Shares as temporary equity and should no longer be relied upon. As such, the Company is restating the Post IPO Balance Sheet and the FY 2020 Financial Statements herein and intends to restate the Q1 2021 Financial Statements and the Q2 2021 Financial Statements in the Q3 Form 10-Q/A.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does not have an impact on our cash position.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management has concluded that in light of the classification error described above, a material weakness exists in our internal control over financial reporting and that our disclosure controls and procedures were not effective.</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restatement, our management reassessed the effectiveness of our disclosure controls and procedures for the periods affected by the restatement. As a result of that reassessment, we determined that our disclosure controls and procedures for such periods were not effective with respect to our internal controls around the proper accounting and classification of complex financial instruments. For more information, see Item 9A included in this Amendment No. 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is more fully described in Note 2 of the notes to the financial statements included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blank check company formed under the laws of the State of Delaware on July 10, 2019 for the purpose of effecting a merger, share exchange, asset acquisition, share purchase, reorganization or similar business combination with one or more businesses. We intend to effectuate our initial business combination using cash from the proceeds of the IPO and the sale of the Private Warrants, our capital stock, debt or a combination of cash, stock and debt.</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an initial business combination will be successful.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(other than searching for a target for our initial business combination after our IPO) nor generated any revenues to date. Our only activities from July 10, 2019 (inception) through December 31, 2020 were organizational activities, including those necessary to prepare for the IPO. We do not expect to generate any operating revenues until after the completion of our initial business combination. We expect to generate non-operating income in the form of interest earned on investments held since the IPO.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Private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2020, we had a net loss of $1,363,061, which consisted of operating costs of $18,208, a change in fair value of warrant liabilities of $180,000, loss on initial issuance of private warrants of $1,140,000, and transaction costs allocable to warrant liabilities of $24,853.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July 10, 2019 (inception) through December 31, 2019, we had net loss of $1,450, which consisted of formation and operational costs.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consummated the IPO of 15,000,000 Units at a price of $10.00 per Unit, generating gross proceeds of $150,000,000. Simultaneously with the closing of the IPO, we consummated the sale of 6,000,000 Private Warrants, at a price of $1.00 per Private Warrant, in a private placement to our initial stockholders, generating gross proceeds of $6,000,000.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IPO, a total of $151,500,000 was placed in the Trust Account. We incurred $3,543,017 in transaction costs, including $3,000,000 in cash underwriting fees and $543,017 of other offering costs.</w:t>
      </w:r>
    </w:p>
    <w:p>
      <w:pPr>
        <w:spacing w:after="0" w:line="17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are no longer subject to forfeiture.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$30,735. Net loss of $1,363,061 was affected by a change in fair value of warrant liabilities of $180,000, loss on initial issuance of private warrants of $1,140,000,transaction costs allocable to warrant liabilities of $24,853, and changes in operating assets and liabilities, which used $12,527 of cash from operating activities.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cash held in the trust account of $151,500,000, which excludes an additional $22,725,000 of net proceeds deposited on January 5, 2021. We intend to use substantially all of the funds held in the trust account, including any amounts representing interest earned on the funds held in the trust account, to complete our initial business combination. We may withdraw, from time to time, any interest earned on the funds in the trust account that we may need to pay our tax obligations. During the year ended December 31, 2020, we did not withdraw any interest income from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had $1,071,253 of cash held outside of the trust account.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initial business combination.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The warrants would be identical to the Private Warrants. If we do not complete a business combination, the loans will only be repaid with funds not held in the trust account, to the extent available. Loans made by Chardan Capital Markets or any of its related persons will not be convertible into private warrants, and Chardan Capital Markets and its related persons will have no recourse with respect to their ability to convert their loans into private warrants. Except for the foregoing, the terms of such working capital loans, if any, have not been determined and no written agreements exist with respect to such loans.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to redeem a significant number of our public shares upon consummation of our initial business combination, in which case we may issue additional securities or incur debt in connection with such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Chardan Capital Markets, LLC a monthly fee of $10,000 for office space, utilities, secretarial and administrative support services. As of December 31, 2020, there were no amounts incurred under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2,250,000 additional Units to cover over-allotments, if any, at the IPO price less the underwriting discounts and commissions. On January 5, 2021, the closing of the underwriters’ over-allotment option occurred. The underwriters were paid cash underwriting discount of $0.20 per Unit, or $3,450,000 in the aggregate, upon the closing of the IPO and the over-allotment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right="20"/>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an initial business combination to assist the Company in holding meetings with its stockholders to discuss the potential initial business combination and the target business’s attributes, introduce the Company to potential investors that are interested in purchasing the Company’s securities in connection with the potential initial business combination, assist the Company in obtaining stockholder approval for the initial business combination and assist the Company with its press releases and public filings in connection with initial business combination. The Company will pay Chardan Capital Markets, LLC a marketing fee for such services upon the consummation of an initial business combination in an amount equal to, in the aggregate, 3.5% of the gross proceeds of the IPO, including proceeds from the exercise of the underwriters’ over-allotment option. As a result, Chardan Capital Markets, LLC will not be entitled to such fee unless the Company consummates its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are valued using a Modified Black-Scholes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common stock subject to possible redemption is presented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comply with accounting and disclosure requirements of FASB ASC Topic 260, “Earnings Per Share.” Net income (loss) per common stock is calculated by dividing the net income (loss) by the weighted average number of common stock outstanding for the respective period. We apply the two-class method in calculating earnings per share. Accretion associated with the redeemable shares of common stock is excluded from earnings per share as the redemption value approximates fair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did not consider the effect of the warrants issued in connection with the initial public offering and the private placement in the calculation of diluted income (loss) per common stock because their exercise is contingent upon future events. As a result, diluted net income (loss) per common stock is the same as basic net income (loss) per common stock. Accretion associated with the redeemable a portion of common stock is excluded from income (loss) per common stock as the redemption value approximates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IPO,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statements and supplementary data required by this Item are listed in Part IV, Item 15 of this Annual Report on Form 10-K (or are incorporated therein by reference) and are presented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Due to a material weakness in our internal control over financial reporting over the accounting for complex transactions, which resulted in the restatement of the Company’s financial statements as described in the Explanatory Note to this Amendment, the Certifying Officers concluded that our disclosure controls were not effective as of December 31, 2020. In light of this material weakness, we performed additional analysis as deemed necessary to ensure that our financial statements were prepared in accordance with U.S. generally accepted accounting principles. Accordingly, management believes that the financial statements included in this Amendment present fairly in all material respects our financial position, results of operations and cash flows for the periods presented.</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revised our prior position on accounting for complex financial instruments and concluded that our previously issued financial statements as of and for the year ended December 31, 2020 should not be relied on. However, the non-cash adjustments to the financial statements do not impact the amounts previously reported for our cash and cash equivalents, total assets, revenue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that led to the restatement of our financial statements described in this Annual Report on Form 10-K, Amendment No. 2, had not yet been identified.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our system of evaluating and implementing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10.</w:t>
      </w:r>
      <w:r>
        <w:rPr>
          <w:rFonts w:ascii="Arial" w:cs="Arial" w:eastAsia="Arial" w:hAnsi="Arial"/>
          <w:sz w:val="18"/>
          <w:szCs w:val="18"/>
          <w:b w:val="1"/>
          <w:bCs w:val="1"/>
          <w:color w:val="auto"/>
        </w:rPr>
        <w:tab/>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70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Financial Officer and Secretary, 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Edward Scheetz</w:t>
      </w:r>
      <w:r>
        <w:rPr>
          <w:rFonts w:ascii="Arial" w:cs="Arial" w:eastAsia="Arial" w:hAnsi="Arial"/>
          <w:sz w:val="16"/>
          <w:szCs w:val="16"/>
          <w:color w:val="auto"/>
        </w:rPr>
        <w:t>, 56, has been our Chief Executive Officer and Chairman since August 2020. He is also the co-founder,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Matthew MacDonald</w:t>
      </w:r>
      <w:r>
        <w:rPr>
          <w:rFonts w:ascii="Arial" w:cs="Arial" w:eastAsia="Arial" w:hAnsi="Arial"/>
          <w:sz w:val="18"/>
          <w:szCs w:val="18"/>
          <w:color w:val="auto"/>
        </w:rPr>
        <w:t>, 36, has been our Chief Financial Officer and Secretary, and a director since August 2020. He is also the co-founder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b w:val="1"/>
          <w:bCs w:val="1"/>
          <w:color w:val="auto"/>
        </w:rPr>
        <w:t>Brock Strasbourger</w:t>
      </w:r>
      <w:r>
        <w:rPr>
          <w:rFonts w:ascii="Arial" w:cs="Arial" w:eastAsia="Arial" w:hAnsi="Arial"/>
          <w:sz w:val="18"/>
          <w:szCs w:val="18"/>
          <w:color w:val="auto"/>
        </w:rPr>
        <w:t>, 33, has been our Chief Operating Officer since October 2020. He is also the Chief Operating Officer of Ventoux Acquisition.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Prasad Phatak</w:t>
      </w:r>
      <w:r>
        <w:rPr>
          <w:rFonts w:ascii="Arial" w:cs="Arial" w:eastAsia="Arial" w:hAnsi="Arial"/>
          <w:sz w:val="16"/>
          <w:szCs w:val="16"/>
          <w:color w:val="auto"/>
        </w:rPr>
        <w:t>, 38, has been our Chief Investment Officer since September 2020. He is also the Chief Investment Officer of Ventoux Acquisition.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Jonas Grossman</w:t>
      </w:r>
      <w:r>
        <w:rPr>
          <w:rFonts w:ascii="Arial" w:cs="Arial" w:eastAsia="Arial" w:hAnsi="Arial"/>
          <w:sz w:val="17"/>
          <w:szCs w:val="17"/>
          <w:color w:val="auto"/>
        </w:rPr>
        <w:t>, 47, has been our director since July 2019. Mr. Grossman was the Chief Executive Officer and President of Chardan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director of Chardan Healthcare Acquisition 2 Corp., which announced its merger with Renovacor in March 2021. Mr. Grossman currently serves as Chief Executive Officer, President and director of each of Chardan NexTech Acquisition Corp. and Chardan NexTech Acquisition 2 Corp.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Woodrow (“Woody”) H. Levin</w:t>
      </w:r>
      <w:r>
        <w:rPr>
          <w:rFonts w:ascii="Arial" w:cs="Arial" w:eastAsia="Arial" w:hAnsi="Arial"/>
          <w:sz w:val="16"/>
          <w:szCs w:val="16"/>
          <w:color w:val="auto"/>
        </w:rPr>
        <w:t>, 42, has been our director since December 2020. Mr. Levin is the founder, and has been the Chief Executive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b w:val="1"/>
          <w:bCs w:val="1"/>
          <w:color w:val="auto"/>
        </w:rPr>
        <w:t>Alex Weil, 49</w:t>
      </w:r>
      <w:r>
        <w:rPr>
          <w:rFonts w:ascii="Arial" w:cs="Arial" w:eastAsia="Arial" w:hAnsi="Arial"/>
          <w:sz w:val="16"/>
          <w:szCs w:val="16"/>
          <w:color w:val="auto"/>
        </w:rPr>
        <w:t>, has been our director since December 2020. Mr. Weil has served as Managing Director and Co-Head of Fintech Investment Banking at</w:t>
      </w:r>
      <w:r>
        <w:rPr>
          <w:rFonts w:ascii="Arial" w:cs="Arial" w:eastAsia="Arial" w:hAnsi="Arial"/>
          <w:sz w:val="16"/>
          <w:szCs w:val="16"/>
          <w:b w:val="1"/>
          <w:bCs w:val="1"/>
          <w:color w:val="auto"/>
        </w:rPr>
        <w:t xml:space="preserve"> </w:t>
      </w:r>
      <w:r>
        <w:rPr>
          <w:rFonts w:ascii="Arial" w:cs="Arial" w:eastAsia="Arial" w:hAnsi="Arial"/>
          <w:sz w:val="16"/>
          <w:szCs w:val="16"/>
          <w:color w:val="auto"/>
        </w:rPr>
        <w:t>Chardan Capital Markets, LLC, a New York headquartered broker/dealer, since March 2020. Mr. Weil currently serves as Chief Financial Officer, and has agreed to become a director, of each of Chardan NexTech Acquisition Corp. and Chardan NexTech Acquisition 2 Corp.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Julie Atkinson, 47</w:t>
      </w:r>
      <w:r>
        <w:rPr>
          <w:rFonts w:ascii="Arial" w:cs="Arial" w:eastAsia="Arial" w:hAnsi="Arial"/>
          <w:sz w:val="17"/>
          <w:szCs w:val="17"/>
          <w:color w:val="auto"/>
        </w:rPr>
        <w:t>, has been our director since December 2020. Ms. Atkinson served as Chief Marketing Officer for Founders Table Restaurant Group</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Christian (“Chris”) Ahrens</w:t>
      </w:r>
      <w:r>
        <w:rPr>
          <w:rFonts w:ascii="Arial" w:cs="Arial" w:eastAsia="Arial" w:hAnsi="Arial"/>
          <w:sz w:val="17"/>
          <w:szCs w:val="17"/>
          <w:color w:val="auto"/>
        </w:rPr>
        <w:t>, 44, has been our director since December 2020. Mr. Ahrens has been an Advisor with Certares Management LLC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Bernard A. Van der Lande, 38</w:t>
      </w:r>
      <w:r>
        <w:rPr>
          <w:rFonts w:ascii="Arial" w:cs="Arial" w:eastAsia="Arial" w:hAnsi="Arial"/>
          <w:sz w:val="18"/>
          <w:szCs w:val="18"/>
          <w:color w:val="auto"/>
        </w:rPr>
        <w:t>, has been our director since December 2020. Mr. Van der Lande has been a Managing Director of Cindat USA LLC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officers and board of directors are composed of a diverse group of leaders with a wide array of professional roles. In these roles, they have gained experience in core management skills, such as strategic and financial planning, financial reporting, compliance, risk management, and leadership development. Many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a standing audit, nominating and corporate governance, and compensation committee. The independent directors oversee director nominations. Each committee has a charter, each in the form previously filed with the SEC as an exhibit to the Company’s Registration Statement on Form S-1, as amended, adopted in connection with the consummation of the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the Company’s independent accountants, reviewing their independence and performance, and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no formal meetings during 2020 as the Company did not have any underlying business, relying on monthly reports and written approvals as required.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Mr. Weil, Mr. Levin, and Mr. Ahrens, each of whom is an independent director under Nasdaq’s listing standards. Mr. Weil is the Chairperson of the Audit Committee. The Board has determined that Mr. Weil qualifies as an “audit committee financial expert,” as defined under the rules and regulations of Nasdaq and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Nominating and Corporate Governance Committee is responsible for overseeing the selection of persons to be nominated to serve on our Board. Specifically, the Nominating and Corporate Governance Committee makes recommendations to the Board regarding the size and composition of the Board, establishes procedures for the director nomination process and screens and recommends candidates for election to the Board. On an annual basis, the Nominating and Corporate Governance Committee recommends for approval by the Board certain desired qualifications and characteristics for board membership. Additionally, the Nominating and Corporate Governance Committee establishes and administers a periodic assessment procedure relating to the performance of the Board as a whole and its individual members. 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 The Nominating and Corporate Governance Committee did not hold any meetings during 2020.</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of the Nominating and Corporate Governance Committee are Mr. Weil, Mr. Ahrens, and Ms. Atkinson, each of whom is an independent director under Nasdaq’s listing standards. Mr. Ahrens is the Chairperson of the Nominating and Corporate Governance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did not meet during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Compensation Committee are Mr. Levin, Ms. Atkinson, and Mr. Van der Lande, each of whom is an independent director under Nasdaq’s listing standards. Mr. Levin is the Chairperson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11.</w:t>
      </w:r>
      <w:r>
        <w:rPr>
          <w:rFonts w:ascii="Arial" w:cs="Arial" w:eastAsia="Arial" w:hAnsi="Arial"/>
          <w:sz w:val="18"/>
          <w:szCs w:val="18"/>
          <w:b w:val="1"/>
          <w:bCs w:val="1"/>
          <w:color w:val="auto"/>
        </w:rPr>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9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12.</w:t>
      </w:r>
      <w:r>
        <w:rPr>
          <w:rFonts w:ascii="Arial" w:cs="Arial" w:eastAsia="Arial" w:hAnsi="Arial"/>
          <w:sz w:val="18"/>
          <w:szCs w:val="18"/>
          <w:b w:val="1"/>
          <w:bCs w:val="1"/>
          <w:color w:val="auto"/>
        </w:rPr>
        <w:tab/>
        <w:t>SECURITY OWNERSHIP OF CERTAIN BENEFICIAL OWNERS AND MANAGEMENT AND RELATED STOCKHOLDER 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March 29, 2021, certain information regarding beneficial ownership of the Company’s common stock by each person who is known by the Company to beneficially own more than 5% of the Company’s common stock. The table also identifies the stock ownership of each of the Company’s directors and officers, and all directors and officers as a group. Except as otherwise indicated, the stockholders listed in the table have sole voting and investment powers with respect to the shares indicated.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6"/>
          <w:szCs w:val="16"/>
          <w:color w:val="auto"/>
        </w:rPr>
        <w:t>Shares of common stock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Amount and Nature</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Approximate Percentage</w:t>
            </w:r>
          </w:p>
        </w:tc>
      </w:t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Beneficial</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Outstanding</w:t>
            </w:r>
          </w:p>
        </w:tc>
      </w:tr>
      <w:tr>
        <w:trPr>
          <w:trHeight w:val="241"/>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 and Address of Beneficial Owner(1)</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Ownership(2)</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 Stock (%)</w:t>
            </w:r>
          </w:p>
        </w:tc>
        <w:tc>
          <w:tcPr>
            <w:tcW w:w="160" w:type="dxa"/>
            <w:vAlign w:val="bottom"/>
            <w:tcBorders>
              <w:bottom w:val="single" w:sz="8" w:color="CCEEFF"/>
            </w:tcBorders>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Scheetz(3)</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2,728,875</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Matthew MacDonald(3)</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Prasad Phatak</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Grossman(4)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Alex Weil</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Woodrow H. Levin(5)</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Julie Atkinson</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Bernard Van der Lande</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and directors as a group (10 individuals)(3)(4)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Ventoux Acquisition Holdings LLC(6)</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Chardan International Investments, LLC(7)</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MMCAP International Inc. SPC (8)</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Polar Asset Management Partners Inc.(9)</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Mizuho Financial Group, Inc.(10)</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1,150,000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Weiss Asset Management LP(11)</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stockholders is c/o Ventoux CCM Acquisition Corp., 1 East Putnam Avenue, Floor 4, Greenwich, CT 06830.</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shares issuable pursuant to warrants and rights issued in connection with the IPO. The warrants will not become exercisable until the later of one year after the closing of the IPO or the consummation of an initial business combination. Each holder of a right will receive one-twentieth (1/20) of a share of common stock upon consummation of our initial business combination.</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owned by Ventoux Acquisition Holdings LLC, for which Edward Scheetz and Matthew MacDonald are the managing members.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owned by Chardan International Investments, LLC, for which Jonas Grossman is the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shares owned by Blind 1212, LLC for which Woodrow H. Levin is the sole and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Edward Scheetz and Matthew MacDonald are the managing members of Ventoux Acquisition Holdings LLC.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Jonas Grossman is the managing member of Chardan International Investments,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left="66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10, 2021. According to the Schedule 13G, as of December 30, 2020, each of MMCAP International Inc. SPC and MM Asset Management Inc. has shared voting and dispositive power over 1,300,000 units convertible into 1,300,000 shares, warrants exercisable for 650,000 shares and rights exchangeable for 65,000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spacing w:after="0" w:line="192"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reported is based on a Schedule 13G filed on February 11, 2021. According to the Schedule 13G, as of December 31, 2020, Polar Asset Management Partners Inc. (“Polar”), which serves as the investment advisor to Polar Multi-Strategy Master Fund (“PMSMF”) with respect to the 1,3000,000 shares of our common stock directly held by PMSMF, has sole voting and dispositive power with respect to such securities. The address for Polar is 401 Bay Street, Suite 1900, PO Box 19, Toronto, Ontario M5H 2Y4, Canada.</w:t>
      </w:r>
    </w:p>
    <w:p>
      <w:pPr>
        <w:spacing w:after="0" w:line="171"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1–5–5, Otemachi, Chiyoda–ku, Tokyo 100–8176, Japan. The address of each of Mizuho Americas LLC and Mizuho Securities USA LLC is 1271 Avenue of the Americas, New York, NY 10020.</w:t>
      </w:r>
    </w:p>
    <w:p>
      <w:pPr>
        <w:spacing w:after="0" w:line="192"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each of Weiss Asset Management LP, WAM GP LLC and Andrew M. Weiss has shared voting and dispositive power over 1,200,000 shares of our common stock. Weiss Asset Management LP is the sole investment manager to a private investment partnership (the “Partnership”) and a private investment fund (“Fund”). WAM GP LLC is the sole general partner of Weiss Asset Management LP. Andrew Weiss is the managing member of WAM GP LLC. Shares reported for WAM GP LLC, Andrew Weiss and Weiss Asset Management LP include shares beneficially owned by the Partnership and the Fund. The address for each of Weiss Asset Management LP, WAM GP LLC and Andrew M. Weiss is 222 Berkeley St., 16th floor, Boston, MA 02116.</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13.</w:t>
      </w:r>
      <w:r>
        <w:rPr>
          <w:rFonts w:ascii="Arial" w:cs="Arial" w:eastAsia="Arial" w:hAnsi="Arial"/>
          <w:sz w:val="18"/>
          <w:szCs w:val="18"/>
          <w:b w:val="1"/>
          <w:bCs w:val="1"/>
          <w:color w:val="auto"/>
        </w:rPr>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2020, the Company issued an unsecured promissory note to Ventoux Acquisition. The outstanding balance under the promissory note of $151,812 was repaid in full on December 31,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closing of the IPO, the Company’s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the Company an aggregate of 675,000 Private Warrants at $1.00 per Private Warrant (for a total purchase price of $675,000). As of December 31, 2020, the Company had no loans outstanding, including any loans from its directors or officers.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w:t>
      </w:r>
    </w:p>
    <w:p>
      <w:pPr>
        <w:spacing w:after="0" w:line="2" w:lineRule="exact"/>
        <w:rPr>
          <w:sz w:val="20"/>
          <w:szCs w:val="20"/>
          <w:color w:val="auto"/>
        </w:rPr>
      </w:pPr>
    </w:p>
    <w:p>
      <w:pPr>
        <w:jc w:val="both"/>
        <w:ind w:firstLine="8"/>
        <w:spacing w:after="0" w:line="253"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of directors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above Part III, Item 10 – Directors, Executive Officers and Corporate Governance.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2020, fees for our independent registered public accounting firm were approximately $65,400,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Withum performed in connection with our IPO and the audit of our December 31,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2020, our independent registered public accounting firm did not render assurance and related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performance of the audit or review of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year ended December 31, 2020, fees for our independent registered public accounting firm were approximately $7,500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year ended December 31, 2020, there were no fees billed for products and services provided by our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5260"/>
        <w:spacing w:after="0"/>
        <w:rPr>
          <w:sz w:val="20"/>
          <w:szCs w:val="20"/>
          <w:color w:val="auto"/>
        </w:rPr>
      </w:pPr>
      <w:r>
        <w:rPr>
          <w:rFonts w:ascii="Arial" w:cs="Arial" w:eastAsia="Arial" w:hAnsi="Arial"/>
          <w:sz w:val="18"/>
          <w:szCs w:val="18"/>
          <w:b w:val="1"/>
          <w:bCs w:val="1"/>
          <w:color w:val="010000"/>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15.</w:t>
      </w:r>
      <w:r>
        <w:rPr>
          <w:rFonts w:ascii="Arial" w:cs="Arial" w:eastAsia="Arial" w:hAnsi="Arial"/>
          <w:sz w:val="18"/>
          <w:szCs w:val="18"/>
          <w:b w:val="1"/>
          <w:bCs w:val="1"/>
          <w:color w:val="auto"/>
        </w:rPr>
        <w:tab/>
        <w:t>EXHIBIT AND FINANCIAL STATEMENT SCHEDULES</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are filed with this report:</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196"/>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590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Balance Sheets (as restated)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Statements of Operations (as restated)</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32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Statements of Changes in Stockholders’ Equity (as restated)</w:t>
              </w:r>
            </w:hyperlink>
          </w:p>
        </w:tc>
        <w:tc>
          <w:tcPr>
            <w:tcW w:w="56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Statements of Cash Flows (as restated)</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Notes to Financial Statements (as restated)</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(2)  Financial Statement Schedules:</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54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r>
      <w:tr>
        <w:trPr>
          <w:trHeight w:val="432"/>
        </w:trPr>
        <w:tc>
          <w:tcPr>
            <w:tcW w:w="440" w:type="dxa"/>
            <w:vAlign w:val="bottom"/>
            <w:gridSpan w:val="2"/>
          </w:tcPr>
          <w:p>
            <w:pPr>
              <w:spacing w:after="0"/>
              <w:rPr>
                <w:sz w:val="20"/>
                <w:szCs w:val="20"/>
                <w:color w:val="auto"/>
              </w:rPr>
            </w:pPr>
            <w:r>
              <w:rPr>
                <w:rFonts w:ascii="Arial" w:cs="Arial" w:eastAsia="Arial" w:hAnsi="Arial"/>
                <w:sz w:val="18"/>
                <w:szCs w:val="18"/>
                <w:color w:val="auto"/>
              </w:rPr>
              <w:t>(b)</w:t>
            </w: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Exhibits</w:t>
            </w:r>
          </w:p>
        </w:tc>
        <w:tc>
          <w:tcPr>
            <w:tcW w:w="11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http://www.sec.gov.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Underwriting Agreement, dated December 23, 2020, by and between the Company and Chardan Capital Markets, LLC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reference to Exhibit 1.1 to the Current Report on Form 8-K filed with the Securities and Exchange Commission on December 31,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Amended and Restated Certificate of Incorporation (incorporated by reference to Exhibit 3.1 to the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the Securities and Exchange Commission on 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47">
              <w:r>
                <w:rPr>
                  <w:rFonts w:ascii="Arial" w:cs="Arial" w:eastAsia="Arial" w:hAnsi="Arial"/>
                  <w:sz w:val="18"/>
                  <w:szCs w:val="18"/>
                  <w:color w:val="0000EE"/>
                  <w:w w:val="97"/>
                </w:rPr>
                <w:t>Bylaws (incorporated by reference to Exhibit 3.5 to the Registration Statement on Form S-1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Commission on December 1,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Specimen Unit Certificate (incorporated by reference to Exhibit 4.1 to the Registration Statement on Form S-1/A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Specimen Common Stock Certificate (incorporated by reference to Exhibit 4.2 to the Registration Statement on Form S-1/A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50">
              <w:r>
                <w:rPr>
                  <w:rFonts w:ascii="Arial" w:cs="Arial" w:eastAsia="Arial" w:hAnsi="Arial"/>
                  <w:sz w:val="18"/>
                  <w:szCs w:val="18"/>
                  <w:color w:val="0000EE"/>
                  <w:w w:val="98"/>
                </w:rPr>
                <w:t>Specimen Warrant Certificate (incorporated by reference to Exhibit 4.3 to the Registration Statement on Form S-1/A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8"/>
              </w:rPr>
            </w:pPr>
            <w:hyperlink r:id="rId51">
              <w:r>
                <w:rPr>
                  <w:rFonts w:ascii="Arial" w:cs="Arial" w:eastAsia="Arial" w:hAnsi="Arial"/>
                  <w:sz w:val="18"/>
                  <w:szCs w:val="18"/>
                  <w:color w:val="0000EE"/>
                  <w:w w:val="98"/>
                </w:rPr>
                <w:t>Warrant Agreement, dated December 23, 2020, by and between the Company and Continental Stock Transfer &amp; Trust Company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7"/>
              </w:rPr>
            </w:pPr>
            <w:hyperlink r:id="rId51">
              <w:r>
                <w:rPr>
                  <w:rFonts w:ascii="Arial" w:cs="Arial" w:eastAsia="Arial" w:hAnsi="Arial"/>
                  <w:sz w:val="18"/>
                  <w:szCs w:val="18"/>
                  <w:color w:val="0000EE"/>
                  <w:w w:val="97"/>
                </w:rPr>
                <w:t>(incorporated by reference to Exhibit 4.1 to the Current Report on Form 8-K filed with the Securities and Exchange Commission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Rights Agreement, dated December 23, 2020, by and between the Company and Continental Stock Transfer &amp; Trust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52">
              <w:r>
                <w:rPr>
                  <w:rFonts w:ascii="Arial" w:cs="Arial" w:eastAsia="Arial" w:hAnsi="Arial"/>
                  <w:sz w:val="18"/>
                  <w:szCs w:val="18"/>
                  <w:color w:val="0000EE"/>
                  <w:w w:val="97"/>
                </w:rPr>
                <w:t>(incorporated by reference to Exhibit 4.2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8"/>
              </w:rPr>
            </w:pPr>
            <w:hyperlink r:id="rId53">
              <w:r>
                <w:rPr>
                  <w:rFonts w:ascii="Arial" w:cs="Arial" w:eastAsia="Arial" w:hAnsi="Arial"/>
                  <w:sz w:val="18"/>
                  <w:szCs w:val="18"/>
                  <w:color w:val="0000EE"/>
                  <w:w w:val="98"/>
                </w:rPr>
                <w:t>Description of Securities (incorporated by reference to Exhibit 4.6 to the Annual Report on Form 10-K filed with the Securities and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Exchange Commission on March 30,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Letter Agreements, dated December 23, 2020, by and between the Company and the Company’s officers, directors and initial stockholders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(incorporated by reference to Exhibit 10.1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Investment Management Trust Agreement, dated December 23, 2020, by and between the Company and Continental Stock Transfer &amp;</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Trust Company (incorporated by reference to Exhibit 10.2 to the Current Report on Form 8-K filed with the Securities and Exchange</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Commission on December 31, 2020)</w:t>
              </w:r>
            </w:hyperlink>
          </w:p>
        </w:tc>
        <w:tc>
          <w:tcPr>
            <w:tcW w:w="74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ind w:left="4400"/>
              <w:spacing w:after="0"/>
              <w:rPr>
                <w:sz w:val="20"/>
                <w:szCs w:val="20"/>
                <w:color w:val="auto"/>
              </w:rPr>
            </w:pPr>
            <w:r>
              <w:rPr>
                <w:rFonts w:ascii="Arial" w:cs="Arial" w:eastAsia="Arial" w:hAnsi="Arial"/>
                <w:sz w:val="18"/>
                <w:szCs w:val="18"/>
                <w:color w:val="auto"/>
              </w:rPr>
              <w:t>30</w:t>
            </w:r>
          </w:p>
        </w:tc>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10.3</w:t>
            </w:r>
          </w:p>
        </w:tc>
        <w:tc>
          <w:tcPr>
            <w:tcW w:w="101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4"/>
              </w:rPr>
            </w:pPr>
            <w:hyperlink r:id="rId56">
              <w:r>
                <w:rPr>
                  <w:rFonts w:ascii="Arial" w:cs="Arial" w:eastAsia="Arial" w:hAnsi="Arial"/>
                  <w:sz w:val="18"/>
                  <w:szCs w:val="18"/>
                  <w:color w:val="0000EE"/>
                  <w:w w:val="94"/>
                </w:rPr>
                <w:t>Stock Escrow Agreement, dated December 23, 2020, by and between the Company and Continental Stock Transfer &amp; Trust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6">
              <w:r>
                <w:rPr>
                  <w:rFonts w:ascii="Arial" w:cs="Arial" w:eastAsia="Arial" w:hAnsi="Arial"/>
                  <w:sz w:val="18"/>
                  <w:szCs w:val="18"/>
                  <w:color w:val="0000EE"/>
                  <w:w w:val="96"/>
                </w:rPr>
                <w:t>(incorporated by reference to Exhibit 10.3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100" w:type="dxa"/>
            <w:vAlign w:val="bottom"/>
            <w:gridSpan w:val="10"/>
          </w:tcPr>
          <w:p>
            <w:pPr>
              <w:spacing w:after="0" w:line="176"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Registration Rights Agreement, dated December 23, 2020, by and between the Company and the initial stockholders of the Company</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(incorporated by reference to Exhibit 10.4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58">
              <w:r>
                <w:rPr>
                  <w:rFonts w:ascii="Arial" w:cs="Arial" w:eastAsia="Arial" w:hAnsi="Arial"/>
                  <w:sz w:val="18"/>
                  <w:szCs w:val="18"/>
                  <w:color w:val="0000EE"/>
                  <w:w w:val="99"/>
                </w:rPr>
                <w:t>Indemnity Agreements, dated December 23, 2020, by and between the Company and the directors and officers of the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(incorporated by reference to Exhibit 10.5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Subscription Agreement, dated December 23, 2020, by and between the Company and Ventoux Acquisition Holdings LLC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reference to Exhibit 10.6 to the Current Report on Form 8-K filed with the Securities and Exchange Commission on 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60">
              <w:r>
                <w:rPr>
                  <w:rFonts w:ascii="Arial" w:cs="Arial" w:eastAsia="Arial" w:hAnsi="Arial"/>
                  <w:sz w:val="18"/>
                  <w:szCs w:val="18"/>
                  <w:color w:val="0000EE"/>
                  <w:w w:val="99"/>
                </w:rPr>
                <w:t>Subscription Agreement, dated December 23, 2020, by and between the Company and Chardan International Investments,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(incorporated by reference to Exhibit 10.7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gridSpan w:val="10"/>
          </w:tcPr>
          <w:p>
            <w:pPr>
              <w:spacing w:after="0" w:line="17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Business Combination Marketing Agreement, dated December 23, 2020, by and between the Company and Chardan Capital Markets, LLC</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61">
              <w:r>
                <w:rPr>
                  <w:rFonts w:ascii="Arial" w:cs="Arial" w:eastAsia="Arial" w:hAnsi="Arial"/>
                  <w:sz w:val="18"/>
                  <w:szCs w:val="18"/>
                  <w:color w:val="0000EE"/>
                  <w:w w:val="96"/>
                </w:rPr>
                <w:t>(incorporated by reference to Exhibit 10.8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Administrative Services Agreement, dated December 23, 2020, by and between the Company and Chardan Capital Markets,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62">
              <w:r>
                <w:rPr>
                  <w:rFonts w:ascii="Arial" w:cs="Arial" w:eastAsia="Arial" w:hAnsi="Arial"/>
                  <w:sz w:val="18"/>
                  <w:szCs w:val="18"/>
                  <w:color w:val="0000EE"/>
                  <w:w w:val="96"/>
                </w:rPr>
                <w:t>(incorporated by reference to Exhibit 10.9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10100" w:type="dxa"/>
            <w:vAlign w:val="bottom"/>
            <w:gridSpan w:val="10"/>
          </w:tcPr>
          <w:p>
            <w:pPr>
              <w:spacing w:after="0" w:line="17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Form of Code of Ethics (incorporated by reference to Exhibit 14.1 to the Registration Statement on Form S-1/A filed with the Securities</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and Exchange Commission on December 15,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Section 906 of the Sarbanes-Oxley Act of 2002.</w:t>
              </w:r>
            </w:hyperlink>
          </w:p>
        </w:tc>
        <w:tc>
          <w:tcPr>
            <w:tcW w:w="664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64">
              <w:r>
                <w:rPr>
                  <w:rFonts w:ascii="Arial" w:cs="Arial" w:eastAsia="Arial" w:hAnsi="Arial"/>
                  <w:sz w:val="18"/>
                  <w:szCs w:val="18"/>
                  <w:color w:val="0000EE"/>
                  <w:w w:val="98"/>
                </w:rPr>
                <w:t>Form of Nominating and Corporate Governance Committee Charter (incorporated by reference to Exhibit 99.1 to the Registration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Statement on Form S-1/A filed with the Securities and Exchange Commission on December 15, 2020)</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Form of Audit Committee Charter (incorporated by reference to Exhibit 99.2 to the Registration Statement on Form S-1/A filed with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Securities and Exchange Commission on December 15,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99.3</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Form of Compensation Committee Charter (incorporated by reference to Exhibit 99.3 to the Registration Statement on Form S-1/A filed</w:t>
              </w:r>
            </w:hyperlink>
          </w:p>
        </w:tc>
      </w:tr>
      <w:tr>
        <w:trPr>
          <w:trHeight w:val="196"/>
        </w:trPr>
        <w:tc>
          <w:tcPr>
            <w:tcW w:w="114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with the Securities and Exchange Commission on December 15, 2020)</w:t>
              </w:r>
            </w:hyperlink>
          </w:p>
        </w:tc>
        <w:tc>
          <w:tcPr>
            <w:tcW w:w="5000" w:type="dxa"/>
            <w:vAlign w:val="bottom"/>
            <w:gridSpan w:val="4"/>
          </w:tcPr>
          <w:p>
            <w:pPr>
              <w:spacing w:after="0"/>
              <w:rPr>
                <w:sz w:val="17"/>
                <w:szCs w:val="17"/>
                <w:color w:val="auto"/>
              </w:rPr>
            </w:pPr>
          </w:p>
        </w:tc>
      </w:tr>
    </w:tbl>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16.</w:t>
      </w:r>
      <w:r>
        <w:rPr>
          <w:rFonts w:ascii="Arial" w:cs="Arial" w:eastAsia="Arial" w:hAnsi="Arial"/>
          <w:sz w:val="18"/>
          <w:szCs w:val="18"/>
          <w:b w:val="1"/>
          <w:bCs w:val="1"/>
          <w:color w:val="auto"/>
        </w:rPr>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4300" w:type="dxa"/>
            <w:vAlign w:val="bottom"/>
          </w:tcPr>
          <w:p>
            <w:pPr>
              <w:spacing w:after="0"/>
              <w:rPr>
                <w:sz w:val="20"/>
                <w:szCs w:val="20"/>
                <w:color w:val="auto"/>
              </w:rPr>
            </w:pPr>
            <w:r>
              <w:rPr>
                <w:rFonts w:ascii="Arial" w:cs="Arial" w:eastAsia="Arial" w:hAnsi="Arial"/>
                <w:sz w:val="18"/>
                <w:szCs w:val="18"/>
                <w:color w:val="auto"/>
              </w:rPr>
              <w:t>Dated: December 3, 2021</w:t>
            </w:r>
          </w:p>
        </w:tc>
        <w:tc>
          <w:tcPr>
            <w:tcW w:w="3140" w:type="dxa"/>
            <w:vAlign w:val="bottom"/>
          </w:tcPr>
          <w:p>
            <w:pPr>
              <w:ind w:left="246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4300" w:type="dxa"/>
            <w:vAlign w:val="bottom"/>
          </w:tcPr>
          <w:p>
            <w:pPr>
              <w:spacing w:after="0"/>
              <w:rPr>
                <w:sz w:val="17"/>
                <w:szCs w:val="17"/>
                <w:color w:val="auto"/>
              </w:rPr>
            </w:pPr>
          </w:p>
        </w:tc>
        <w:tc>
          <w:tcPr>
            <w:tcW w:w="3140" w:type="dxa"/>
            <w:vAlign w:val="bottom"/>
          </w:tcPr>
          <w:p>
            <w:pPr>
              <w:ind w:left="246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30"/>
        </w:trPr>
        <w:tc>
          <w:tcPr>
            <w:tcW w:w="4300" w:type="dxa"/>
            <w:vAlign w:val="bottom"/>
          </w:tcPr>
          <w:p>
            <w:pPr>
              <w:spacing w:after="0"/>
              <w:rPr>
                <w:sz w:val="20"/>
                <w:szCs w:val="20"/>
                <w:color w:val="auto"/>
              </w:rPr>
            </w:pPr>
          </w:p>
        </w:tc>
        <w:tc>
          <w:tcPr>
            <w:tcW w:w="3140" w:type="dxa"/>
            <w:vAlign w:val="bottom"/>
          </w:tcPr>
          <w:p>
            <w:pPr>
              <w:ind w:left="246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ectPr>
          <w:pgSz w:w="11900" w:h="16838" w:orient="portrait"/>
          <w:cols w:equalWidth="0" w:num="1">
            <w:col w:w="11240"/>
          </w:cols>
          <w:pgMar w:left="320" w:top="337" w:right="3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317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Scheetz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MacDonald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Bernard Van der Lande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and Chief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1900" w:type="dxa"/>
            <w:vAlign w:val="bottom"/>
          </w:tcPr>
          <w:p>
            <w:pPr>
              <w:spacing w:after="0"/>
              <w:rPr>
                <w:sz w:val="20"/>
                <w:szCs w:val="20"/>
                <w:color w:val="auto"/>
              </w:rPr>
            </w:pPr>
          </w:p>
        </w:tc>
      </w:tr>
      <w:tr>
        <w:trPr>
          <w:trHeight w:val="431"/>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21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Accounting and Financial Officer),</w:t>
            </w:r>
          </w:p>
        </w:tc>
        <w:tc>
          <w:tcPr>
            <w:tcW w:w="1900" w:type="dxa"/>
            <w:vAlign w:val="bottom"/>
          </w:tcPr>
          <w:p>
            <w:pPr>
              <w:spacing w:after="0"/>
              <w:rPr>
                <w:sz w:val="18"/>
                <w:szCs w:val="18"/>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Secretary and Director</w:t>
            </w:r>
          </w:p>
        </w:tc>
        <w:tc>
          <w:tcPr>
            <w:tcW w:w="1900" w:type="dxa"/>
            <w:vAlign w:val="bottom"/>
          </w:tcPr>
          <w:p>
            <w:pPr>
              <w:spacing w:after="0"/>
              <w:rPr>
                <w:sz w:val="20"/>
                <w:szCs w:val="20"/>
                <w:color w:val="auto"/>
              </w:rPr>
            </w:pPr>
          </w:p>
        </w:tc>
      </w:tr>
      <w:tr>
        <w:trPr>
          <w:trHeight w:val="44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 2021</w:t>
            </w:r>
          </w:p>
        </w:tc>
      </w:tr>
    </w:tbl>
    <w:p>
      <w:pPr>
        <w:spacing w:after="0" w:line="406" w:lineRule="exact"/>
        <w:rPr>
          <w:sz w:val="20"/>
          <w:szCs w:val="20"/>
          <w:color w:val="auto"/>
        </w:rPr>
      </w:pPr>
    </w:p>
    <w:p>
      <w:pPr>
        <w:sectPr>
          <w:pgSz w:w="11900" w:h="16838" w:orient="portrait"/>
          <w:cols w:equalWidth="0" w:num="2">
            <w:col w:w="4020" w:space="720"/>
            <w:col w:w="6500"/>
          </w:cols>
          <w:pgMar w:left="320" w:top="337"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9"/>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10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020" w:type="dxa"/>
            <w:vAlign w:val="bottom"/>
            <w:tcBorders>
              <w:top w:val="single" w:sz="8" w:color="CCEEFF"/>
            </w:tcBorders>
            <w:gridSpan w:val="5"/>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Balance Sheets as of December 31, 2020 (as restated) and 2019</w:t>
              </w:r>
            </w:hyperlink>
          </w:p>
        </w:tc>
        <w:tc>
          <w:tcPr>
            <w:tcW w:w="550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F-3</w:t>
            </w:r>
          </w:p>
        </w:tc>
      </w:tr>
      <w:tr>
        <w:trPr>
          <w:trHeight w:val="175"/>
        </w:trPr>
        <w:tc>
          <w:tcPr>
            <w:tcW w:w="160" w:type="dxa"/>
            <w:vAlign w:val="bottom"/>
          </w:tcPr>
          <w:p>
            <w:pPr>
              <w:spacing w:after="0"/>
              <w:rPr>
                <w:sz w:val="15"/>
                <w:szCs w:val="15"/>
                <w:color w:val="auto"/>
              </w:rPr>
            </w:pPr>
          </w:p>
        </w:tc>
        <w:tc>
          <w:tcPr>
            <w:tcW w:w="10080" w:type="dxa"/>
            <w:vAlign w:val="bottom"/>
            <w:gridSpan w:val="8"/>
          </w:tcPr>
          <w:p>
            <w:pPr>
              <w:spacing w:after="0" w:line="17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Statements of Operations for the year ended December 31, 2020 (as restated) and for the period from July 10, 2019 (Inception) through</w:t>
              </w:r>
            </w:hyperlink>
          </w:p>
        </w:tc>
        <w:tc>
          <w:tcPr>
            <w:tcW w:w="10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December 31, 2019</w:t>
              </w:r>
            </w:hyperlink>
          </w:p>
        </w:tc>
        <w:tc>
          <w:tcPr>
            <w:tcW w:w="1000" w:type="dxa"/>
            <w:vAlign w:val="bottom"/>
          </w:tcPr>
          <w:p>
            <w:pPr>
              <w:ind w:left="300"/>
              <w:spacing w:after="0" w:line="196" w:lineRule="exact"/>
              <w:rPr>
                <w:sz w:val="20"/>
                <w:szCs w:val="20"/>
                <w:color w:val="auto"/>
              </w:rPr>
            </w:pPr>
            <w:r>
              <w:rPr>
                <w:rFonts w:ascii="Arial" w:cs="Arial" w:eastAsia="Arial" w:hAnsi="Arial"/>
                <w:sz w:val="18"/>
                <w:szCs w:val="18"/>
                <w:color w:val="auto"/>
              </w:rPr>
              <w:t>F-4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Statements of Changes in Stockholders' Equity as of December 31, 2020 (as restated) and 2019</w:t>
              </w:r>
            </w:hyperlink>
          </w:p>
        </w:tc>
        <w:tc>
          <w:tcPr>
            <w:tcW w:w="322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F-5</w:t>
            </w:r>
          </w:p>
        </w:tc>
      </w:tr>
      <w:tr>
        <w:trPr>
          <w:trHeight w:val="176"/>
        </w:trPr>
        <w:tc>
          <w:tcPr>
            <w:tcW w:w="160" w:type="dxa"/>
            <w:vAlign w:val="bottom"/>
          </w:tcPr>
          <w:p>
            <w:pPr>
              <w:spacing w:after="0"/>
              <w:rPr>
                <w:sz w:val="15"/>
                <w:szCs w:val="15"/>
                <w:color w:val="auto"/>
              </w:rPr>
            </w:pPr>
          </w:p>
        </w:tc>
        <w:tc>
          <w:tcPr>
            <w:tcW w:w="9760" w:type="dxa"/>
            <w:vAlign w:val="bottom"/>
            <w:tcBorders>
              <w:bottom w:val="single" w:sz="8" w:color="0000EE"/>
            </w:tcBorders>
            <w:gridSpan w:val="7"/>
          </w:tcPr>
          <w:p>
            <w:pPr>
              <w:spacing w:after="0" w:line="17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Statements of Cash Flows for the year ended December 31,2020 (as restated) and for the period from July 10, 2019 (Inception) through</w:t>
              </w:r>
            </w:hyperlink>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0240" w:type="dxa"/>
            <w:vAlign w:val="bottom"/>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December 31, 2019</w:t>
              </w:r>
            </w:hyperlink>
          </w:p>
        </w:tc>
        <w:tc>
          <w:tcPr>
            <w:tcW w:w="1000" w:type="dxa"/>
            <w:vAlign w:val="bottom"/>
          </w:tcPr>
          <w:p>
            <w:pPr>
              <w:ind w:left="300"/>
              <w:spacing w:after="0" w:line="196" w:lineRule="exact"/>
              <w:rPr>
                <w:sz w:val="20"/>
                <w:szCs w:val="20"/>
                <w:color w:val="auto"/>
              </w:rPr>
            </w:pPr>
            <w:r>
              <w:rPr>
                <w:rFonts w:ascii="Arial" w:cs="Arial" w:eastAsia="Arial" w:hAnsi="Arial"/>
                <w:sz w:val="18"/>
                <w:szCs w:val="18"/>
                <w:color w:val="auto"/>
              </w:rPr>
              <w:t>F-6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Notes to Financial Statements (as restated)</w:t>
              </w:r>
            </w:hyperlink>
          </w:p>
        </w:tc>
        <w:tc>
          <w:tcPr>
            <w:tcW w:w="10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F-7</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5500" w:type="dxa"/>
            <w:vAlign w:val="bottom"/>
            <w:tcBorders>
              <w:top w:val="single" w:sz="8" w:color="CCEEFF"/>
              <w:bottom w:val="single" w:sz="8" w:color="auto"/>
            </w:tcBorders>
            <w:gridSpan w:val="4"/>
          </w:tcPr>
          <w:p>
            <w:pPr>
              <w:jc w:val="center"/>
              <w:ind w:right="3740"/>
              <w:spacing w:after="0"/>
              <w:rPr>
                <w:sz w:val="20"/>
                <w:szCs w:val="20"/>
                <w:color w:val="auto"/>
              </w:rPr>
            </w:pPr>
            <w:r>
              <w:rPr>
                <w:rFonts w:ascii="Arial" w:cs="Arial" w:eastAsia="Arial" w:hAnsi="Arial"/>
                <w:sz w:val="18"/>
                <w:szCs w:val="18"/>
                <w:color w:val="auto"/>
                <w:w w:val="88"/>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 w:name="page38"/>
    <w:bookmarkEnd w:id="3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balance sheets of Ventoux CCM Acquisition Corp. (the “Company”) as of December 31, 2020, and 2019, the related statements of operations, changes in stockholders’ equity and cash flows for the year ended December 31, 2020 and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for the year ended December 31, 2020 and period from July 10, 2019 (inception) through December 31,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financial statements, the 2020 financial statements have been restated to correct certain misstatements.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March 30,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22, 2021, except for the effects of the restatement disclosed in Note 2 as to which the date is December 3,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left="328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Advances from related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r>
      <w:tr>
        <w:trPr>
          <w:trHeight w:val="202"/>
        </w:trPr>
        <w:tc>
          <w:tcPr>
            <w:tcW w:w="80" w:type="dxa"/>
            <w:vAlign w:val="bottom"/>
          </w:tcPr>
          <w:p>
            <w:pPr>
              <w:spacing w:after="0"/>
              <w:rPr>
                <w:sz w:val="17"/>
                <w:szCs w:val="17"/>
                <w:color w:val="auto"/>
              </w:rPr>
            </w:pPr>
          </w:p>
        </w:tc>
        <w:tc>
          <w:tcPr>
            <w:tcW w:w="1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(As Restated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 w:type="dxa"/>
            <w:vAlign w:val="bottom"/>
          </w:tcPr>
          <w:p>
            <w:pPr>
              <w:spacing w:after="0"/>
              <w:rPr>
                <w:sz w:val="20"/>
                <w:szCs w:val="20"/>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See Note 2)</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1,071,253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37"/>
        </w:trPr>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gridSpan w:val="2"/>
          </w:tcPr>
          <w:p>
            <w:pPr>
              <w:spacing w:after="0"/>
              <w:rPr>
                <w:sz w:val="20"/>
                <w:szCs w:val="20"/>
                <w:color w:val="auto"/>
              </w:rPr>
            </w:pPr>
          </w:p>
        </w:tc>
      </w:tr>
      <w:tr>
        <w:trPr>
          <w:trHeight w:val="431"/>
        </w:trPr>
        <w:tc>
          <w:tcPr>
            <w:tcW w:w="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151,500,000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r>
      <w:tr>
        <w:trPr>
          <w:trHeight w:val="250"/>
        </w:trPr>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152,600,453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25,000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63"/>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120,005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8"/>
        </w:trPr>
        <w:tc>
          <w:tcPr>
            <w:tcW w:w="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7,320,000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7,458,128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604" w:lineRule="exact"/>
        <w:rPr>
          <w:sz w:val="20"/>
          <w:szCs w:val="20"/>
          <w:color w:val="auto"/>
        </w:rPr>
      </w:pPr>
    </w:p>
    <w:p>
      <w:pPr>
        <w:sectPr>
          <w:pgSz w:w="11900" w:h="16838" w:orient="portrait"/>
          <w:cols w:equalWidth="0" w:num="2">
            <w:col w:w="7960" w:space="720"/>
            <w:col w:w="2560"/>
          </w:cols>
          <w:pgMar w:left="320" w:top="904" w:right="3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Common stock subject to possible redemption, 15,000,000 and 0 shares as of December 31, 2020 and 2019 (at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$10.10 per share), respectively</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151,500,000</w:t>
            </w: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520" w:type="dxa"/>
            <w:vAlign w:val="bottom"/>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50,000,000 shares authorized; 4,312,500 shares issued and outstanding</w:t>
            </w: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(excluding 15,000,000 and 0 shares subject to possible redemption) as of December 31, 2020 and 2019, respectively</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431</w:t>
            </w: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431</w:t>
            </w:r>
          </w:p>
        </w:tc>
      </w:tr>
      <w:tr>
        <w:trPr>
          <w:trHeight w:val="216"/>
        </w:trPr>
        <w:tc>
          <w:tcPr>
            <w:tcW w:w="87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520" w:type="dxa"/>
            <w:vAlign w:val="bottom"/>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24,569</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(6,358,106)</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(6,357,675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1"/>
              </w:rPr>
              <w:t>$  152,600,453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numbers include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July 10,</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8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20"/>
                <w:szCs w:val="20"/>
                <w:color w:val="auto"/>
              </w:rPr>
            </w:pPr>
          </w:p>
        </w:tc>
      </w:tr>
      <w:tr>
        <w:trPr>
          <w:trHeight w:val="202"/>
        </w:trPr>
        <w:tc>
          <w:tcPr>
            <w:tcW w:w="8680" w:type="dxa"/>
            <w:vAlign w:val="bottom"/>
          </w:tcPr>
          <w:p>
            <w:pPr>
              <w:spacing w:after="0"/>
              <w:rPr>
                <w:sz w:val="17"/>
                <w:szCs w:val="17"/>
                <w:color w:val="auto"/>
              </w:rPr>
            </w:pPr>
          </w:p>
        </w:tc>
        <w:tc>
          <w:tcPr>
            <w:tcW w:w="124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8"/>
              </w:rPr>
              <w:t>(As Restated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See Note 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18,208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r>
      <w:tr>
        <w:trPr>
          <w:trHeight w:val="203"/>
        </w:trPr>
        <w:tc>
          <w:tcPr>
            <w:tcW w:w="8680" w:type="dxa"/>
            <w:vAlign w:val="bottom"/>
            <w:tcBorders>
              <w:top w:val="single" w:sz="8" w:color="CCEEFF"/>
            </w:tcBorders>
          </w:tcPr>
          <w:p>
            <w:pPr>
              <w:ind w:left="60"/>
              <w:spacing w:after="0" w:line="203" w:lineRule="exact"/>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(18,208)</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on initial issuance of private warrants</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Other expense, net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(1,344,853</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spacing w:after="0" w:line="256" w:lineRule="exact"/>
              <w:rPr>
                <w:sz w:val="20"/>
                <w:szCs w:val="20"/>
                <w:color w:val="auto"/>
              </w:rPr>
            </w:pPr>
            <w:r>
              <w:rPr>
                <w:rFonts w:ascii="Arial" w:cs="Arial" w:eastAsia="Arial" w:hAnsi="Arial"/>
                <w:sz w:val="16"/>
                <w:szCs w:val="16"/>
                <w:b w:val="1"/>
                <w:bCs w:val="1"/>
                <w:color w:val="auto"/>
              </w:rPr>
              <w:t>(1,363,061</w:t>
            </w:r>
            <w:r>
              <w:rPr>
                <w:rFonts w:ascii="Arial" w:cs="Arial" w:eastAsia="Arial" w:hAnsi="Arial"/>
                <w:sz w:val="29"/>
                <w:szCs w:val="29"/>
                <w:b w:val="1"/>
                <w:bCs w:val="1"/>
                <w:color w:val="auto"/>
                <w:vertAlign w:val="superscript"/>
              </w:rPr>
              <w:t>)</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line="256" w:lineRule="exact"/>
              <w:rPr>
                <w:sz w:val="20"/>
                <w:szCs w:val="20"/>
                <w:color w:val="auto"/>
              </w:rPr>
            </w:pPr>
            <w:r>
              <w:rPr>
                <w:rFonts w:ascii="Arial" w:cs="Arial" w:eastAsia="Arial" w:hAnsi="Arial"/>
                <w:sz w:val="16"/>
                <w:szCs w:val="16"/>
                <w:b w:val="1"/>
                <w:bCs w:val="1"/>
                <w:color w:val="auto"/>
              </w:rPr>
              <w:t>(1,450</w:t>
            </w:r>
            <w:r>
              <w:rPr>
                <w:rFonts w:ascii="Arial" w:cs="Arial" w:eastAsia="Arial" w:hAnsi="Arial"/>
                <w:sz w:val="29"/>
                <w:szCs w:val="29"/>
                <w:b w:val="1"/>
                <w:bCs w:val="1"/>
                <w:color w:val="auto"/>
                <w:vertAlign w:val="superscript"/>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common stock</w:t>
            </w:r>
          </w:p>
        </w:tc>
        <w:tc>
          <w:tcPr>
            <w:tcW w:w="80" w:type="dxa"/>
            <w:vAlign w:val="bottom"/>
          </w:tcPr>
          <w:p>
            <w:pPr>
              <w:spacing w:after="0"/>
              <w:rPr>
                <w:sz w:val="24"/>
                <w:szCs w:val="24"/>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4,119,863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common stock</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8"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numbers exclude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13"/>
          </w:tcPr>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7"/>
            <w:vMerge w:val="restart"/>
          </w:tcPr>
          <w:p>
            <w:pPr>
              <w:ind w:left="4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7"/>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9"/>
                <w:szCs w:val="19"/>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20"/>
                <w:szCs w:val="20"/>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Initial Stockholders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4,312,500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December 31, 2019</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180"/>
              <w:spacing w:after="0" w:line="203" w:lineRule="exact"/>
              <w:rPr>
                <w:sz w:val="20"/>
                <w:szCs w:val="20"/>
                <w:color w:val="auto"/>
              </w:rPr>
            </w:pPr>
            <w:r>
              <w:rPr>
                <w:rFonts w:ascii="Arial" w:cs="Arial" w:eastAsia="Arial" w:hAnsi="Arial"/>
                <w:sz w:val="18"/>
                <w:szCs w:val="18"/>
                <w:b w:val="1"/>
                <w:bCs w:val="1"/>
                <w:color w:val="auto"/>
                <w:w w:val="87"/>
              </w:rPr>
              <w:t>4,312,500</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660"/>
              <w:spacing w:after="0" w:line="203" w:lineRule="exact"/>
              <w:rPr>
                <w:sz w:val="20"/>
                <w:szCs w:val="20"/>
                <w:color w:val="auto"/>
              </w:rPr>
            </w:pPr>
            <w:r>
              <w:rPr>
                <w:rFonts w:ascii="Arial" w:cs="Arial" w:eastAsia="Arial" w:hAnsi="Arial"/>
                <w:sz w:val="18"/>
                <w:szCs w:val="18"/>
                <w:b w:val="1"/>
                <w:bCs w:val="1"/>
                <w:color w:val="auto"/>
                <w:w w:val="86"/>
              </w:rPr>
              <w:t>431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24,569</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(1,450)</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Allocation of Initial Public Offering to public warrants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8,925,000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Allocation of Initial Public Offering to public rights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6,375,000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9"/>
              </w:rPr>
              <w:t>Accretion for common stock subject to redemption amount</w:t>
            </w:r>
          </w:p>
        </w:tc>
        <w:tc>
          <w:tcPr>
            <w:tcW w:w="240" w:type="dxa"/>
            <w:vAlign w:val="bottom"/>
          </w:tcPr>
          <w:p>
            <w:pPr>
              <w:spacing w:after="0"/>
              <w:rPr>
                <w:sz w:val="18"/>
                <w:szCs w:val="18"/>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(15,324,569)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(4,993,595)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(20,318,164)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(1,363,061)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(1,363,061)</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Balance – December 31, 2020 (As Restated – See Note 2)</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87"/>
              </w:rPr>
              <w:t>4,312,500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(6,358,106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(6,357,675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308" w:lineRule="auto"/>
        <w:tabs>
          <w:tab w:leader="none" w:pos="27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number includes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(As Restated)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(1,363,061)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Loss on initial issuance of private warrants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1,140,000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24,853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16,673</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Investment of cash into Trust Account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(151,500,000)</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(151,500,000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common stock to Sponsor</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147,000,000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Private Warrants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2,520,005</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advances 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(2,400,000)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(151,812)</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(536,205)</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152,576,988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25,000</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1,046,253</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 End of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1,071,253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151,500,000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Offering costs paid through promissory note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6,812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and the initial public offering (“Initial Public Offering”), which is described below.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4.</w:t>
      </w:r>
    </w:p>
    <w:p>
      <w:pPr>
        <w:spacing w:after="0" w:line="184" w:lineRule="exact"/>
        <w:rPr>
          <w:sz w:val="20"/>
          <w:szCs w:val="20"/>
          <w:color w:val="auto"/>
        </w:rPr>
      </w:pPr>
    </w:p>
    <w:p>
      <w:pPr>
        <w:jc w:val="both"/>
        <w:ind w:firstLine="292"/>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5.</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Transaction costs amounted to $3,543,017, consisting of $3,000,000 in cash underwriting fees and $543,017 of other offering costs.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(as defined in Note 5) are no longer subject to forfeiture.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324"/>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ind w:right="20" w:firstLine="292"/>
        <w:spacing w:after="0" w:line="308" w:lineRule="auto"/>
        <w:rPr>
          <w:sz w:val="20"/>
          <w:szCs w:val="20"/>
          <w:color w:val="auto"/>
        </w:rPr>
      </w:pPr>
      <w:r>
        <w:rPr>
          <w:rFonts w:ascii="Arial" w:cs="Arial" w:eastAsia="Arial" w:hAnsi="Arial"/>
          <w:sz w:val="17"/>
          <w:szCs w:val="17"/>
          <w:color w:val="auto"/>
        </w:rPr>
        <w:t>As of December 31, 2020, the Company had $1,071,253 in its operating bank accounts, $151,500,000 in securities held in the Trust Account to be used for a Business Combination or to repurchase or redeem its common stock in connection therewith and working capital of $962,325.</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Company concluded it should restate its previously issued financial statements by amending Amendment No. 1 to its Annual Report on Form 10-K/A, filed with the SEC on June 24, 2021, to classify all common stock subject to possible redemption in temporary equity. In accordance with ASC 480, paragraph 10-S99, redemption provisions not solely within the control of the Company require common stock subject to redemption to be classified outside of permanent equity. The Company had previously classified a portion of its common stock in permanent equity, or total stockholders’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common stock classified as temporary equity as part of net tangible assets. Effective with these financial statements, the Company revised this interpretation to include temporary equity in net tangible assets. Also, in connection with the change in presentation for the common stock subject to possible redemption, the Company also revised its earnings per share calculation to allocate income and losses shared pro rata between the two classes of common stock. This presentation contemplates a Business Combination as the most likely outcome, in which case, both classes of common stock share evenly to all common stock. As a result, the Company restated its previously filed financial statements to present all redeemable common stock as temporary equity and to recognize accretion from the initial book value to redemption value at the time of its Initial Public Offering and in accordance with ASC 480. The Company’s previously filed financial statements that contained the error were initially reported in the Company’s Form 8-K filed with the SEC on January 6, 2021 (the “Post-IPO Balance Sheet”) and the Company’s Annual Report on 10-K for the annual period ended December 31, 2020, which were previously restated in the Company’s Amendment No. 1 to its Form 10-K as filed with the SEC on June 22, 2021, as well as the Form 10-Qs for the quarterly periods ended March 31, 2021 and June 30, 2021 (the “Affected Periods”). These financial statements restate the Company’s previously issued audited financial statements covering the periods through December 31, 2020. The Company’s unaudited financial statements for the quarterly periods ended March 31, 2021 and June 30, 2021 will be restated in an amendment to the Company’s Form 10-Q/A for the quarterly period ended September 30, 2021 to be filed with the SEC. Refer to Note 3 and Note 8 which have been updated to reflect the restatement contained in this Annual Report.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Impact of the Restatement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4"/>
          </w:tcPr>
          <w:p>
            <w:pPr>
              <w:ind w:left="340"/>
              <w:spacing w:after="0"/>
              <w:rPr>
                <w:sz w:val="20"/>
                <w:szCs w:val="20"/>
                <w:color w:val="auto"/>
              </w:rPr>
            </w:pPr>
            <w:r>
              <w:rPr>
                <w:rFonts w:ascii="Arial" w:cs="Arial" w:eastAsia="Arial" w:hAnsi="Arial"/>
                <w:sz w:val="18"/>
                <w:szCs w:val="18"/>
                <w:color w:val="auto"/>
                <w:w w:val="96"/>
              </w:rPr>
              <w:t>The impact of the restatement on the Post IPO Balance Sheet as of December 30, 2020 is presented below.</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As Reported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Restated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10-K/A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Amendment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30, 2020</w:t>
            </w: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 1</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140,340,442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11,159,558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6,165,853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(6,165,853)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(1,166,388)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(4,993,598)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(6,159,986)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(11,159,561)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(6,159,555)</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13,895,093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1,104,907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restatement on the audited balance sheet as of December 31, 2020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As Reported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Restated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10-K/A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Amendment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w:t>
            </w: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 1</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140,142,318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11,357,682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6,363,974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(6,363,974)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(1,364,511)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(4,993,595)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(6,358,106)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(11,357,682)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(6,357,675)</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13,875,477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1,124,523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bl>
    <w:p>
      <w:pPr>
        <w:spacing w:after="0" w:line="187"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The impact to the reported amounts of weighted average shares outstanding and basic and diluted earnings per common stock is presented below for the period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As Reported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Restated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10-K/A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for the Period ended December 31, 2020</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Amendment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 1</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As Restated</w:t>
            </w:r>
          </w:p>
        </w:tc>
        <w:tc>
          <w:tcPr>
            <w:tcW w:w="0" w:type="dxa"/>
            <w:vAlign w:val="bottom"/>
          </w:tcPr>
          <w:p>
            <w:pPr>
              <w:spacing w:after="0"/>
              <w:rPr>
                <w:sz w:val="1"/>
                <w:szCs w:val="1"/>
                <w:color w:val="auto"/>
              </w:rPr>
            </w:pPr>
          </w:p>
        </w:tc>
      </w:tr>
      <w:tr>
        <w:trPr>
          <w:trHeight w:val="188"/>
        </w:trPr>
        <w:tc>
          <w:tcPr>
            <w:tcW w:w="7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Basic and diluted weighted average shares outstanding, common stock subject to possible</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income per share, common stock subject to possible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(income) per share, Non-redeemable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4,119,863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4,119,863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per share,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restatement on the audited Statement of Shareholders’ Equity (Deficit)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w w:val="93"/>
              </w:rPr>
              <w:t>Condensed Statement of Changes in Shareholders’ Equity (Deficit) for the Period Ended</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Sale of 15,000,000 Units, net of underwriter discounts and offering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146,481,836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(146,481,836)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Initial value of common stock subject to redemption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w w:val="92"/>
              </w:rPr>
              <w:t>(140,142,318)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5"/>
              </w:rPr>
              <w:t>140,142,318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common stock subject to redemption amount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(5,018,164)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(5,018,164)</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5,000,007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(11,357,682)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(6,357,675)</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restatement to the previously reported as restated statement of cash flows for the period ended December 31, 2020,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w w:val="98"/>
              </w:rPr>
              <w:t>Condensed Statement of Cash Flows for the period through December 31, 2020</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6700" w:type="dxa"/>
            <w:vAlign w:val="bottom"/>
          </w:tcPr>
          <w:p>
            <w:pPr>
              <w:ind w:left="180"/>
              <w:spacing w:after="0"/>
              <w:rPr>
                <w:sz w:val="20"/>
                <w:szCs w:val="20"/>
                <w:color w:val="auto"/>
              </w:rPr>
            </w:pPr>
            <w:r>
              <w:rPr>
                <w:rFonts w:ascii="Arial" w:cs="Arial" w:eastAsia="Arial" w:hAnsi="Arial"/>
                <w:sz w:val="18"/>
                <w:szCs w:val="18"/>
                <w:b w:val="1"/>
                <w:bCs w:val="1"/>
                <w:color w:val="auto"/>
              </w:rPr>
              <w:t>Non-cash Investing and Financing Activities:</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140,340,442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11,159,558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151,500,000</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(198,124)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41"/>
        </w:trPr>
        <w:tc>
          <w:tcPr>
            <w:tcW w:w="67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F-10</w:t>
            </w: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568"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are presented in accordance with accounting principles generally accepted in the United States of America (“GAAP”) and pursuant to the rules and regulations of the SEC.</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Note 2—Restatement of Previously Issued Financial Statements, the Company’s financial statements for as of and for the year ended December 31, 2020 are restated in this Annual Report on Form 10-K/A (Amendment No. 1) (this “Annual Report”) to correct the misapplication of accounting guidance related to the Company’s warrants in the Company’s previously issued audited financial statements for such periods. The restated financial statements are indicated as “Restated” in the audited financial statements and accompanying notes, as applicable. See Note 2—Restatement of Previously Issued Financial Statements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Accordingly, the actual results could differ significantly from those estimates.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there are 15,000,000 common stock subject to possible redemption is presented as temporary equity, outside of the stockholders’ equity section of the Company’s balance sheet.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with the closing of the Initial Public Offering, the Company recognized the accretion from initial book value to redemption amount, which resulted in charges against additional paid-in capital (to the extent available) and accumulated deficit.</w:t>
      </w:r>
    </w:p>
    <w:p>
      <w:pPr>
        <w:sectPr>
          <w:pgSz w:w="11900" w:h="16838" w:orient="portrait"/>
          <w:cols w:equalWidth="0" w:num="1">
            <w:col w:w="11240"/>
          </w:cols>
          <w:pgMar w:left="320" w:top="908" w:right="339" w:bottom="1440" w:gutter="0" w:footer="0" w:header="0"/>
        </w:sectPr>
      </w:pP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December 31, 2020, the common stock reflected in the balance sheet are reconciled in the following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Allocated to Public Warrants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Allocated to Public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Common stock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Accretion of carrying value to redemption value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  150,000,000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(8,925,000)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(6,375,000)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(3,518,164)</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20,318,164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151,500,000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8" w:right="339" w:bottom="1440" w:gutter="0" w:footer="0" w:header="0"/>
          <w:type w:val="continuous"/>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292"/>
        <w:spacing w:after="0" w:line="286" w:lineRule="auto"/>
        <w:rPr>
          <w:sz w:val="20"/>
          <w:szCs w:val="20"/>
          <w:color w:val="auto"/>
        </w:rPr>
      </w:pPr>
      <w:r>
        <w:rPr>
          <w:rFonts w:ascii="Arial" w:cs="Arial" w:eastAsia="Arial" w:hAnsi="Arial"/>
          <w:sz w:val="17"/>
          <w:szCs w:val="17"/>
          <w:color w:val="auto"/>
        </w:rPr>
        <w:t>Offering costs consist of underwriting, legal, accounting and other expenses incurred through the Initial Public Offering that are directly related to the Initial Public Offering. Offering costs amounting to $3,518,164 were charged against the carrying value of common stock upon the completion of the Initial Public Offering and $24,853 were charged to the statement of operations upon the completion of the Initial Public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ind w:firstLine="292"/>
        <w:spacing w:after="0" w:line="286" w:lineRule="auto"/>
        <w:rPr>
          <w:sz w:val="20"/>
          <w:szCs w:val="20"/>
          <w:color w:val="auto"/>
        </w:rPr>
      </w:pPr>
      <w:r>
        <w:rPr>
          <w:rFonts w:ascii="Arial" w:cs="Arial" w:eastAsia="Arial" w:hAnsi="Arial"/>
          <w:sz w:val="17"/>
          <w:szCs w:val="17"/>
          <w:color w:val="auto"/>
        </w:rPr>
        <w:t>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65" w:lineRule="exact"/>
        <w:rPr>
          <w:sz w:val="20"/>
          <w:szCs w:val="20"/>
          <w:color w:val="auto"/>
        </w:rPr>
      </w:pPr>
    </w:p>
    <w:p>
      <w:pPr>
        <w:jc w:val="both"/>
        <w:ind w:firstLine="292"/>
        <w:spacing w:after="0" w:line="273" w:lineRule="auto"/>
        <w:rPr>
          <w:sz w:val="20"/>
          <w:szCs w:val="20"/>
          <w:color w:val="auto"/>
        </w:rPr>
      </w:pPr>
      <w:r>
        <w:rPr>
          <w:rFonts w:ascii="Arial" w:cs="Arial" w:eastAsia="Arial" w:hAnsi="Arial"/>
          <w:sz w:val="17"/>
          <w:szCs w:val="17"/>
          <w:color w:val="auto"/>
        </w:rPr>
        <w:t>The Company accounts for the Private Warrants in accordance with the guidance contained in ASC 815-40 under which the Private Warrants do not meet the criteria for equity treatment and must be recorded as liabilities. Accordingly,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 of operations. The Private Warrants for periods where no observable traded price was available are valued using a Modified Black-Scholes model. Derivative warrant liabilities are classified as non-current liabilities as their liquidation is not reasonably expected to require the use of current assets or require the creation of 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right="20" w:firstLine="292"/>
        <w:spacing w:after="0" w:line="27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common stock is computed by dividing net income (loss) by the weighted average number of common stock outstanding for the period.</w:t>
      </w:r>
    </w:p>
    <w:p>
      <w:pPr>
        <w:spacing w:after="0" w:line="170"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The calculation of diluted income (loss) per common stock does not consider the effect of (1) warrants sold in the Initial Public Offering to purchase 15,300,000 common stock, and (2) rights sold in the Initial Public Offering that convert into 862,500 common stock, in the calculation of diluted loss per share, since the exercise of warrants and the conversion of the rights into shares of common stock are contingent upon the occurrence of future events. Accretion associated with the redeemable common stock is excluded from earnings per share as the redemption value approximates fair value. As of December 31, 2020, the Company did not have any other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reflects the calculation of basic and diluted net income (loss) per common stock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Period July</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10, 2019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000" w:type="dxa"/>
            <w:vAlign w:val="bottom"/>
          </w:tcPr>
          <w:p>
            <w:pPr>
              <w:spacing w:after="0"/>
              <w:rPr>
                <w:sz w:val="20"/>
                <w:szCs w:val="20"/>
                <w:color w:val="auto"/>
              </w:rPr>
            </w:pPr>
          </w:p>
        </w:tc>
        <w:tc>
          <w:tcPr>
            <w:tcW w:w="4800" w:type="dxa"/>
            <w:vAlign w:val="bottom"/>
            <w:gridSpan w:val="2"/>
          </w:tcPr>
          <w:p>
            <w:pPr>
              <w:jc w:val="center"/>
              <w:ind w:left="359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vMerge w:val="restart"/>
          </w:tcPr>
          <w:p>
            <w:pPr>
              <w:spacing w:after="0"/>
              <w:rPr>
                <w:sz w:val="20"/>
                <w:szCs w:val="20"/>
                <w:color w:val="auto"/>
              </w:rPr>
            </w:pPr>
            <w:r>
              <w:rPr>
                <w:rFonts w:ascii="Arial" w:cs="Arial" w:eastAsia="Arial" w:hAnsi="Arial"/>
                <w:sz w:val="18"/>
                <w:szCs w:val="18"/>
                <w:i w:val="1"/>
                <w:iCs w:val="1"/>
                <w:color w:val="auto"/>
              </w:rPr>
              <w:t>Basic and diluted net loss per common stock</w:t>
            </w:r>
          </w:p>
        </w:tc>
        <w:tc>
          <w:tcPr>
            <w:tcW w:w="36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(1,363,061)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Allocation of net loss</w:t>
            </w:r>
          </w:p>
        </w:tc>
        <w:tc>
          <w:tcPr>
            <w:tcW w:w="3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8"/>
              </w:rPr>
              <w:t>Basic and diluted weighted average common stock outstanding</w:t>
            </w:r>
          </w:p>
        </w:tc>
        <w:tc>
          <w:tcPr>
            <w:tcW w:w="5020" w:type="dxa"/>
            <w:vAlign w:val="bottom"/>
            <w:gridSpan w:val="3"/>
          </w:tcPr>
          <w:p>
            <w:pPr>
              <w:jc w:val="right"/>
              <w:ind w:right="220"/>
              <w:spacing w:after="0"/>
              <w:rPr>
                <w:sz w:val="20"/>
                <w:szCs w:val="20"/>
                <w:color w:val="auto"/>
              </w:rPr>
            </w:pPr>
            <w:r>
              <w:rPr>
                <w:rFonts w:ascii="Arial" w:cs="Arial" w:eastAsia="Arial" w:hAnsi="Arial"/>
                <w:sz w:val="18"/>
                <w:szCs w:val="18"/>
                <w:color w:val="auto"/>
              </w:rPr>
              <w:t>3,971,096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stock</w:t>
            </w:r>
          </w:p>
        </w:tc>
        <w:tc>
          <w:tcPr>
            <w:tcW w:w="5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50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F-13</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77"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2020 and 2019,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20" w:firstLine="29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 except for the Private Warrants (see Note 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Initial Public Offering on December 30, 2020, the Company sold 15,000,000 Units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Ventoux Acquisition purchased an additional 450,000 Private Warrants and Chardan Investments purchased an additional 225,000 Private Warrants, at a price of $1.00 per Private Warrant, or $675,000 in the aggregate, upon the full exercise of the over-allotment option (see Note 10).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All share and per-share amounts have been retroactively restated.</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As of December 31, 2020, there were no amounts incurred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20, 2020, the Company issued an unsecured promissory note to Ventoux Acquisition (the “Promissory Note”), pursuant to which the Company could borrow up to an aggregate principal amount of $250,000. The Promissory Note was non-interest bearing and payable promptly after (i) the date on which the consummation of the Initial Public Offering or (ii) the date on which it is determined not to consummate the Initial Public Offering. The outstanding balance under the Promissory Note of $151,812 was repaid in full on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December 31, 2020 and 2019, no Working Capital Loans were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parties advanced the Company approximately $2,520,000 to pay for certain offering costs in connection with the Initial Public Offering. A majority of these advances were repaid and, at December 31, 2020, $120,005 was still owed to some of these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closing of the underwriters’ over-allotment option occurred (see Note 10).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 (see Note 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Per the Company’s Amended and Restated Certificate of Incorporation, the Company is authorized to issue up to 1,000,000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preferred stock. As of December 31, 2020 and 2019, the Company has not issued shares of preferred stock</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jc w:val="both"/>
        <w:ind w:firstLine="292"/>
        <w:spacing w:after="0" w:line="29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December 31, 2020, there were 4,312,500 shares of common stock issued and outstanding, excluding 15,000,000 shares of common stock subject to possible redemption and there for classified as temporary equity, of which 562,500 shares were subject to forfeiture to the extent that the underwriters’ over-allotment option was not exercised in full so that the Initial Stockholders would collectively own approximately 20% of the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At December 31, 2019, there were 4,312,500 shares of common stock issued and outstanding.</w:t>
      </w:r>
    </w:p>
    <w:p>
      <w:pPr>
        <w:spacing w:after="0" w:line="166" w:lineRule="exact"/>
        <w:rPr>
          <w:sz w:val="20"/>
          <w:szCs w:val="20"/>
          <w:color w:val="auto"/>
        </w:rPr>
      </w:pPr>
    </w:p>
    <w:p>
      <w:pPr>
        <w:jc w:val="both"/>
        <w:ind w:firstLine="292"/>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ind w:firstLine="292"/>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Public Warrants 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Public Warrants are accounted for as equity and the Private Warrants are accounted for as liabilities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4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r>
      <w:tr>
        <w:trPr>
          <w:trHeight w:val="236"/>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Deferred tax asset</w:t>
            </w: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4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40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Valuation allowance</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$4,000 available to offset future taxable income.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2020 and for the period from July 10, 2019 (inception) through December 31, 2019, the change in the valuation allowance was $3,824 and $0,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8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21.0%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(20.3)%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Transaction costs allocable to warrant liabilities</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r>
        <w:trPr>
          <w:trHeight w:val="25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firstLine="292"/>
        <w:spacing w:after="0" w:line="301" w:lineRule="auto"/>
        <w:rPr>
          <w:sz w:val="20"/>
          <w:szCs w:val="20"/>
          <w:color w:val="auto"/>
        </w:rPr>
      </w:pPr>
      <w:r>
        <w:rPr>
          <w:rFonts w:ascii="Arial" w:cs="Arial" w:eastAsia="Arial" w:hAnsi="Arial"/>
          <w:sz w:val="16"/>
          <w:szCs w:val="16"/>
          <w:color w:val="auto"/>
        </w:rPr>
        <w:t>At December 31, 2020, assets held in the Trust Account were comprised of $151,500,000 in a money market fund which is classified as trading securities (Level 1). Trading securities are presented on the balance sheet at fair value at the end of each reporting period. Gains and losses resulting from the change in fair value of these securities is included in interest income in the accompanying statement of operations. The estimated fair values of investments held in the trust account are determined using available market information. At December 31, 2019, no assets were held in the Trust Account.</w:t>
      </w:r>
    </w:p>
    <w:p>
      <w:pPr>
        <w:spacing w:after="0" w:line="157"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151,500,000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Liabilities – Private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7,320,000</w:t>
            </w:r>
          </w:p>
        </w:tc>
      </w:tr>
      <w:tr>
        <w:trPr>
          <w:trHeight w:val="641"/>
        </w:trPr>
        <w:tc>
          <w:tcPr>
            <w:tcW w:w="868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F-19</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warrant liabilities are measured at fair value at inception and on a recurring basis, with changes in fair value presented in the statement of operations.</w:t>
      </w:r>
    </w:p>
    <w:p>
      <w:pPr>
        <w:spacing w:after="0" w:line="2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and subsequently valued using a Modified Black-Scholes model, which is considered to be a Level 3 fair value measurement. The estimated fair value of derivative warrant liabilities is determined using Level 3 inputs.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Company estimates the volatility of its common stock based on historical volatility of select peer companies that matches the expected remaining life of the warrants. The risk-free interest rate is based on the U.S. Treasury zero-coupon yield curve on the grant date for a maturity similar to the expected remaining life of the warrants. The term of the warrants is assumed to be equivalent to their remaining contractual term. The dividend rate is based on the historical rate, which the Company anticipates remaining at zero.</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(Initial</w:t>
            </w: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580" w:type="dxa"/>
            <w:vAlign w:val="bottom"/>
          </w:tcPr>
          <w:p>
            <w:pPr>
              <w:spacing w:after="0"/>
              <w:rPr>
                <w:sz w:val="20"/>
                <w:szCs w:val="20"/>
                <w:color w:val="auto"/>
              </w:rPr>
            </w:pPr>
          </w:p>
        </w:tc>
        <w:tc>
          <w:tcPr>
            <w:tcW w:w="240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Measurement)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Stock price</w:t>
            </w:r>
          </w:p>
        </w:tc>
        <w:tc>
          <w:tcPr>
            <w:tcW w:w="11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Term</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418"/>
        </w:trPr>
        <w:tc>
          <w:tcPr>
            <w:tcW w:w="758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Initial measurement on December 30, 2020 (Initial Public Offering)</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7,140,000</w:t>
            </w:r>
          </w:p>
        </w:tc>
        <w:tc>
          <w:tcPr>
            <w:tcW w:w="100" w:type="dxa"/>
            <w:vAlign w:val="bottom"/>
          </w:tcPr>
          <w:p>
            <w:pPr>
              <w:spacing w:after="0"/>
              <w:rPr>
                <w:sz w:val="18"/>
                <w:szCs w:val="18"/>
                <w:color w:val="auto"/>
              </w:rPr>
            </w:pPr>
          </w:p>
        </w:tc>
      </w:tr>
      <w:tr>
        <w:trPr>
          <w:trHeight w:val="250"/>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58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7,320,000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 to/from Levels 1, 2 and 3 are recognized at the end of the reporting period in which a change in valuation technique or methodology occurs.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 during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29, 2020, the underwriters notified the Company of their intention to fully exercise their over-allotment option. On January 5, 2021,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costs related to the underwriters’ exercise of their over-allotment option were $450,000, consisting of underwriting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underwriters’ election to exercise their over-allotment option in full, 562,500 Founder Shares are no longer subject to forfeiture.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Amendment No. 2,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SEC Release Nos.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Amendment No. 2,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Ventoux CCM Acquisition Corp. (the “Company”) on Form 10-K, Amendment No. 2, for the year ended December 31, 2020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w:t>
      </w:r>
    </w:p>
    <w:p>
      <w:pPr>
        <w:spacing w:after="0" w:line="187" w:lineRule="exact"/>
        <w:rPr>
          <w:sz w:val="20"/>
          <w:szCs w:val="20"/>
          <w:color w:val="auto"/>
        </w:rPr>
      </w:pPr>
    </w:p>
    <w:p>
      <w:pPr>
        <w:ind w:left="680" w:hanging="335"/>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180" w:hanging="335"/>
        <w:spacing w:after="0" w:line="50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December 3,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Date: December 3,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lvl w:ilvl="1">
      <w:lvlJc w:val="left"/>
      <w:lvlText w:val="(%2)"/>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upperLetter"/>
      <w:start w:val="6"/>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45" Type="http://schemas.openxmlformats.org/officeDocument/2006/relationships/hyperlink" Target="http://www.sec.gov/Archives/edgar/data/1822145/000121390020045520/ea132405ex1-1_ventouxccm.htm" TargetMode="External"/><Relationship Id="rId46" Type="http://schemas.openxmlformats.org/officeDocument/2006/relationships/hyperlink" Target="https://www.sec.gov/Archives/edgar/data/1822145/000121390020045520/ea132405ex3-1_ventouxccm.htm" TargetMode="External"/><Relationship Id="rId47" Type="http://schemas.openxmlformats.org/officeDocument/2006/relationships/hyperlink" Target="http://www.sec.gov/Archives/edgar/data/1822145/000121390020040143/fs12020ex3-5_ventoux.htm" TargetMode="External"/><Relationship Id="rId48" Type="http://schemas.openxmlformats.org/officeDocument/2006/relationships/hyperlink" Target="http://www.sec.gov/Archives/edgar/data/1822145/000121390020042648/fs12020a1ex4-1_ventouxccm.htm" TargetMode="External"/><Relationship Id="rId49" Type="http://schemas.openxmlformats.org/officeDocument/2006/relationships/hyperlink" Target="http://www.sec.gov/Archives/edgar/data/1822145/000121390020042648/fs12020a1ex4-2_ventouxccm.htm" TargetMode="External"/><Relationship Id="rId50" Type="http://schemas.openxmlformats.org/officeDocument/2006/relationships/hyperlink" Target="http://www.sec.gov/Archives/edgar/data/1822145/000121390020042648/fs12020a1ex4-3_ventouxccm.htm" TargetMode="External"/><Relationship Id="rId51" Type="http://schemas.openxmlformats.org/officeDocument/2006/relationships/hyperlink" Target="http://www.sec.gov/Archives/edgar/data/1822145/000121390020045520/ea132405ex4-1_ventouxccm.htm" TargetMode="External"/><Relationship Id="rId52" Type="http://schemas.openxmlformats.org/officeDocument/2006/relationships/hyperlink" Target="http://www.sec.gov/Archives/edgar/data/1822145/000121390020045520/ea132405ex4-2_ventouxccm.htm" TargetMode="External"/><Relationship Id="rId53" Type="http://schemas.openxmlformats.org/officeDocument/2006/relationships/hyperlink" Target="http://www.sec.gov/Archives/edgar/data/1822145/000121390021018748/f10k2020ex4-6_ventoux.htm" TargetMode="External"/><Relationship Id="rId54" Type="http://schemas.openxmlformats.org/officeDocument/2006/relationships/hyperlink" Target="http://www.sec.gov/Archives/edgar/data/1822145/000121390020045520/ea132405ex10-1_ventouxccm.htm" TargetMode="External"/><Relationship Id="rId55" Type="http://schemas.openxmlformats.org/officeDocument/2006/relationships/hyperlink" Target="http://www.sec.gov/Archives/edgar/data/1822145/000121390020045520/ea132405ex10-2_ventouxccm.htm" TargetMode="External"/><Relationship Id="rId56" Type="http://schemas.openxmlformats.org/officeDocument/2006/relationships/hyperlink" Target="http://www.sec.gov/Archives/edgar/data/1822145/000121390020045520/ea132405ex10-3_ventouxccm.htm" TargetMode="External"/><Relationship Id="rId57" Type="http://schemas.openxmlformats.org/officeDocument/2006/relationships/hyperlink" Target="http://www.sec.gov/Archives/edgar/data/1822145/000121390020045520/ea132405ex10-4_ventouxccm.htm" TargetMode="External"/><Relationship Id="rId58" Type="http://schemas.openxmlformats.org/officeDocument/2006/relationships/hyperlink" Target="http://www.sec.gov/Archives/edgar/data/1822145/000121390020045520/ea132405ex10-5_ventouxccm.htm" TargetMode="External"/><Relationship Id="rId59" Type="http://schemas.openxmlformats.org/officeDocument/2006/relationships/hyperlink" Target="http://www.sec.gov/Archives/edgar/data/1822145/000121390020045520/ea132405ex10-6_ventouxccm.htm" TargetMode="External"/><Relationship Id="rId60" Type="http://schemas.openxmlformats.org/officeDocument/2006/relationships/hyperlink" Target="http://www.sec.gov/Archives/edgar/data/1822145/000121390020045520/ea132405ex10-7_ventouxccm.htm" TargetMode="External"/><Relationship Id="rId61" Type="http://schemas.openxmlformats.org/officeDocument/2006/relationships/hyperlink" Target="http://www.sec.gov/Archives/edgar/data/1822145/000121390020045520/ea132405ex10-8_ventouxccm.htm" TargetMode="External"/><Relationship Id="rId62" Type="http://schemas.openxmlformats.org/officeDocument/2006/relationships/hyperlink" Target="http://www.sec.gov/Archives/edgar/data/1822145/000121390020045520/ea132405ex10-9_ventouxccm.htm" TargetMode="External"/><Relationship Id="rId63" Type="http://schemas.openxmlformats.org/officeDocument/2006/relationships/hyperlink" Target="http://www.sec.gov/Archives/edgar/data/1822145/000121390020042648/fs12020a1ex14-1_ventouxccm.htm" TargetMode="External"/><Relationship Id="rId64" Type="http://schemas.openxmlformats.org/officeDocument/2006/relationships/hyperlink" Target="http://www.sec.gov/Archives/edgar/data/1822145/000121390020042648/fs12020a1ex99-1_ventouxccm.htm" TargetMode="External"/><Relationship Id="rId65" Type="http://schemas.openxmlformats.org/officeDocument/2006/relationships/hyperlink" Target="http://www.sec.gov/Archives/edgar/data/1822145/000121390020042648/fs12020a1ex99-2_ventouxccm.htm" TargetMode="External"/><Relationship Id="rId66" Type="http://schemas.openxmlformats.org/officeDocument/2006/relationships/hyperlink" Target="http://www.sec.gov/Archives/edgar/data/1822145/000121390020042648/fs12020a1ex99-3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2021-12-03T16:34:40Z</dcterms:created>
  <dcterms:modified xsi:type="dcterms:W3CDTF">2021-12-03T16:34:40Z</dcterms:modified>
</cp:coreProperties>
</file>