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6736d2_s8.htm"/>
      <w:bookmarkStart w:id="1" w:name="kstm246736d2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Securities and Exchange Commission on February 20, 2024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S-8</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84-2968594</w:t>
            </w:r>
          </w:p>
        </w:tc>
      </w:tr>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985 Industrial Road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Carlos, CA 94070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Amended and Restated Presto Automation Inc. 2022 Incentive Award Plan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Susan Shinoff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Counsel &amp; Corporate Secretary</w:t>
        <w:br/>
      </w:r>
      <w:r>
        <w:rPr>
          <w:rFonts w:ascii="Times New Roman;Times;Serif" w:hAnsi="Times New Roman;Times;Serif"/>
          <w:b/>
          <w:i w:val="false"/>
          <w:caps w:val="false"/>
          <w:smallCaps w:val="false"/>
          <w:sz w:val="20"/>
          <w:shd w:fill="FFFFFF" w:val="clear"/>
        </w:rPr>
        <w:t>Presto Automation Inc.</w:t>
        <w:br/>
        <w:t>985 Industrial Road</w:t>
        <w:br/>
        <w:t>San Carlos, CA 94070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(650) 817-9012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Colin Diamond</w:t>
        <w:br/>
        <w:t>Will Burns</w:t>
        <w:br/>
        <w:t>Paul Hastings LLP</w:t>
        <w:br/>
        <w:t>200 Park Avenue</w:t>
        <w:br/>
        <w:t xml:space="preserve">New York, New York 10166 </w:t>
        <w:br/>
        <w:t>(212) 318-6000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is filed by Presto Automation Inc. (the “Company”) for the purpose of registering additional shares of common stock, par value $0.0001 per share, of the Company (the “Common Stock”) to be issued under the Company’s Amended and Restated 2022 Incentive Award Plan (the “A&amp;R 2022 Incentive Plan”). The A&amp;R 2022 Incentive Plan became effective following the receipt of stockholder approval at the Company’s 2023 Annual Meeting of Stockholders held on December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2022 Incentive Plan amends and restates the Company’s 2022 Incentive Award Plan (the “2022 Incentive Plan”) in order to, among other things, (a) increase the shares of Common Stock of the Company reserved for issuance under the 2022 Incentive Plan by an additional 2,000,000 shares and (b) modify the current evergreen provision such that the number of shares reserved and available for issuance under the 2022 Incentive Plan will be cumulatively increased as of July 1, 2024 and every July 1 thereafter (as opposed to January 1 as currently provided in order to align the evergreen with the Company’s fiscal year), ending on and including July 1, 2033,</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by the lesser of (i) five percent (5%) (as opposed to one percent (1%) as currently provided) of the number of shares issued and outstanding on the immediately preceding June 30 or (ii) such smaller number of shares as determined by the Company’s Board of Directors or the Compensation Committee of the Board of Directors. This Registration Statement registers the additional 2,000,000 shares of Common Stock available for issuance under the A&amp;R 2022 Incentive Plan as a result of the increase adopted by our Board of Directors and approved by our stockholders, and an additional 984,302 shares of Common Stock that were previously granted as restricted stock units under the 2022 Incentive Plan and subsequently forfeited, cancelled, or otherwise terminated and returned to the plan without the delivery of any shares of Common Stock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Pursuant to Instruction E of Form S-8, the contents of the Company’s prior registration statements on Form S-8 registering shares of the Common Stock under the 2022 Incentive Plan (File Nos. </w:t>
      </w:r>
      <w:hyperlink r:id="rId2">
        <w:r>
          <w:rPr>
            <w:rStyle w:val="InternetLink"/>
            <w:rFonts w:ascii="Times New Roman;Times;Serif" w:hAnsi="Times New Roman;Times;Serif"/>
            <w:b w:val="false"/>
            <w:i w:val="false"/>
            <w:caps w:val="false"/>
            <w:smallCaps w:val="false"/>
            <w:sz w:val="20"/>
          </w:rPr>
          <w:t>333-268846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333-275107</w:t>
        </w:r>
      </w:hyperlink>
      <w:r>
        <w:rPr>
          <w:rFonts w:ascii="Times New Roman;Times;Serif" w:hAnsi="Times New Roman;Times;Serif"/>
          <w:b w:val="false"/>
          <w:i w:val="false"/>
          <w:caps w:val="false"/>
          <w:smallCaps w:val="false"/>
          <w:sz w:val="20"/>
        </w:rPr>
        <w:t>) are hereby incorporated by reference herein, and the information required by Part II of Form S-8 is omitted, except as supplemented by the information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permitted by Rule 428 under the Securities Act of 1933, as amended (the “Securities Act”), this Registration Statement omits the information specified in Part I of Form S-8. The documents containing the information specified in this Part I of Form S-8 (“Plan Information” and “Registrant Information and Employee Plan Annual Information”) will be sent or given to employees as specified by the Securities and Exchange Commission (the “SEC”) pursuant to Rule 428(b)(1) under the Securities Act. Such documents are not required to be and are not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under the Securities Act, and will include the address and telephone number to which the request is to be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incorporates by reference in this Registration Statement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 xml:space="preserve">the </w:t>
            </w:r>
            <w:hyperlink r:id="rId4">
              <w:r>
                <w:rPr>
                  <w:rStyle w:val="InternetLink"/>
                </w:rPr>
                <w:t>Annual Report on Form 10-K for the year ended June 30, 2023, filed by the Company with the SEC on October 11, 2023</w:t>
              </w:r>
            </w:hyperlink>
            <w:r>
              <w:rPr/>
              <w:t xml:space="preserve">, as amended by </w:t>
            </w:r>
            <w:hyperlink r:id="rId5">
              <w:r>
                <w:rPr>
                  <w:rStyle w:val="InternetLink"/>
                </w:rPr>
                <w:t>Amendment No. 1 to the Annual Report on Form 10-K/A, filed by the Company with the SEC on October 12, 2023</w:t>
              </w:r>
            </w:hyperlink>
            <w:r>
              <w:rPr/>
              <w:t xml:space="preserve"> (the “2023 Annual Report”), including the portions of the Company’s </w:t>
            </w:r>
            <w:hyperlink r:id="rId6">
              <w:r>
                <w:rPr>
                  <w:rStyle w:val="InternetLink"/>
                </w:rPr>
                <w:t>Definitive Proxy Statement on Schedule 14A filed on October 27, 2023</w:t>
              </w:r>
            </w:hyperlink>
            <w:r>
              <w:rPr/>
              <w:t>, that are incorporated by reference in the 2023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hyperlink r:id="rId7">
              <w:r>
                <w:rPr>
                  <w:rStyle w:val="InternetLink"/>
                </w:rPr>
                <w:t>the Quarterly Report on Form 10-Q for the quarter ended September 30, 2023, filed by the Company with the SEC on November 20,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Quarterly Report on Form 10-Q for the quarter ended December 31, 2023, filed by the Company with the SEC on February 20,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 xml:space="preserve">the Current Reports on Form 8-K filed with the SEC on </w:t>
            </w:r>
            <w:hyperlink r:id="rId8">
              <w:r>
                <w:rPr>
                  <w:rStyle w:val="InternetLink"/>
                </w:rPr>
                <w:t>August 2, 2023</w:t>
              </w:r>
            </w:hyperlink>
            <w:r>
              <w:rPr/>
              <w:t xml:space="preserve">, </w:t>
            </w:r>
            <w:hyperlink r:id="rId9">
              <w:r>
                <w:rPr>
                  <w:rStyle w:val="InternetLink"/>
                </w:rPr>
                <w:t>August 31, 2023</w:t>
              </w:r>
            </w:hyperlink>
            <w:r>
              <w:rPr/>
              <w:t xml:space="preserve">, </w:t>
            </w:r>
            <w:hyperlink r:id="rId10">
              <w:r>
                <w:rPr>
                  <w:rStyle w:val="InternetLink"/>
                </w:rPr>
                <w:t>October 11, 2023</w:t>
              </w:r>
            </w:hyperlink>
            <w:r>
              <w:rPr/>
              <w:t xml:space="preserve"> (excluding Item 2.02 and the exhibits furnished under Item 9.01 therein), </w:t>
            </w:r>
            <w:hyperlink r:id="rId11">
              <w:r>
                <w:rPr>
                  <w:rStyle w:val="InternetLink"/>
                </w:rPr>
                <w:t>October 20, 2023</w:t>
              </w:r>
            </w:hyperlink>
            <w:r>
              <w:rPr/>
              <w:t xml:space="preserve">, </w:t>
            </w:r>
            <w:hyperlink r:id="rId12">
              <w:r>
                <w:rPr>
                  <w:rStyle w:val="InternetLink"/>
                </w:rPr>
                <w:t>November 21, 2023,</w:t>
              </w:r>
            </w:hyperlink>
            <w:r>
              <w:rPr/>
              <w:t xml:space="preserve"> </w:t>
            </w:r>
            <w:hyperlink r:id="rId13">
              <w:r>
                <w:rPr>
                  <w:rStyle w:val="InternetLink"/>
                </w:rPr>
                <w:t>December 5, 2023</w:t>
              </w:r>
            </w:hyperlink>
            <w:r>
              <w:rPr/>
              <w:t xml:space="preserve">, </w:t>
            </w:r>
            <w:hyperlink r:id="rId14">
              <w:r>
                <w:rPr>
                  <w:rStyle w:val="InternetLink"/>
                </w:rPr>
                <w:t>December 12, 2023</w:t>
              </w:r>
            </w:hyperlink>
            <w:r>
              <w:rPr/>
              <w:t xml:space="preserve">, </w:t>
            </w:r>
            <w:hyperlink r:id="rId15">
              <w:r>
                <w:rPr>
                  <w:rStyle w:val="InternetLink"/>
                </w:rPr>
                <w:t>December 14, 2023</w:t>
              </w:r>
            </w:hyperlink>
            <w:r>
              <w:rPr/>
              <w:t xml:space="preserve">, (excluding Item 7.01 and the exhibits furnished under Item 9.01 therein), </w:t>
            </w:r>
            <w:hyperlink r:id="rId16">
              <w:r>
                <w:rPr>
                  <w:rStyle w:val="InternetLink"/>
                </w:rPr>
                <w:t>December 22, 2023</w:t>
              </w:r>
            </w:hyperlink>
            <w:r>
              <w:rPr/>
              <w:t xml:space="preserve">, </w:t>
            </w:r>
            <w:hyperlink r:id="rId17">
              <w:r>
                <w:rPr>
                  <w:rStyle w:val="InternetLink"/>
                </w:rPr>
                <w:t>January 4, 2024</w:t>
              </w:r>
            </w:hyperlink>
            <w:r>
              <w:rPr/>
              <w:t xml:space="preserve">, </w:t>
            </w:r>
            <w:hyperlink r:id="rId18">
              <w:r>
                <w:rPr>
                  <w:rStyle w:val="InternetLink"/>
                </w:rPr>
                <w:t>January 22, 2024</w:t>
              </w:r>
            </w:hyperlink>
            <w:r>
              <w:rPr/>
              <w:t xml:space="preserve">, </w:t>
            </w:r>
            <w:hyperlink r:id="rId19">
              <w:r>
                <w:rPr>
                  <w:rStyle w:val="InternetLink"/>
                </w:rPr>
                <w:t>February 1, 2024</w:t>
              </w:r>
            </w:hyperlink>
            <w:r>
              <w:rPr/>
              <w:t xml:space="preserve">, </w:t>
            </w:r>
            <w:hyperlink r:id="rId20">
              <w:r>
                <w:rPr>
                  <w:rStyle w:val="InternetLink"/>
                </w:rPr>
                <w:t>February 2, 2024</w:t>
              </w:r>
            </w:hyperlink>
            <w:r>
              <w:rPr/>
              <w:t xml:space="preserve"> (and the subsequent Form 8-K/A filed on </w:t>
            </w:r>
            <w:hyperlink r:id="rId21">
              <w:r>
                <w:rPr>
                  <w:rStyle w:val="InternetLink"/>
                </w:rPr>
                <w:t>February 20, 2024</w:t>
              </w:r>
            </w:hyperlink>
            <w:r>
              <w:rPr/>
              <w:t xml:space="preserve">) and </w:t>
            </w:r>
            <w:hyperlink r:id="rId22">
              <w:r>
                <w:rPr>
                  <w:rStyle w:val="InternetLink"/>
                </w:rPr>
                <w:t>February 8, 2024</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 xml:space="preserve">the description of the Company’s Common Stock contained in </w:t>
            </w:r>
            <w:hyperlink r:id="rId23">
              <w:r>
                <w:rPr>
                  <w:rStyle w:val="InternetLink"/>
                </w:rPr>
                <w:t>Exhibit 4.1</w:t>
              </w:r>
            </w:hyperlink>
            <w:r>
              <w:rPr/>
              <w:t xml:space="preserve"> to the Company’s 2023 Annual Report, including any amendment or report filed to update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to the corporation or its stockholders 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r>
      <w:tr>
        <w:trPr/>
        <w:tc>
          <w:tcPr>
            <w:tcW w:w="725"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Second Amended &amp; Restated Certificate of Incorporation (incorporated by reference to Exhibit 3.1 to the Company’s Current Report on Form 8-K filed on September 27, 2022)</w:t>
              </w:r>
            </w:hyperlink>
            <w:r>
              <w:rPr>
                <w:rFonts w:ascii="Times New Roman;Times;Serif" w:hAnsi="Times New Roman;Times;Serif"/>
                <w:sz w:val="20"/>
              </w:rPr>
              <w: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Bylaws of Presto Automation Inc. (incorporated by reference to Exhibit 3.2 to the Current Report on Form 8-K filed on September 27, 2022)</w:t>
              </w:r>
            </w:hyperlink>
            <w:r>
              <w:rPr>
                <w:rFonts w:ascii="Times New Roman;Times;Serif" w:hAnsi="Times New Roman;Times;Serif"/>
                <w:sz w:val="20"/>
              </w:rPr>
              <w: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46736d2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46736d2_ex5-1.htm">
              <w:r>
                <w:rPr>
                  <w:rStyle w:val="InternetLink"/>
                  <w:rFonts w:ascii="Times New Roman;Times;Serif" w:hAnsi="Times New Roman;Times;Serif"/>
                  <w:sz w:val="20"/>
                </w:rPr>
                <w:t xml:space="preserve">Opinion of Paul Hastings LLP with respect to the legality of the Common Stock being registered. </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46736d2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46736d2_ex23-1.htm">
              <w:r>
                <w:rPr>
                  <w:rStyle w:val="InternetLink"/>
                  <w:rFonts w:ascii="Times New Roman;Times;Serif" w:hAnsi="Times New Roman;Times;Serif"/>
                  <w:sz w:val="20"/>
                </w:rPr>
                <w:t xml:space="preserve">Consent of Moss Adams LLP. </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46736d2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46736d2_ex5-1.htm">
              <w:r>
                <w:rPr>
                  <w:rStyle w:val="InternetLink"/>
                  <w:rFonts w:ascii="Times New Roman;Times;Serif" w:hAnsi="Times New Roman;Times;Serif"/>
                  <w:sz w:val="20"/>
                </w:rPr>
                <w:t xml:space="preserve">Consent of Paul Hastings LLP (included in Exhibit 5.1 to this Registration Statement). </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sz w:val="20"/>
                </w:rPr>
                <w:t>Power of Attorney of certain officers and directors (included on the signature page to this Registration Statement).</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Amended and Restate Presto Automation Inc. 2022 Incentive Award Plan (incorporated by reference to Exhibit 10.1 to the Current Report on Form 8-K filed on December 12, 2023)</w:t>
              </w:r>
            </w:hyperlink>
            <w:r>
              <w:rPr>
                <w:rFonts w:ascii="Times New Roman;Times;Serif" w:hAnsi="Times New Roman;Times;Serif"/>
                <w:sz w:val="20"/>
              </w:rPr>
              <w: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left"/>
              <w:rPr/>
            </w:pPr>
            <w:hyperlink w:anchor="tm246736d2_exfil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46736d2_exfillingfees.htm">
              <w:r>
                <w:rPr>
                  <w:rStyle w:val="InternetLink"/>
                  <w:rFonts w:ascii="Times New Roman;Times;Serif" w:hAnsi="Times New Roman;Times;Serif"/>
                  <w:sz w:val="20"/>
                </w:rPr>
                <w:t xml:space="preserve">Filing Fee Table. </w:t>
              </w:r>
            </w:hyperlink>
          </w:p>
        </w:tc>
      </w:tr>
      <w:tr>
        <w:trPr/>
        <w:tc>
          <w:tcPr>
            <w:tcW w:w="10205" w:type="dxa"/>
            <w:gridSpan w:val="3"/>
            <w:tcBorders/>
            <w:tcMar>
              <w:bottom w:w="0" w:type="dxa"/>
            </w:tcMar>
            <w:vAlign w:val="center"/>
          </w:tcPr>
          <w:p>
            <w:pPr>
              <w:pStyle w:val="TableContents"/>
              <w:bidi w:val="0"/>
              <w:spacing w:before="0" w:after="283"/>
              <w:jc w:val="left"/>
              <w:rPr/>
            </w:pPr>
            <w:r>
              <w:rPr/>
              <w:t> </w:t>
            </w:r>
          </w:p>
        </w:tc>
      </w:tr>
      <w:tr>
        <w:trPr/>
        <w:tc>
          <w:tcPr>
            <w:tcW w:w="10205" w:type="dxa"/>
            <w:gridSpan w:val="3"/>
            <w:tcBorders/>
            <w:tcMar>
              <w:bottom w:w="0" w:type="dxa"/>
            </w:tcMar>
            <w:vAlign w:val="center"/>
          </w:tcPr>
          <w:p>
            <w:pPr>
              <w:pStyle w:val="TableContents"/>
              <w:bidi w:val="0"/>
              <w:spacing w:before="0" w:after="0"/>
              <w:ind w:left="20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ableContents"/>
              <w:bidi w:val="0"/>
              <w:spacing w:before="0" w:after="0"/>
              <w:ind w:left="20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95"/>
        <w:gridCol w:w="9528"/>
      </w:tblGrid>
      <w:tr>
        <w:trPr/>
        <w:tc>
          <w:tcPr>
            <w:tcW w:w="8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(a)</w:t>
            </w:r>
          </w:p>
        </w:tc>
        <w:tc>
          <w:tcPr>
            <w:tcW w:w="9528" w:type="dxa"/>
            <w:tcBorders/>
            <w:vAlign w:val="center"/>
          </w:tcPr>
          <w:p>
            <w:pPr>
              <w:pStyle w:val="TableContents"/>
              <w:bidi w:val="0"/>
              <w:spacing w:before="0" w:after="283"/>
              <w:jc w:val="left"/>
              <w:rPr/>
            </w:pPr>
            <w:r>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84"/>
        <w:gridCol w:w="9875"/>
      </w:tblGrid>
      <w:tr>
        <w:trPr/>
        <w:tc>
          <w:tcPr>
            <w:tcW w:w="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w:t>
            </w:r>
          </w:p>
        </w:tc>
        <w:tc>
          <w:tcPr>
            <w:tcW w:w="9875" w:type="dxa"/>
            <w:tcBorders/>
            <w:vAlign w:val="center"/>
          </w:tcPr>
          <w:p>
            <w:pPr>
              <w:pStyle w:val="TableContents"/>
              <w:bidi w:val="0"/>
              <w:spacing w:before="0" w:after="283"/>
              <w:jc w:val="left"/>
              <w:rPr/>
            </w:pPr>
            <w:r>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this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i/>
              </w:rPr>
              <w:t>bona fide</w:t>
            </w:r>
            <w:r>
              <w:rPr/>
              <w:t>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The undersigned registrant hereby undertakes that, for purposes of determining any liability under the Securities Act of 1933, each filing of the registrant’s annual report pursuant to Section 13(a) or Section 15(d) of the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Carlos, State of California on the 20th day of February, 2024.</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545"/>
        <w:gridCol w:w="2585"/>
      </w:tblGrid>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PRESTO AUTOMATION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8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Guillaume Lefevre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of the undersigned constitutes and appoints each of Susan Shinoff and Stanley Mbugua, each acting alone, their true and lawful attorneys-in-fact and agents, with full power of substitution and resubstitution, for such person and in their name, place and stead, in any and all capacities, to sign this Registration Statement on Form S-8 and all post-effective amendments thereto, of Presto Automation Inc.,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2000"/>
        <w:gridCol w:w="60"/>
        <w:gridCol w:w="5180"/>
        <w:gridCol w:w="60"/>
        <w:gridCol w:w="1520"/>
      </w:tblGrid>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pPr>
            <w:r>
              <w:rPr/>
              <w:t> </w:t>
            </w:r>
          </w:p>
        </w:tc>
        <w:tc>
          <w:tcPr>
            <w:tcW w:w="518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Guillaume Lefevre</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Interim Chief Executive Officer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Guillaume Lefevre</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Stanley Mbugua</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Interim Chief Financial Officer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Stanley Mbugua</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Krishna Gupta</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Krishna Gupta</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Tewfik Cassis</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Tewfik Cassis</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Keith Kravcik</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Keith Kravcik</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Matthew MacDonald</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Matthew MacDonald</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Scheetz</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Edward Scheetz</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Gail Zauder</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2024</w:t>
            </w:r>
          </w:p>
        </w:tc>
      </w:tr>
      <w:tr>
        <w:trPr/>
        <w:tc>
          <w:tcPr>
            <w:tcW w:w="20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Gail Zauder</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II-5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3" w:name="tm246736d2_ex5-1.htm"/>
      <w:bookmarkStart w:id="4" w:name="kstm246736d2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1717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2171700" cy="7334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115"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S-8</w:t>
      </w:r>
    </w:p>
    <w:p>
      <w:pPr>
        <w:pStyle w:val="TextBody"/>
        <w:bidi w:val="0"/>
        <w:spacing w:before="0" w:after="0"/>
        <w:ind w:left="720" w:right="115"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Presto Automation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of the registration statement on Form S-8 to be filed by the Company with the U.S.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or about the date hereof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to effect registration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an aggregate of 2,984,302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$0.0001 par value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reserved for issuance under the Company’s Amended and Restated 2022 Incentive Award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comprised of: (i) 2,000,000 shares of Common Stock as a result of an increase adopted by the Company’s board of directors and approved by the Company’s stockholders and (ii) 984,302 shares of Common Stock that were previously granted as restricted stock units under the Company’s 2022 Incentive Award Plan and subsequently forfeited, cancelled, or otherwise terminated and returned to the plan without the delivery of any shares of Common Stock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827"/>
        <w:gridCol w:w="9242"/>
      </w:tblGrid>
      <w:tr>
        <w:trPr/>
        <w:tc>
          <w:tcPr>
            <w:tcW w:w="13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pPr>
            <w:r>
              <w:rPr/>
              <w:t>(i)</w:t>
            </w:r>
          </w:p>
        </w:tc>
        <w:tc>
          <w:tcPr>
            <w:tcW w:w="9242" w:type="dxa"/>
            <w:tcBorders/>
            <w:vAlign w:val="center"/>
          </w:tcPr>
          <w:p>
            <w:pPr>
              <w:pStyle w:val="TableContents"/>
              <w:bidi w:val="0"/>
              <w:spacing w:before="0" w:after="283"/>
              <w:jc w:val="left"/>
              <w:rPr/>
            </w:pPr>
            <w:r>
              <w:rPr/>
              <w:t>the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left"/>
              <w:rPr/>
            </w:pPr>
            <w:r>
              <w:rPr/>
              <w:t>the Second Amended and Restated Certificate of Incorporation of the Company (the “</w:t>
            </w:r>
            <w:r>
              <w:rPr>
                <w:b/>
                <w:i/>
              </w:rPr>
              <w:t>Certificate of Incorporation</w:t>
            </w:r>
            <w:r>
              <w:rPr/>
              <w:t>”), as certified as of February 20, 2024 by the Office of the Secretary of State of the State of Delaware;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(iii)</w:t>
            </w:r>
          </w:p>
        </w:tc>
        <w:tc>
          <w:tcPr>
            <w:tcW w:w="9839" w:type="dxa"/>
            <w:tcBorders/>
            <w:vAlign w:val="center"/>
          </w:tcPr>
          <w:p>
            <w:pPr>
              <w:pStyle w:val="TableContents"/>
              <w:bidi w:val="0"/>
              <w:spacing w:before="0" w:after="283"/>
              <w:jc w:val="left"/>
              <w:rPr/>
            </w:pPr>
            <w:r>
              <w:rPr/>
              <w:t>the Amended and Restated Bylaws of the Company as presently in effect, as certified by an officer of the Company on February 20,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2862"/>
        <w:gridCol w:w="7033"/>
      </w:tblGrid>
      <w:tr>
        <w:trPr/>
        <w:tc>
          <w:tcPr>
            <w:tcW w:w="31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pPr>
            <w:r>
              <w:rPr/>
              <w:t>(iv)</w:t>
            </w:r>
          </w:p>
        </w:tc>
        <w:tc>
          <w:tcPr>
            <w:tcW w:w="7033" w:type="dxa"/>
            <w:tcBorders/>
            <w:vAlign w:val="center"/>
          </w:tcPr>
          <w:p>
            <w:pPr>
              <w:pStyle w:val="TableContents"/>
              <w:bidi w:val="0"/>
              <w:spacing w:before="0" w:after="283"/>
              <w:jc w:val="left"/>
              <w:rPr/>
            </w:pPr>
            <w:r>
              <w:rPr/>
              <w:t>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(v)</w:t>
            </w:r>
          </w:p>
        </w:tc>
        <w:tc>
          <w:tcPr>
            <w:tcW w:w="9922" w:type="dxa"/>
            <w:tcBorders/>
            <w:vAlign w:val="center"/>
          </w:tcPr>
          <w:p>
            <w:pPr>
              <w:pStyle w:val="TableContents"/>
              <w:bidi w:val="0"/>
              <w:spacing w:before="0" w:after="283"/>
              <w:jc w:val="left"/>
              <w:rPr/>
            </w:pPr>
            <w:r>
              <w:rPr/>
              <w:t>a certificate, dated as of February 20, 2024, from the Office of the Secretary of State of the State of Delaware, certifying as to the existence and good standing of the Company in the State of Delaware (the “</w:t>
            </w:r>
            <w:r>
              <w:rPr>
                <w:b/>
                <w:i/>
              </w:rPr>
              <w:t>Good Standing Certificate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(vi)</w:t>
            </w:r>
          </w:p>
        </w:tc>
        <w:tc>
          <w:tcPr>
            <w:tcW w:w="9854" w:type="dxa"/>
            <w:tcBorders/>
            <w:vAlign w:val="center"/>
          </w:tcPr>
          <w:p>
            <w:pPr>
              <w:pStyle w:val="TableContents"/>
              <w:bidi w:val="0"/>
              <w:spacing w:before="0" w:after="283"/>
              <w:jc w:val="left"/>
              <w:rPr/>
            </w:pPr>
            <w:r>
              <w:rPr/>
              <w:t>the resolutions adopted by the board of directors of the Company regarding the Plan, and other matters related thereto, as certified by an officer of the Company on February 20, 2024;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39814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3981450" cy="3619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638300"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638300" cy="6286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6"/>
        <w:gridCol w:w="9792"/>
      </w:tblGrid>
      <w:tr>
        <w:trPr/>
        <w:tc>
          <w:tcPr>
            <w:tcW w:w="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(vii)</w:t>
            </w:r>
          </w:p>
        </w:tc>
        <w:tc>
          <w:tcPr>
            <w:tcW w:w="9792" w:type="dxa"/>
            <w:tcBorders/>
            <w:vAlign w:val="center"/>
          </w:tcPr>
          <w:p>
            <w:pPr>
              <w:pStyle w:val="TableContents"/>
              <w:bidi w:val="0"/>
              <w:spacing w:before="0" w:after="283"/>
              <w:jc w:val="left"/>
              <w:rPr/>
            </w:pPr>
            <w:r>
              <w:rPr/>
              <w:t>the minutes of the meeting of stockholders of the Company regarding the Plan, and other matters related thereto, as certified by an officer of the Company on February 20,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we have made such investigations of law as we have deemed necessary or appropriate as a basis for the opinion set forth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individuals executing all agreements, instruments, corporate records, certificates and other documents;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We have also assumed that the individual issuances, grants, awards or grants of purchase rights under the Plan will be duly authorized by all necessary corporate action of the Company and duly issued, granted or awarded and exercised in accordance with the requirements of law, the Plan and the agreements, forms of instrument, awards and grants duly adopted thereunder. We have also assumed that upon the issuance of any Shares, the total number of shares of Common Stock issued and outstanding will not exceed the total number of shares of Common Stock that the Company is then authorized to issue under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assumptions, limitations, qualifications and exceptions set forth herein, we are of the opinion that the Shares are duly authorized and, when issued and sold as described in the Registration Statement and in accordance with the Plan and the applicable award agreements or forms of instrument evidencing purchase rights thereunder (including the receipt by the Company of the full consideration therefor),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any of the other assumptions, limitations, qualifications and exceptions stated elsewhere herein, we express no opinion with regard to the applicability or effect of the laws of any jurisdiction other than the General Corporation Law of the State of Delaware, as in effect on the date of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2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638300" cy="628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solely in connection with the preparation and filing of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Hastings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5" w:name="tm246736d2_ex23-1.htm"/>
      <w:bookmarkStart w:id="6" w:name="kstm246736d2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Presto Automation Inc., of our report dated October 10, 2023, relating to the consolidated financial statements of Presto Automation Inc. (the “Company”) (which report expresses an unqualified opinion and includes explanatory paragraphs relating to a going concern uncertainty and the adoption of a new accounting standard), appearing in the Annual Report on Form 10-K of the Company for the year  ended June 30,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Moss Adams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Campbell,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7" w:name="tm246736d2_exfillingfees.htm"/>
      <w:bookmarkStart w:id="8" w:name="kstm246736d2_exfillingfees"/>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Form S-8</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Presto Automation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 Newly Registered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20"/>
        <w:gridCol w:w="60"/>
        <w:gridCol w:w="1423"/>
        <w:gridCol w:w="60"/>
        <w:gridCol w:w="1010"/>
        <w:gridCol w:w="185"/>
        <w:gridCol w:w="80"/>
        <w:gridCol w:w="60"/>
        <w:gridCol w:w="68"/>
        <w:gridCol w:w="980"/>
        <w:gridCol w:w="210"/>
        <w:gridCol w:w="60"/>
        <w:gridCol w:w="224"/>
        <w:gridCol w:w="681"/>
        <w:gridCol w:w="60"/>
        <w:gridCol w:w="60"/>
        <w:gridCol w:w="132"/>
        <w:gridCol w:w="1009"/>
        <w:gridCol w:w="60"/>
        <w:gridCol w:w="60"/>
        <w:gridCol w:w="125"/>
        <w:gridCol w:w="1010"/>
        <w:gridCol w:w="60"/>
        <w:gridCol w:w="60"/>
        <w:gridCol w:w="219"/>
        <w:gridCol w:w="851"/>
        <w:gridCol w:w="78"/>
      </w:tblGrid>
      <w:tr>
        <w:trPr/>
        <w:tc>
          <w:tcPr>
            <w:tcW w:w="132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left"/>
              <w:rPr/>
            </w:pPr>
            <w:r>
              <w:rPr/>
              <w:t> </w:t>
            </w:r>
          </w:p>
        </w:tc>
        <w:tc>
          <w:tcPr>
            <w:tcW w:w="1423" w:type="dxa"/>
            <w:tcBorders>
              <w:bottom w:val="single" w:sz="8" w:space="0" w:color="000000"/>
            </w:tcBorders>
            <w:vAlign w:val="center"/>
          </w:tcPr>
          <w:p>
            <w:pPr>
              <w:pStyle w:val="TableContents"/>
              <w:bidi w:val="0"/>
              <w:spacing w:before="0" w:after="283"/>
              <w:jc w:val="center"/>
              <w:rPr>
                <w:b/>
                <w:sz w:val="20"/>
              </w:rPr>
            </w:pPr>
            <w:r>
              <w:rPr>
                <w:b/>
                <w:sz w:val="20"/>
              </w:rPr>
              <w:t>Security</w:t>
              <w:br/>
              <w:t>Class Title</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b/>
                <w:sz w:val="20"/>
              </w:rPr>
            </w:pPr>
            <w:r>
              <w:rPr>
                <w:b/>
                <w:sz w:val="20"/>
              </w:rPr>
              <w:t>Fee</w:t>
              <w:br/>
              <w:t>Calculation</w:t>
              <w:br/>
              <w:t>Rule</w:t>
            </w:r>
          </w:p>
        </w:tc>
        <w:tc>
          <w:tcPr>
            <w:tcW w:w="1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8" w:type="dxa"/>
            <w:gridSpan w:val="2"/>
            <w:tcBorders>
              <w:bottom w:val="single" w:sz="8" w:space="0" w:color="000000"/>
            </w:tcBorders>
            <w:vAlign w:val="center"/>
          </w:tcPr>
          <w:p>
            <w:pPr>
              <w:pStyle w:val="TableContents"/>
              <w:bidi w:val="0"/>
              <w:spacing w:before="0" w:after="283"/>
              <w:jc w:val="center"/>
              <w:rPr>
                <w:b/>
                <w:sz w:val="20"/>
              </w:rPr>
            </w:pPr>
            <w:r>
              <w:rPr>
                <w:b/>
                <w:sz w:val="20"/>
              </w:rPr>
              <w:t>Amount</w:t>
              <w:br/>
              <w:t>Registered(1)</w:t>
            </w:r>
          </w:p>
        </w:tc>
        <w:tc>
          <w:tcPr>
            <w:tcW w:w="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Proposed</w:t>
              <w:br/>
              <w:t>Maximum</w:t>
              <w:br/>
              <w:t>Offering</w:t>
              <w:br/>
              <w:t>Price per</w:t>
              <w:br/>
              <w:t>Unit(2)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1" w:type="dxa"/>
            <w:gridSpan w:val="2"/>
            <w:tcBorders>
              <w:bottom w:val="single" w:sz="8" w:space="0" w:color="000000"/>
            </w:tcBorders>
            <w:vAlign w:val="center"/>
          </w:tcPr>
          <w:p>
            <w:pPr>
              <w:pStyle w:val="TableContents"/>
              <w:bidi w:val="0"/>
              <w:spacing w:before="0" w:after="283"/>
              <w:jc w:val="center"/>
              <w:rPr>
                <w:b/>
                <w:sz w:val="20"/>
              </w:rPr>
            </w:pPr>
            <w:r>
              <w:rPr>
                <w:b/>
                <w:sz w:val="20"/>
              </w:rPr>
              <w:t>Maximum</w:t>
              <w:br/>
              <w:t>Aggregate</w:t>
              <w:br/>
              <w:t>Offering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5" w:type="dxa"/>
            <w:gridSpan w:val="2"/>
            <w:tcBorders>
              <w:bottom w:val="single" w:sz="8" w:space="0" w:color="000000"/>
            </w:tcBorders>
            <w:vAlign w:val="center"/>
          </w:tcPr>
          <w:p>
            <w:pPr>
              <w:pStyle w:val="TableContents"/>
              <w:bidi w:val="0"/>
              <w:spacing w:before="0" w:after="283"/>
              <w:jc w:val="center"/>
              <w:rPr>
                <w:b/>
                <w:sz w:val="20"/>
              </w:rPr>
            </w:pPr>
            <w:r>
              <w:rPr>
                <w:b/>
                <w:sz w:val="20"/>
              </w:rPr>
              <w:t>Fee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8" w:space="0" w:color="000000"/>
            </w:tcBorders>
            <w:vAlign w:val="center"/>
          </w:tcPr>
          <w:p>
            <w:pPr>
              <w:pStyle w:val="TableContents"/>
              <w:bidi w:val="0"/>
              <w:spacing w:before="0" w:after="283"/>
              <w:jc w:val="center"/>
              <w:rPr>
                <w:b/>
                <w:sz w:val="20"/>
              </w:rPr>
            </w:pPr>
            <w:r>
              <w:rPr>
                <w:b/>
                <w:sz w:val="20"/>
              </w:rPr>
              <w:t>Amount of</w:t>
              <w:br/>
              <w:t>Registration</w:t>
              <w:br/>
              <w:t>Fee</w:t>
            </w:r>
          </w:p>
        </w:tc>
        <w:tc>
          <w:tcPr>
            <w:tcW w:w="78" w:type="dxa"/>
            <w:tcBorders/>
            <w:tcMar>
              <w:bottom w:w="0" w:type="dxa"/>
            </w:tcMar>
            <w:vAlign w:val="center"/>
          </w:tcPr>
          <w:p>
            <w:pPr>
              <w:pStyle w:val="TableContents"/>
              <w:bidi w:val="0"/>
              <w:spacing w:before="0" w:after="283"/>
              <w:jc w:val="left"/>
              <w:rPr/>
            </w:pPr>
            <w:r>
              <w:rPr/>
              <w:t> </w:t>
            </w:r>
          </w:p>
        </w:tc>
      </w:tr>
      <w:tr>
        <w:trPr/>
        <w:tc>
          <w:tcPr>
            <w:tcW w:w="1320" w:type="dxa"/>
            <w:tcBorders/>
            <w:shd w:fill="CCEEFF" w:val="clear"/>
            <w:tcMar>
              <w:bottom w:w="0" w:type="dxa"/>
            </w:tcMar>
            <w:vAlign w:val="center"/>
          </w:tcPr>
          <w:p>
            <w:pPr>
              <w:pStyle w:val="TableContents"/>
              <w:bidi w:val="0"/>
              <w:spacing w:before="0" w:after="283"/>
              <w:jc w:val="left"/>
              <w:rPr>
                <w:sz w:val="20"/>
              </w:rPr>
            </w:pPr>
            <w:r>
              <w:rPr>
                <w:sz w:val="20"/>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left"/>
              <w:rPr>
                <w:sz w:val="20"/>
              </w:rPr>
            </w:pPr>
            <w:r>
              <w:rPr>
                <w:sz w:val="20"/>
              </w:rPr>
              <w:t>Common Stock, par value</w:t>
              <w:br/>
              <w:t>$0.0001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sz w:val="20"/>
              </w:rPr>
            </w:pPr>
            <w:r>
              <w:rPr>
                <w:sz w:val="20"/>
              </w:rPr>
              <w:t>Other</w:t>
            </w:r>
          </w:p>
        </w:tc>
        <w:tc>
          <w:tcPr>
            <w:tcW w:w="185" w:type="dxa"/>
            <w:tcBorders/>
            <w:shd w:fill="CCEEFF" w:val="clear"/>
            <w:tcMar>
              <w:bottom w:w="0" w:type="dxa"/>
            </w:tcMar>
            <w:vAlign w:val="center"/>
          </w:tcPr>
          <w:p>
            <w:pPr>
              <w:pStyle w:val="TableContents"/>
              <w:bidi w:val="0"/>
              <w:spacing w:before="0" w:after="283"/>
              <w:jc w:val="right"/>
              <w:rPr>
                <w:sz w:val="20"/>
              </w:rPr>
            </w:pPr>
            <w:r>
              <w:rPr>
                <w:sz w:val="20"/>
              </w:rPr>
              <w:t>(2</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sz w:val="20"/>
              </w:rPr>
            </w:pPr>
            <w:r>
              <w:rPr>
                <w:sz w:val="20"/>
              </w:rPr>
              <w:t>2,984,302</w:t>
            </w:r>
          </w:p>
        </w:tc>
        <w:tc>
          <w:tcPr>
            <w:tcW w:w="210" w:type="dxa"/>
            <w:tcBorders/>
            <w:shd w:fill="CCEEFF" w:val="clear"/>
            <w:tcMar>
              <w:bottom w:w="0" w:type="dxa"/>
            </w:tcMar>
            <w:vAlign w:val="center"/>
          </w:tcPr>
          <w:p>
            <w:pPr>
              <w:pStyle w:val="TableContents"/>
              <w:bidi w:val="0"/>
              <w:spacing w:before="0" w:after="283"/>
              <w:jc w:val="left"/>
              <w:rPr>
                <w:sz w:val="20"/>
              </w:rPr>
            </w:pPr>
            <w:r>
              <w:rPr>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sz w:val="20"/>
              </w:rPr>
            </w:pPr>
            <w:r>
              <w:rPr>
                <w:sz w:val="20"/>
              </w:rPr>
              <w:t>$</w:t>
            </w:r>
          </w:p>
        </w:tc>
        <w:tc>
          <w:tcPr>
            <w:tcW w:w="681" w:type="dxa"/>
            <w:tcBorders/>
            <w:shd w:fill="CCEEFF" w:val="clear"/>
            <w:tcMar>
              <w:bottom w:w="0" w:type="dxa"/>
            </w:tcMar>
            <w:vAlign w:val="center"/>
          </w:tcPr>
          <w:p>
            <w:pPr>
              <w:pStyle w:val="TableContents"/>
              <w:bidi w:val="0"/>
              <w:spacing w:before="0" w:after="283"/>
              <w:jc w:val="right"/>
              <w:rPr>
                <w:sz w:val="20"/>
              </w:rPr>
            </w:pPr>
            <w:r>
              <w:rPr>
                <w:sz w:val="20"/>
              </w:rPr>
              <w:t>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sz w:val="20"/>
              </w:rPr>
            </w:pPr>
            <w:r>
              <w:rPr>
                <w:sz w:val="20"/>
              </w:rPr>
              <w:t>$</w:t>
            </w:r>
          </w:p>
        </w:tc>
        <w:tc>
          <w:tcPr>
            <w:tcW w:w="1009" w:type="dxa"/>
            <w:tcBorders/>
            <w:shd w:fill="CCEEFF" w:val="clear"/>
            <w:tcMar>
              <w:bottom w:w="0" w:type="dxa"/>
            </w:tcMar>
            <w:vAlign w:val="center"/>
          </w:tcPr>
          <w:p>
            <w:pPr>
              <w:pStyle w:val="TableContents"/>
              <w:bidi w:val="0"/>
              <w:spacing w:before="0" w:after="283"/>
              <w:jc w:val="right"/>
              <w:rPr>
                <w:sz w:val="20"/>
              </w:rPr>
            </w:pPr>
            <w:r>
              <w:rPr>
                <w:sz w:val="20"/>
              </w:rPr>
              <w:t>596,860.40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010" w:type="dxa"/>
            <w:tcBorders/>
            <w:shd w:fill="CCEEFF" w:val="clear"/>
            <w:tcMar>
              <w:bottom w:w="0" w:type="dxa"/>
            </w:tcMar>
            <w:vAlign w:val="center"/>
          </w:tcPr>
          <w:p>
            <w:pPr>
              <w:pStyle w:val="TableContents"/>
              <w:bidi w:val="0"/>
              <w:spacing w:before="0" w:after="283"/>
              <w:jc w:val="right"/>
              <w:rPr>
                <w:sz w:val="20"/>
              </w:rPr>
            </w:pPr>
            <w:r>
              <w:rPr>
                <w:sz w:val="20"/>
              </w:rPr>
              <w:t>0.00014760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sz w:val="20"/>
              </w:rPr>
            </w:pPr>
            <w:r>
              <w:rPr>
                <w:sz w:val="20"/>
              </w:rPr>
              <w:t>$</w:t>
            </w:r>
          </w:p>
        </w:tc>
        <w:tc>
          <w:tcPr>
            <w:tcW w:w="851" w:type="dxa"/>
            <w:tcBorders/>
            <w:shd w:fill="CCEEFF" w:val="clear"/>
            <w:tcMar>
              <w:bottom w:w="0" w:type="dxa"/>
            </w:tcMar>
            <w:vAlign w:val="center"/>
          </w:tcPr>
          <w:p>
            <w:pPr>
              <w:pStyle w:val="TableContents"/>
              <w:bidi w:val="0"/>
              <w:spacing w:before="0" w:after="283"/>
              <w:jc w:val="right"/>
              <w:rPr>
                <w:sz w:val="20"/>
              </w:rPr>
            </w:pPr>
            <w:r>
              <w:rPr>
                <w:sz w:val="20"/>
              </w:rPr>
              <w:t>88.10</w:t>
            </w:r>
          </w:p>
        </w:tc>
        <w:tc>
          <w:tcPr>
            <w:tcW w:w="78"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320" w:type="dxa"/>
            <w:tcBorders/>
            <w:shd w:fill="FFFFFF" w:val="clear"/>
            <w:tcMar>
              <w:bottom w:w="0" w:type="dxa"/>
            </w:tcMar>
            <w:vAlign w:val="center"/>
          </w:tcPr>
          <w:p>
            <w:pPr>
              <w:pStyle w:val="TableContents"/>
              <w:bidi w:val="0"/>
              <w:spacing w:before="0" w:after="283"/>
              <w:jc w:val="left"/>
              <w:rPr>
                <w:b/>
                <w:sz w:val="20"/>
              </w:rPr>
            </w:pPr>
            <w:r>
              <w:rPr>
                <w:b/>
                <w:sz w:val="20"/>
              </w:rPr>
              <w:t>Total Offering Amounts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sz w:val="20"/>
              </w:rPr>
            </w:pPr>
            <w:r>
              <w:rPr>
                <w:sz w:val="20"/>
              </w:rPr>
              <w:t>$</w:t>
            </w:r>
          </w:p>
        </w:tc>
        <w:tc>
          <w:tcPr>
            <w:tcW w:w="1009" w:type="dxa"/>
            <w:tcBorders/>
            <w:shd w:fill="FFFFFF" w:val="clear"/>
            <w:tcMar>
              <w:bottom w:w="0" w:type="dxa"/>
            </w:tcMar>
            <w:vAlign w:val="center"/>
          </w:tcPr>
          <w:p>
            <w:pPr>
              <w:pStyle w:val="TableContents"/>
              <w:bidi w:val="0"/>
              <w:spacing w:before="0" w:after="283"/>
              <w:jc w:val="right"/>
              <w:rPr>
                <w:sz w:val="20"/>
              </w:rPr>
            </w:pPr>
            <w:r>
              <w:rPr>
                <w:sz w:val="20"/>
              </w:rPr>
              <w:t>596,860.40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1010" w:type="dxa"/>
            <w:tcBorders/>
            <w:shd w:fill="FFFFFF" w:val="clear"/>
            <w:tcMar>
              <w:bottom w:w="0" w:type="dxa"/>
            </w:tcMar>
            <w:vAlign w:val="center"/>
          </w:tcPr>
          <w:p>
            <w:pPr>
              <w:pStyle w:val="TableContents"/>
              <w:bidi w:val="0"/>
              <w:spacing w:before="0" w:after="283"/>
              <w:jc w:val="right"/>
              <w:rPr>
                <w:sz w:val="20"/>
              </w:rPr>
            </w:pPr>
            <w:r>
              <w:rPr>
                <w:sz w:val="20"/>
              </w:rPr>
              <w:t>0.00014760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851" w:type="dxa"/>
            <w:tcBorders>
              <w:bottom w:val="single" w:sz="8" w:space="0" w:color="000000"/>
            </w:tcBorders>
            <w:shd w:fill="FFFFFF" w:val="clear"/>
            <w:vAlign w:val="center"/>
          </w:tcPr>
          <w:p>
            <w:pPr>
              <w:pStyle w:val="TableContents"/>
              <w:bidi w:val="0"/>
              <w:spacing w:before="0" w:after="283"/>
              <w:jc w:val="right"/>
              <w:rPr>
                <w:sz w:val="20"/>
              </w:rPr>
            </w:pPr>
            <w:r>
              <w:rPr>
                <w:sz w:val="20"/>
              </w:rPr>
              <w:t>88.10</w:t>
            </w:r>
          </w:p>
        </w:tc>
        <w:tc>
          <w:tcPr>
            <w:tcW w:w="78"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320" w:type="dxa"/>
            <w:tcBorders/>
            <w:shd w:fill="CCEEFF" w:val="clear"/>
            <w:tcMar>
              <w:bottom w:w="0" w:type="dxa"/>
            </w:tcMar>
            <w:vAlign w:val="center"/>
          </w:tcPr>
          <w:p>
            <w:pPr>
              <w:pStyle w:val="TableContents"/>
              <w:bidi w:val="0"/>
              <w:spacing w:before="0" w:after="283"/>
              <w:jc w:val="left"/>
              <w:rPr>
                <w:b/>
                <w:sz w:val="20"/>
              </w:rPr>
            </w:pPr>
            <w:r>
              <w:rPr>
                <w:b/>
                <w:sz w:val="20"/>
              </w:rPr>
              <w:t>Total Fee Offsets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2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851" w:type="dxa"/>
            <w:tcBorders>
              <w:bottom w:val="single" w:sz="8" w:space="0" w:color="000000"/>
            </w:tcBorders>
            <w:shd w:fill="CCEEFF" w:val="cle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320" w:type="dxa"/>
            <w:tcBorders/>
            <w:shd w:fill="FFFFFF" w:val="clear"/>
            <w:tcMar>
              <w:bottom w:w="0" w:type="dxa"/>
            </w:tcMar>
            <w:vAlign w:val="center"/>
          </w:tcPr>
          <w:p>
            <w:pPr>
              <w:pStyle w:val="TableContents"/>
              <w:bidi w:val="0"/>
              <w:spacing w:before="0" w:after="283"/>
              <w:jc w:val="left"/>
              <w:rPr>
                <w:b/>
                <w:sz w:val="20"/>
              </w:rPr>
            </w:pPr>
            <w:r>
              <w:rPr>
                <w:b/>
                <w:sz w:val="20"/>
              </w:rPr>
              <w:t>Net Fee Due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0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vAlign w:val="center"/>
          </w:tcPr>
          <w:p>
            <w:pPr>
              <w:pStyle w:val="TableContents"/>
              <w:bidi w:val="0"/>
              <w:spacing w:before="0" w:after="283"/>
              <w:jc w:val="left"/>
              <w:rPr>
                <w:sz w:val="20"/>
              </w:rPr>
            </w:pPr>
            <w:r>
              <w:rPr>
                <w:sz w:val="20"/>
              </w:rPr>
              <w:t>$</w:t>
            </w:r>
          </w:p>
        </w:tc>
        <w:tc>
          <w:tcPr>
            <w:tcW w:w="851" w:type="dxa"/>
            <w:tcBorders>
              <w:bottom w:val="double" w:sz="6" w:space="0" w:color="000000"/>
            </w:tcBorders>
            <w:shd w:fill="FFFFFF" w:val="clear"/>
            <w:vAlign w:val="center"/>
          </w:tcPr>
          <w:p>
            <w:pPr>
              <w:pStyle w:val="TableContents"/>
              <w:bidi w:val="0"/>
              <w:spacing w:before="0" w:after="283"/>
              <w:jc w:val="right"/>
              <w:rPr>
                <w:sz w:val="20"/>
              </w:rPr>
            </w:pPr>
            <w:r>
              <w:rPr>
                <w:sz w:val="20"/>
              </w:rPr>
              <w:t>88.10</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sz w:val="20"/>
              </w:rPr>
            </w:pPr>
            <w:r>
              <w:rPr>
                <w:sz w:val="20"/>
              </w:rPr>
              <w:t>(1)</w:t>
            </w:r>
          </w:p>
        </w:tc>
        <w:tc>
          <w:tcPr>
            <w:tcW w:w="9995" w:type="dxa"/>
            <w:tcBorders/>
            <w:vAlign w:val="center"/>
          </w:tcPr>
          <w:p>
            <w:pPr>
              <w:pStyle w:val="TableContents"/>
              <w:bidi w:val="0"/>
              <w:spacing w:before="0" w:after="283"/>
              <w:jc w:val="both"/>
              <w:rPr>
                <w:sz w:val="20"/>
              </w:rPr>
            </w:pPr>
            <w:r>
              <w:rPr>
                <w:sz w:val="20"/>
              </w:rPr>
              <w:t>Pursuant to Rule 416(a) under the Securities Act of 1933, as amended (the “Securities Act”), this registration statement shall also cover any additional shares of common stock, par value $0.0001 per share (the “Common Stock”), of Presto Automation Inc. (the “Company”) that may become issuable under the terms of the Company’s Amended and Restated 2022 Incentive Award Plan (the “A&amp;R 2022 Incentive Plan”) by reason of any share split, share dividend, recapitalization or other similar transaction effected without the Company’s receipt of consideration which results in an increase in the number of the outstanding shares of Common Stock.</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20"/>
              </w:rPr>
            </w:pPr>
            <w:r>
              <w:rPr>
                <w:sz w:val="20"/>
              </w:rPr>
              <w:t>(2)</w:t>
            </w:r>
          </w:p>
        </w:tc>
        <w:tc>
          <w:tcPr>
            <w:tcW w:w="9980" w:type="dxa"/>
            <w:tcBorders/>
            <w:vAlign w:val="center"/>
          </w:tcPr>
          <w:p>
            <w:pPr>
              <w:pStyle w:val="TableContents"/>
              <w:bidi w:val="0"/>
              <w:spacing w:before="0" w:after="283"/>
              <w:jc w:val="both"/>
              <w:rPr>
                <w:sz w:val="20"/>
              </w:rPr>
            </w:pPr>
            <w:r>
              <w:rPr>
                <w:sz w:val="20"/>
              </w:rPr>
              <w:t>Estimated solely for the purpose of calculating the registration fee pursuant to Rules 457(c) and (h) under the Securities Act, based upon the average of the high and low selling prices of the Common Stock on February 14, 2024, as reported on the Nasdaq Stock Market LLC.</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(3)</w:t>
            </w:r>
          </w:p>
        </w:tc>
        <w:tc>
          <w:tcPr>
            <w:tcW w:w="9989" w:type="dxa"/>
            <w:tcBorders/>
            <w:vAlign w:val="center"/>
          </w:tcPr>
          <w:p>
            <w:pPr>
              <w:pStyle w:val="TableContents"/>
              <w:bidi w:val="0"/>
              <w:spacing w:before="0" w:after="283"/>
              <w:jc w:val="both"/>
              <w:rPr>
                <w:sz w:val="20"/>
              </w:rPr>
            </w:pPr>
            <w:r>
              <w:rPr>
                <w:sz w:val="20"/>
              </w:rPr>
              <w:t>Represents the sum of (x) 2,000,000 shares of Common Stock reserved for issuance under the A&amp;R 2022 Incentive Plan and (y) 984,302 shares of Common Stock that were previously granted as restricted stock units under the Company’s 2022 Incentive Award Plan and subsequently forfeited, cancelled, or otherwise terminated and returned to the plan without the delivery of any shares of common stock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2 – Fee Offset Claims and Sources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145/000121390022080554/ea170110-s8_prestoauto.htm" TargetMode="External"/><Relationship Id="rId3" Type="http://schemas.openxmlformats.org/officeDocument/2006/relationships/hyperlink" Target="https://www.sec.gov/Archives/edgar/data/1822145/000155837023016572/tmb-20231020xs8.htm" TargetMode="External"/><Relationship Id="rId4" Type="http://schemas.openxmlformats.org/officeDocument/2006/relationships/hyperlink" Target="https://www.sec.gov/ix?doc=/Archives/edgar/data/1822145/000155837023016336/prst-20230630x10k.htm" TargetMode="External"/><Relationship Id="rId5" Type="http://schemas.openxmlformats.org/officeDocument/2006/relationships/hyperlink" Target="https://www.sec.gov/ix?doc=/Archives/edgar/data/1822145/000155837023016408/prst-20230630x10ka.htm" TargetMode="External"/><Relationship Id="rId6" Type="http://schemas.openxmlformats.org/officeDocument/2006/relationships/hyperlink" Target="https://www.sec.gov/Archives/edgar/data/1822145/000155837023016915/tmb-20231206xdef14a.htm" TargetMode="External"/><Relationship Id="rId7" Type="http://schemas.openxmlformats.org/officeDocument/2006/relationships/hyperlink" Target="https://www.sec.gov/ix?doc=/Archives/edgar/data/1822145/000155837023019254/prst-20230930x10q.htm" TargetMode="External"/><Relationship Id="rId8" Type="http://schemas.openxmlformats.org/officeDocument/2006/relationships/hyperlink" Target="https://www.sec.gov/ix?doc=/Archives/edgar/data/1822145/000110465923086535/tm2322640d1_8k.htm" TargetMode="External"/><Relationship Id="rId9" Type="http://schemas.openxmlformats.org/officeDocument/2006/relationships/hyperlink" Target="https://www.sec.gov/ix?doc=/Archives/edgar/data/1822145/000110465923097311/tm2325309d1_8k.htm" TargetMode="External"/><Relationship Id="rId10" Type="http://schemas.openxmlformats.org/officeDocument/2006/relationships/hyperlink" Target="https://www.sec.gov/ix?doc=/Archives/edgar/data/1822145/000101376223002979/ea186564-8k_prestoauto.htm" TargetMode="External"/><Relationship Id="rId11" Type="http://schemas.openxmlformats.org/officeDocument/2006/relationships/hyperlink" Target="https://www.sec.gov/ix?doc=/Archives/edgar/data/1822145/000101376223005246/ea187043-8k_prestoauto.htm" TargetMode="External"/><Relationship Id="rId12" Type="http://schemas.openxmlformats.org/officeDocument/2006/relationships/hyperlink" Target="https://www.sec.gov/ix?doc=/Archives/edgar/data/1822145/000121390023089293/ea188717-8k_presto.htm" TargetMode="External"/><Relationship Id="rId13" Type="http://schemas.openxmlformats.org/officeDocument/2006/relationships/hyperlink" Target="https://www.sec.gov/ix?doc=/Archives/edgar/data/1822145/000155837023019477/prst-20231129x8k.htm" TargetMode="External"/><Relationship Id="rId14" Type="http://schemas.openxmlformats.org/officeDocument/2006/relationships/hyperlink" Target="https://www.sec.gov/ix?doc=/Archives/edgar/data/1822145/000155837023019744/prst-20231206x8k.htm" TargetMode="External"/><Relationship Id="rId15" Type="http://schemas.openxmlformats.org/officeDocument/2006/relationships/hyperlink" Target="https://www.sec.gov/ix?doc=/Archives/edgar/data/1822145/000121390023095635/ea190049-8k_presto.htm" TargetMode="External"/><Relationship Id="rId16" Type="http://schemas.openxmlformats.org/officeDocument/2006/relationships/hyperlink" Target="https://www.sec.gov/ix?doc=/Archives/edgar/data/1822145/000121390023098185/ea190594-8k_presto.htm" TargetMode="External"/><Relationship Id="rId17" Type="http://schemas.openxmlformats.org/officeDocument/2006/relationships/hyperlink" Target="https://www.sec.gov/ix?doc=/Archives/edgar/data/1822145/000155837024000064/prst-20231228x8k.htm" TargetMode="External"/><Relationship Id="rId18" Type="http://schemas.openxmlformats.org/officeDocument/2006/relationships/hyperlink" Target="https://www.sec.gov/ix?doc=/Archives/edgar/data/1822145/000110465924005627/tm243773d1_8k.htm" TargetMode="External"/><Relationship Id="rId19" Type="http://schemas.openxmlformats.org/officeDocument/2006/relationships/hyperlink" Target="https://www.sec.gov/ix?doc=/Archives/edgar/data/1822145/000121390024009098/ea192676-8k_presto.htm" TargetMode="External"/><Relationship Id="rId20" Type="http://schemas.openxmlformats.org/officeDocument/2006/relationships/hyperlink" Target="https://www.sec.gov/ix?doc=/Archives/edgar/data/1822145/000110465924010183/tm244871d1_8k.htm" TargetMode="External"/><Relationship Id="rId21" Type="http://schemas.openxmlformats.org/officeDocument/2006/relationships/hyperlink" Target="https://www.sec.gov/ix?doc=/Archives/edgar/data/1822145/000110465924025618/tm246736d1_8ka.htm" TargetMode="External"/><Relationship Id="rId22" Type="http://schemas.openxmlformats.org/officeDocument/2006/relationships/hyperlink" Target="https://www.sec.gov/ix?doc=/Archives/edgar/data/1822145/000110465924012313/tm245632d1_8k.htm" TargetMode="External"/><Relationship Id="rId23" Type="http://schemas.openxmlformats.org/officeDocument/2006/relationships/hyperlink" Target="https://www.sec.gov/Archives/edgar/data/1822145/000155837023016336/prst-20230630xex4d1.htm" TargetMode="External"/><Relationship Id="rId24" Type="http://schemas.openxmlformats.org/officeDocument/2006/relationships/hyperlink" Target="https://www.sec.gov/Archives/edgar/data/1822145/000121390022059478/ea166244ex3-1_prestoauto.htm" TargetMode="External"/><Relationship Id="rId25" Type="http://schemas.openxmlformats.org/officeDocument/2006/relationships/hyperlink" Target="https://www.sec.gov/Archives/edgar/data/1822145/000121390022059478/ea166244ex3-1_prestoauto.htm" TargetMode="External"/><Relationship Id="rId26" Type="http://schemas.openxmlformats.org/officeDocument/2006/relationships/hyperlink" Target="https://www.sec.gov/Archives/edgar/data/1822145/000121390022059478/ea166244ex3-2_prestoauto.htm" TargetMode="External"/><Relationship Id="rId27" Type="http://schemas.openxmlformats.org/officeDocument/2006/relationships/hyperlink" Target="https://www.sec.gov/Archives/edgar/data/1822145/000121390022059478/ea166244ex3-2_prestoauto.htm" TargetMode="External"/><Relationship Id="rId28" Type="http://schemas.openxmlformats.org/officeDocument/2006/relationships/hyperlink" Target="https://www.sec.gov/Archives/edgar/data/1822145/000155837023019744/prst-20231206xex10d1.htm" TargetMode="External"/><Relationship Id="rId29" Type="http://schemas.openxmlformats.org/officeDocument/2006/relationships/hyperlink" Target="https://www.sec.gov/Archives/edgar/data/1822145/000155837023019744/prst-20231206xex10d1.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5341</Words>
  <Characters>28256</Characters>
  <CharactersWithSpaces>33758</CharactersWithSpaces>
  <Paragraphs>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