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04"/>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6" w:lineRule="exact"/>
        <w:rPr>
          <w:sz w:val="24"/>
          <w:szCs w:val="24"/>
          <w:color w:val="auto"/>
        </w:rPr>
      </w:pPr>
    </w:p>
    <w:p>
      <w:pPr>
        <w:ind w:left="3904"/>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7" w:lineRule="exact"/>
        <w:rPr>
          <w:sz w:val="24"/>
          <w:szCs w:val="24"/>
          <w:color w:val="auto"/>
        </w:rPr>
      </w:pPr>
    </w:p>
    <w:p>
      <w:pPr>
        <w:ind w:left="4624"/>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714819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387" w:lineRule="exact"/>
        <w:rPr>
          <w:sz w:val="24"/>
          <w:szCs w:val="24"/>
          <w:color w:val="auto"/>
        </w:rPr>
      </w:pPr>
    </w:p>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714819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PURSUANT TO SECTION 13 OR 15(d)</w:t>
      </w:r>
    </w:p>
    <w:p>
      <w:pPr>
        <w:spacing w:after="0" w:line="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OF THE SECURITIES EXCHANGE ACT OF 1934</w:t>
      </w:r>
    </w:p>
    <w:p>
      <w:pPr>
        <w:spacing w:after="0" w:line="18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July 25,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38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9"/>
          <w:szCs w:val="29"/>
          <w:b w:val="1"/>
          <w:bCs w:val="1"/>
          <w:color w:val="auto"/>
        </w:rPr>
        <w:t>Ventoux CCM Acquisition Corp.</w:t>
      </w:r>
    </w:p>
    <w:p>
      <w:pPr>
        <w:spacing w:after="0" w:line="33" w:lineRule="exact"/>
        <w:rPr>
          <w:sz w:val="24"/>
          <w:szCs w:val="24"/>
          <w:color w:val="auto"/>
        </w:rPr>
      </w:pPr>
    </w:p>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385" w:lineRule="exact"/>
        <w:rPr>
          <w:sz w:val="24"/>
          <w:szCs w:val="24"/>
          <w:color w:val="auto"/>
        </w:rPr>
      </w:pPr>
    </w:p>
    <w:tbl>
      <w:tblPr>
        <w:tblLayout w:type="fixed"/>
        <w:tblInd w:w="4" w:type="dxa"/>
        <w:tblCellMar>
          <w:top w:w="0" w:type="dxa"/>
          <w:left w:w="0" w:type="dxa"/>
          <w:bottom w:w="0" w:type="dxa"/>
          <w:right w:w="0" w:type="dxa"/>
        </w:tblCellMar>
      </w:tblPr>
      <w:tr>
        <w:trPr>
          <w:trHeight w:val="226"/>
        </w:trPr>
        <w:tc>
          <w:tcPr>
            <w:tcW w:w="3040" w:type="dxa"/>
            <w:vAlign w:val="bottom"/>
          </w:tcPr>
          <w:p>
            <w:pPr>
              <w:jc w:val="center"/>
              <w:ind w:left="48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400" w:type="dxa"/>
            <w:vAlign w:val="bottom"/>
            <w:gridSpan w:val="3"/>
          </w:tcPr>
          <w:p>
            <w:pPr>
              <w:jc w:val="center"/>
              <w:ind w:left="720"/>
              <w:spacing w:after="0"/>
              <w:rPr>
                <w:sz w:val="20"/>
                <w:szCs w:val="20"/>
                <w:color w:val="auto"/>
              </w:rPr>
            </w:pPr>
            <w:r>
              <w:rPr>
                <w:rFonts w:ascii="Times New Roman" w:cs="Times New Roman" w:eastAsia="Times New Roman" w:hAnsi="Times New Roman"/>
                <w:sz w:val="16"/>
                <w:szCs w:val="16"/>
                <w:b w:val="1"/>
                <w:bCs w:val="1"/>
                <w:color w:val="auto"/>
                <w:w w:val="98"/>
              </w:rPr>
              <w:t>001-39830</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80" w:type="dxa"/>
            <w:vAlign w:val="bottom"/>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rPr>
              <w:t>84-2968594</w:t>
            </w:r>
          </w:p>
        </w:tc>
      </w:tr>
      <w:tr>
        <w:trPr>
          <w:trHeight w:val="173"/>
        </w:trPr>
        <w:tc>
          <w:tcPr>
            <w:tcW w:w="3040" w:type="dxa"/>
            <w:vAlign w:val="bottom"/>
            <w:tcBorders>
              <w:top w:val="single" w:sz="8" w:color="auto"/>
            </w:tcBorders>
          </w:tcPr>
          <w:p>
            <w:pPr>
              <w:jc w:val="center"/>
              <w:ind w:left="480"/>
              <w:spacing w:after="0" w:line="173" w:lineRule="exact"/>
              <w:rPr>
                <w:sz w:val="20"/>
                <w:szCs w:val="20"/>
                <w:color w:val="auto"/>
              </w:rPr>
            </w:pPr>
            <w:r>
              <w:rPr>
                <w:rFonts w:ascii="Times New Roman" w:cs="Times New Roman" w:eastAsia="Times New Roman" w:hAnsi="Times New Roman"/>
                <w:sz w:val="16"/>
                <w:szCs w:val="16"/>
                <w:b w:val="1"/>
                <w:bCs w:val="1"/>
                <w:color w:val="auto"/>
                <w:w w:val="99"/>
              </w:rPr>
              <w:t>(State or Other Jurisdiction</w:t>
            </w:r>
          </w:p>
        </w:tc>
        <w:tc>
          <w:tcPr>
            <w:tcW w:w="5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60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9"/>
              </w:rPr>
              <w:t>(Commission File Number)</w:t>
            </w:r>
          </w:p>
        </w:tc>
        <w:tc>
          <w:tcPr>
            <w:tcW w:w="22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880" w:type="dxa"/>
            <w:vAlign w:val="bottom"/>
            <w:tcBorders>
              <w:top w:val="single" w:sz="8" w:color="auto"/>
            </w:tcBorders>
          </w:tcPr>
          <w:p>
            <w:pPr>
              <w:jc w:val="center"/>
              <w:ind w:right="660"/>
              <w:spacing w:after="0" w:line="173" w:lineRule="exact"/>
              <w:rPr>
                <w:sz w:val="20"/>
                <w:szCs w:val="20"/>
                <w:color w:val="auto"/>
              </w:rPr>
            </w:pPr>
            <w:r>
              <w:rPr>
                <w:rFonts w:ascii="Times New Roman" w:cs="Times New Roman" w:eastAsia="Times New Roman" w:hAnsi="Times New Roman"/>
                <w:sz w:val="16"/>
                <w:szCs w:val="16"/>
                <w:b w:val="1"/>
                <w:bCs w:val="1"/>
                <w:color w:val="auto"/>
                <w:w w:val="98"/>
              </w:rPr>
              <w:t>(IRS Employer</w:t>
            </w:r>
          </w:p>
        </w:tc>
      </w:tr>
      <w:tr>
        <w:trPr>
          <w:trHeight w:val="210"/>
        </w:trPr>
        <w:tc>
          <w:tcPr>
            <w:tcW w:w="3040" w:type="dxa"/>
            <w:vAlign w:val="bottom"/>
          </w:tcPr>
          <w:p>
            <w:pPr>
              <w:jc w:val="center"/>
              <w:ind w:left="480"/>
              <w:spacing w:after="0"/>
              <w:rPr>
                <w:sz w:val="20"/>
                <w:szCs w:val="20"/>
                <w:color w:val="auto"/>
              </w:rPr>
            </w:pPr>
            <w:r>
              <w:rPr>
                <w:rFonts w:ascii="Times New Roman" w:cs="Times New Roman" w:eastAsia="Times New Roman" w:hAnsi="Times New Roman"/>
                <w:sz w:val="16"/>
                <w:szCs w:val="16"/>
                <w:b w:val="1"/>
                <w:bCs w:val="1"/>
                <w:color w:val="auto"/>
              </w:rPr>
              <w:t>of Incorporation)</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w w:val="98"/>
              </w:rPr>
              <w:t>Identification No.)</w:t>
            </w:r>
          </w:p>
        </w:tc>
      </w:tr>
      <w:tr>
        <w:trPr>
          <w:trHeight w:val="364"/>
        </w:trPr>
        <w:tc>
          <w:tcPr>
            <w:tcW w:w="3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40" w:type="dxa"/>
            <w:vAlign w:val="bottom"/>
            <w:gridSpan w:val="3"/>
          </w:tcPr>
          <w:p>
            <w:pPr>
              <w:jc w:val="center"/>
              <w:ind w:right="980"/>
              <w:spacing w:after="0"/>
              <w:rPr>
                <w:sz w:val="20"/>
                <w:szCs w:val="20"/>
                <w:color w:val="auto"/>
              </w:rPr>
            </w:pPr>
            <w:r>
              <w:rPr>
                <w:rFonts w:ascii="Times New Roman" w:cs="Times New Roman" w:eastAsia="Times New Roman" w:hAnsi="Times New Roman"/>
                <w:sz w:val="16"/>
                <w:szCs w:val="16"/>
                <w:b w:val="1"/>
                <w:bCs w:val="1"/>
                <w:color w:val="auto"/>
                <w:w w:val="99"/>
              </w:rPr>
              <w:t>1 East Putnam Avenue, Floor 4</w:t>
            </w:r>
          </w:p>
        </w:tc>
        <w:tc>
          <w:tcPr>
            <w:tcW w:w="2880" w:type="dxa"/>
            <w:vAlign w:val="bottom"/>
          </w:tcPr>
          <w:p>
            <w:pPr>
              <w:spacing w:after="0"/>
              <w:rPr>
                <w:sz w:val="24"/>
                <w:szCs w:val="24"/>
                <w:color w:val="auto"/>
              </w:rPr>
            </w:pPr>
          </w:p>
        </w:tc>
      </w:tr>
      <w:tr>
        <w:trPr>
          <w:trHeight w:val="191"/>
        </w:trPr>
        <w:tc>
          <w:tcPr>
            <w:tcW w:w="3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540" w:type="dxa"/>
            <w:vAlign w:val="bottom"/>
            <w:gridSpan w:val="3"/>
          </w:tcPr>
          <w:p>
            <w:pPr>
              <w:jc w:val="center"/>
              <w:ind w:right="980"/>
              <w:spacing w:after="0"/>
              <w:rPr>
                <w:sz w:val="20"/>
                <w:szCs w:val="20"/>
                <w:color w:val="auto"/>
              </w:rPr>
            </w:pPr>
            <w:r>
              <w:rPr>
                <w:rFonts w:ascii="Times New Roman" w:cs="Times New Roman" w:eastAsia="Times New Roman" w:hAnsi="Times New Roman"/>
                <w:sz w:val="16"/>
                <w:szCs w:val="16"/>
                <w:b w:val="1"/>
                <w:bCs w:val="1"/>
                <w:color w:val="auto"/>
                <w:w w:val="99"/>
              </w:rPr>
              <w:t>Greenwich, CT 06830</w:t>
            </w:r>
          </w:p>
        </w:tc>
        <w:tc>
          <w:tcPr>
            <w:tcW w:w="2880" w:type="dxa"/>
            <w:vAlign w:val="bottom"/>
          </w:tcPr>
          <w:p>
            <w:pPr>
              <w:spacing w:after="0"/>
              <w:rPr>
                <w:sz w:val="16"/>
                <w:szCs w:val="16"/>
                <w:color w:val="auto"/>
              </w:rPr>
            </w:pPr>
          </w:p>
        </w:tc>
      </w:tr>
      <w:tr>
        <w:trPr>
          <w:trHeight w:val="210"/>
        </w:trPr>
        <w:tc>
          <w:tcPr>
            <w:tcW w:w="3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40" w:type="dxa"/>
            <w:vAlign w:val="bottom"/>
            <w:gridSpan w:val="3"/>
          </w:tcPr>
          <w:p>
            <w:pPr>
              <w:jc w:val="center"/>
              <w:ind w:right="980"/>
              <w:spacing w:after="0"/>
              <w:rPr>
                <w:sz w:val="20"/>
                <w:szCs w:val="20"/>
                <w:color w:val="auto"/>
              </w:rPr>
            </w:pPr>
            <w:r>
              <w:rPr>
                <w:rFonts w:ascii="Times New Roman" w:cs="Times New Roman" w:eastAsia="Times New Roman" w:hAnsi="Times New Roman"/>
                <w:sz w:val="16"/>
                <w:szCs w:val="16"/>
                <w:b w:val="1"/>
                <w:bCs w:val="1"/>
                <w:color w:val="auto"/>
                <w:w w:val="99"/>
              </w:rPr>
              <w:t>(Address of principal executive office) (zip code)</w:t>
            </w:r>
          </w:p>
        </w:tc>
        <w:tc>
          <w:tcPr>
            <w:tcW w:w="2880" w:type="dxa"/>
            <w:vAlign w:val="bottom"/>
          </w:tcPr>
          <w:p>
            <w:pPr>
              <w:spacing w:after="0"/>
              <w:rPr>
                <w:sz w:val="18"/>
                <w:szCs w:val="18"/>
                <w:color w:val="auto"/>
              </w:rPr>
            </w:pPr>
          </w:p>
        </w:tc>
      </w:tr>
      <w:tr>
        <w:trPr>
          <w:trHeight w:val="382"/>
        </w:trPr>
        <w:tc>
          <w:tcPr>
            <w:tcW w:w="3040" w:type="dxa"/>
            <w:vAlign w:val="bottom"/>
          </w:tcPr>
          <w:p>
            <w:pPr>
              <w:spacing w:after="0"/>
              <w:rPr>
                <w:sz w:val="24"/>
                <w:szCs w:val="24"/>
                <w:color w:val="auto"/>
              </w:rPr>
            </w:pPr>
          </w:p>
        </w:tc>
        <w:tc>
          <w:tcPr>
            <w:tcW w:w="534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Registrant’s telephone number, including area code: (646) 465-9000</w:t>
            </w:r>
          </w:p>
        </w:tc>
        <w:tc>
          <w:tcPr>
            <w:tcW w:w="2880" w:type="dxa"/>
            <w:vAlign w:val="bottom"/>
          </w:tcPr>
          <w:p>
            <w:pPr>
              <w:spacing w:after="0"/>
              <w:rPr>
                <w:sz w:val="24"/>
                <w:szCs w:val="24"/>
                <w:color w:val="auto"/>
              </w:rPr>
            </w:pPr>
          </w:p>
        </w:tc>
      </w:tr>
      <w:tr>
        <w:trPr>
          <w:trHeight w:val="364"/>
        </w:trPr>
        <w:tc>
          <w:tcPr>
            <w:tcW w:w="3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40" w:type="dxa"/>
            <w:vAlign w:val="bottom"/>
            <w:gridSpan w:val="3"/>
          </w:tcPr>
          <w:p>
            <w:pPr>
              <w:jc w:val="center"/>
              <w:ind w:right="980"/>
              <w:spacing w:after="0"/>
              <w:rPr>
                <w:sz w:val="20"/>
                <w:szCs w:val="20"/>
                <w:color w:val="auto"/>
              </w:rPr>
            </w:pPr>
            <w:r>
              <w:rPr>
                <w:rFonts w:ascii="Times New Roman" w:cs="Times New Roman" w:eastAsia="Times New Roman" w:hAnsi="Times New Roman"/>
                <w:sz w:val="16"/>
                <w:szCs w:val="16"/>
                <w:b w:val="1"/>
                <w:bCs w:val="1"/>
                <w:color w:val="auto"/>
              </w:rPr>
              <w:t>N/A</w:t>
            </w:r>
          </w:p>
        </w:tc>
        <w:tc>
          <w:tcPr>
            <w:tcW w:w="2880" w:type="dxa"/>
            <w:vAlign w:val="bottom"/>
          </w:tcPr>
          <w:p>
            <w:pPr>
              <w:spacing w:after="0"/>
              <w:rPr>
                <w:sz w:val="24"/>
                <w:szCs w:val="24"/>
                <w:color w:val="auto"/>
              </w:rPr>
            </w:pPr>
          </w:p>
        </w:tc>
      </w:tr>
      <w:tr>
        <w:trPr>
          <w:trHeight w:val="210"/>
        </w:trPr>
        <w:tc>
          <w:tcPr>
            <w:tcW w:w="3040" w:type="dxa"/>
            <w:vAlign w:val="bottom"/>
          </w:tcPr>
          <w:p>
            <w:pPr>
              <w:spacing w:after="0"/>
              <w:rPr>
                <w:sz w:val="18"/>
                <w:szCs w:val="18"/>
                <w:color w:val="auto"/>
              </w:rPr>
            </w:pPr>
          </w:p>
        </w:tc>
        <w:tc>
          <w:tcPr>
            <w:tcW w:w="534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(Former name or former address, if changed since last report)</w:t>
            </w:r>
          </w:p>
        </w:tc>
        <w:tc>
          <w:tcPr>
            <w:tcW w:w="288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71481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3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182" w:lineRule="exact"/>
        <w:rPr>
          <w:sz w:val="24"/>
          <w:szCs w:val="24"/>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98" w:lineRule="exact"/>
        <w:rPr>
          <w:sz w:val="24"/>
          <w:szCs w:val="24"/>
          <w:color w:val="auto"/>
        </w:rPr>
      </w:pPr>
    </w:p>
    <w:p>
      <w:pPr>
        <w:ind w:left="284" w:hanging="284"/>
        <w:spacing w:after="0"/>
        <w:tabs>
          <w:tab w:leader="none" w:pos="284"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98" w:lineRule="exact"/>
        <w:rPr>
          <w:rFonts w:ascii="MS PGothic" w:cs="MS PGothic" w:eastAsia="MS PGothic" w:hAnsi="MS PGothic"/>
          <w:sz w:val="16"/>
          <w:szCs w:val="16"/>
          <w:color w:val="auto"/>
        </w:rPr>
      </w:pPr>
    </w:p>
    <w:p>
      <w:pPr>
        <w:ind w:left="4" w:right="3860" w:hanging="4"/>
        <w:spacing w:after="0" w:line="505" w:lineRule="auto"/>
        <w:tabs>
          <w:tab w:leader="none" w:pos="291"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91"/>
        </w:trPr>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w:t>
            </w:r>
          </w:p>
        </w:tc>
      </w:tr>
      <w:tr>
        <w:trPr>
          <w:trHeight w:val="214"/>
        </w:trPr>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240" w:type="dxa"/>
            <w:vAlign w:val="bottom"/>
          </w:tcPr>
          <w:p>
            <w:pPr>
              <w:spacing w:after="0"/>
              <w:rPr>
                <w:sz w:val="18"/>
                <w:szCs w:val="18"/>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registered</w:t>
            </w:r>
          </w:p>
        </w:tc>
      </w:tr>
      <w:tr>
        <w:trPr>
          <w:trHeight w:val="203"/>
        </w:trPr>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Common Stock</w:t>
            </w:r>
          </w:p>
        </w:tc>
        <w:tc>
          <w:tcPr>
            <w:tcW w:w="240" w:type="dxa"/>
            <w:vAlign w:val="bottom"/>
            <w:shd w:val="clear" w:color="auto" w:fill="CCEEFF"/>
          </w:tcPr>
          <w:p>
            <w:pPr>
              <w:spacing w:after="0"/>
              <w:rPr>
                <w:sz w:val="17"/>
                <w:szCs w:val="17"/>
                <w:color w:val="auto"/>
              </w:rPr>
            </w:pP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VTAQ</w:t>
            </w:r>
          </w:p>
        </w:tc>
        <w:tc>
          <w:tcPr>
            <w:tcW w:w="2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The Nasdaq Stock Market LLC</w:t>
            </w:r>
          </w:p>
        </w:tc>
      </w:tr>
      <w:tr>
        <w:trPr>
          <w:trHeight w:val="212"/>
        </w:trPr>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Warrants</w:t>
            </w:r>
          </w:p>
        </w:tc>
        <w:tc>
          <w:tcPr>
            <w:tcW w:w="24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VTAQW</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The Nasdaq Stock Market LLC</w:t>
            </w:r>
          </w:p>
        </w:tc>
      </w:tr>
      <w:tr>
        <w:trPr>
          <w:trHeight w:val="195"/>
        </w:trPr>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Rights</w:t>
            </w:r>
          </w:p>
        </w:tc>
        <w:tc>
          <w:tcPr>
            <w:tcW w:w="240" w:type="dxa"/>
            <w:vAlign w:val="bottom"/>
            <w:shd w:val="clear" w:color="auto" w:fill="CCEEFF"/>
          </w:tcPr>
          <w:p>
            <w:pPr>
              <w:spacing w:after="0"/>
              <w:rPr>
                <w:sz w:val="16"/>
                <w:szCs w:val="16"/>
                <w:color w:val="auto"/>
              </w:rPr>
            </w:pP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VTAQR</w:t>
            </w:r>
          </w:p>
        </w:tc>
        <w:tc>
          <w:tcPr>
            <w:tcW w:w="20" w:type="dxa"/>
            <w:vAlign w:val="bottom"/>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The Nasdaq Stock Market LLC</w:t>
            </w:r>
          </w:p>
        </w:tc>
      </w:tr>
      <w:tr>
        <w:trPr>
          <w:trHeight w:val="208"/>
        </w:trPr>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Units</w:t>
            </w:r>
          </w:p>
        </w:tc>
        <w:tc>
          <w:tcPr>
            <w:tcW w:w="24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VTAQU</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The Nasdaq Stock Market LLC</w:t>
            </w:r>
          </w:p>
        </w:tc>
      </w:tr>
    </w:tbl>
    <w:p>
      <w:pPr>
        <w:spacing w:after="0" w:line="182" w:lineRule="exact"/>
        <w:rPr>
          <w:sz w:val="24"/>
          <w:szCs w:val="24"/>
          <w:color w:val="auto"/>
        </w:rPr>
      </w:pPr>
    </w:p>
    <w:p>
      <w:pPr>
        <w:jc w:val="both"/>
        <w:ind w:left="4"/>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8" w:lineRule="exact"/>
        <w:rPr>
          <w:sz w:val="24"/>
          <w:szCs w:val="24"/>
          <w:color w:val="auto"/>
        </w:rPr>
      </w:pPr>
    </w:p>
    <w:p>
      <w:pPr>
        <w:ind w:left="4"/>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24" w:lineRule="exact"/>
        <w:rPr>
          <w:sz w:val="24"/>
          <w:szCs w:val="24"/>
          <w:color w:val="auto"/>
        </w:rPr>
      </w:pPr>
    </w:p>
    <w:p>
      <w:pPr>
        <w:jc w:val="both"/>
        <w:ind w:left="4"/>
        <w:spacing w:after="0" w:line="20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14819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134620</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528955</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468" w:right="31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Item 1.01.</w:t>
      </w:r>
      <w:r>
        <w:rPr>
          <w:sz w:val="20"/>
          <w:szCs w:val="20"/>
          <w:color w:val="auto"/>
        </w:rPr>
        <w:tab/>
      </w:r>
      <w:r>
        <w:rPr>
          <w:rFonts w:ascii="Times New Roman" w:cs="Times New Roman" w:eastAsia="Times New Roman" w:hAnsi="Times New Roman"/>
          <w:sz w:val="15"/>
          <w:szCs w:val="15"/>
          <w:b w:val="1"/>
          <w:bCs w:val="1"/>
          <w:color w:val="auto"/>
        </w:rPr>
        <w:t>Entry into a Material Definitive Agreement.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Amendment No. 2 to the Merger Agreement</w:t>
      </w:r>
    </w:p>
    <w:p>
      <w:pPr>
        <w:spacing w:after="0" w:line="200"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On July 25, 2022, Ventoux CCM Acquisition Corp. (the “Company” or “Ventoux”), Ventoux Merger Sub I Inc., Ventoux Merger Sub II LLC, and E La Carte, Inc. (“Presto”) entered into a second amendment (“Amendment No. 2”) to that certain Agreement and Plan of Merger dated November 10, 2021 (the “Merger Agreement”), as amended on April 1, 2022 by Amendment No. 1 to the Merger Agreement. Amendment No. 2 amends the Merger Agreement to, among other things:</w:t>
      </w:r>
    </w:p>
    <w:p>
      <w:pPr>
        <w:spacing w:after="0" w:line="155" w:lineRule="exact"/>
        <w:rPr>
          <w:sz w:val="20"/>
          <w:szCs w:val="20"/>
          <w:color w:val="auto"/>
        </w:rPr>
      </w:pPr>
    </w:p>
    <w:p>
      <w:pPr>
        <w:ind w:left="860" w:hanging="291"/>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lower the equity valuation of Presto from $800 million to $525 million;</w:t>
      </w:r>
    </w:p>
    <w:p>
      <w:pPr>
        <w:spacing w:after="0" w:line="198"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for the treatment of outstanding restricted stock units of Presto at the Effective Time;</w:t>
      </w:r>
    </w:p>
    <w:p>
      <w:pPr>
        <w:spacing w:after="0" w:line="198"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 the dates of expiry in respect of the initial term of each class of directors of the Acquiror Board post-Closing; and</w:t>
      </w:r>
    </w:p>
    <w:p>
      <w:pPr>
        <w:spacing w:after="0" w:line="198"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extend the termination date of the Merger Agreement from August 31, 2022 to December 31, 2022.</w:t>
      </w:r>
    </w:p>
    <w:p>
      <w:pPr>
        <w:spacing w:after="0" w:line="198"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The foregoing description of Amendment No. 2 does not purport to be complete and is qualified in its entirety by the full text of Amendment No. 2, which is filed hereto as Exhibit 2.1 and is incorporated herein by reference.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Amendment to Sponsor Support Agreement</w:t>
      </w:r>
    </w:p>
    <w:p>
      <w:pPr>
        <w:spacing w:after="0" w:line="200"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Concurrently with the execution of Amendment No. 2, Ventoux Acquisition Holdings LLC and Chardan International Investments, LLC, respectively (the “Sponsors”), entered into an amended and restated Sponsor Support Agreement (the “Amended and Restated Sponsor Support Agreement”). The Amended and Restated Sponsor Support Agreement amends the original Sponsor Support Agreement to:</w:t>
      </w:r>
    </w:p>
    <w:p>
      <w:pPr>
        <w:spacing w:after="0" w:line="155" w:lineRule="exact"/>
        <w:rPr>
          <w:sz w:val="20"/>
          <w:szCs w:val="20"/>
          <w:color w:val="auto"/>
        </w:rPr>
      </w:pPr>
    </w:p>
    <w:p>
      <w:pPr>
        <w:jc w:val="both"/>
        <w:ind w:left="860" w:hanging="291"/>
        <w:spacing w:after="0" w:line="259" w:lineRule="auto"/>
        <w:tabs>
          <w:tab w:leader="none" w:pos="8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a total of 444,500 founder shares (the “Sponsors’ Earnout Shares”) held by the Sponsors to vesting over a five-year period, such that four equal portions of the Sponsors’ Earnout Shares will vest when the volume weighted average price (the “VWAP”) of the Company’s common stock (the “Common Stock”) post-business combination is over $12.00, $15.00, $20.00 and $25.00, respectively, for any 40 trading days within any 60 trading day period within five years after the closing of the business combination;</w:t>
      </w:r>
    </w:p>
    <w:p>
      <w:pPr>
        <w:spacing w:after="0" w:line="161"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any vested founder shares (initially an aggregate of 2,689,187 shares) held by Sponsors to an 18-month lockup period; and</w:t>
      </w:r>
    </w:p>
    <w:p>
      <w:pPr>
        <w:spacing w:after="0" w:line="198" w:lineRule="exact"/>
        <w:rPr>
          <w:rFonts w:ascii="Times New Roman" w:cs="Times New Roman" w:eastAsia="Times New Roman" w:hAnsi="Times New Roman"/>
          <w:sz w:val="16"/>
          <w:szCs w:val="16"/>
          <w:color w:val="auto"/>
        </w:rPr>
      </w:pPr>
    </w:p>
    <w:p>
      <w:pPr>
        <w:ind w:left="860" w:right="20" w:hanging="291"/>
        <w:spacing w:after="0" w:line="280" w:lineRule="auto"/>
        <w:tabs>
          <w:tab w:leader="none" w:pos="8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waive any adjustment of the exercise price of the private placement warrants held by the Sponsors pursuant to Section 4.4.2 of the Company’s warrant agreement, dated as of December 23, 2020 (the “Warrant Agreement”).</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The foregoing description of the Amended and Restated Sponsor Support Agreement does not purport to be complete and is qualified in its entirety by the full text of the Amended and Restated Sponsor Support Agreement, which is filed hereto as Exhibit 10.6 and is incorporated herein by reference.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Amendment to Support Agreement</w:t>
      </w:r>
    </w:p>
    <w:p>
      <w:pPr>
        <w:spacing w:after="0" w:line="200"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Concurrently with the execution of Amendment No. 2, certain stockholders of Presto (“Stockholders”) entered into an amended and restated Support Agreement (the “Amended and Restated Support Agreement”) with Presto and Ventoux. The Amended and Restated Support Agreement amends the original Support Agreement to subject any shares of Common Stock held by the Stockholders as of and immediately following the Closing Date to an 18-month lockup period.</w:t>
      </w:r>
    </w:p>
    <w:p>
      <w:pPr>
        <w:spacing w:after="0" w:line="155"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The foregoing description of the Amended and Restated Support Agreement does not purport to be complete and is qualified in its entirety by the full text of the Amended and Restated Support Agreement, which is filed hereto as Exhibit 10.8 and is incorporated herein by reference.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i w:val="1"/>
          <w:iCs w:val="1"/>
          <w:color w:val="auto"/>
        </w:rPr>
        <w:t>Amended and Restated Subscription Agreements and Form of Indenture</w:t>
      </w:r>
    </w:p>
    <w:p>
      <w:pPr>
        <w:spacing w:after="0" w:line="200" w:lineRule="exact"/>
        <w:rPr>
          <w:sz w:val="20"/>
          <w:szCs w:val="20"/>
          <w:color w:val="auto"/>
        </w:rPr>
      </w:pPr>
    </w:p>
    <w:p>
      <w:pPr>
        <w:jc w:val="both"/>
        <w:ind w:firstLine="574"/>
        <w:spacing w:after="0" w:line="251" w:lineRule="auto"/>
        <w:rPr>
          <w:sz w:val="20"/>
          <w:szCs w:val="20"/>
          <w:color w:val="auto"/>
        </w:rPr>
      </w:pPr>
      <w:r>
        <w:rPr>
          <w:rFonts w:ascii="Times New Roman" w:cs="Times New Roman" w:eastAsia="Times New Roman" w:hAnsi="Times New Roman"/>
          <w:sz w:val="16"/>
          <w:szCs w:val="16"/>
          <w:color w:val="auto"/>
        </w:rPr>
        <w:t>Concurrently with the execution of Amendment No. 2, the Company entered into certain new and amended and restated equity subscription agreements, each dated as of July 25, 2022 (the “Equity Subscription Agreements”), with certain accredited investors, pursuant to which, among other things, the Company agreed to issue and sell, in private placements to close immediately prior to or substantially concurrently with the closing of the Company’s business combination (the “Closing”), an aggregate of 7,667,437 shares of Common Stock for an aggregate consideration of $60.0 million Of 14 Equity Subscription Agreements, 11, representing a total investment of $6.9 million, were entered into by current Presto investors and directors and officers. The remaining Equity Subscription Agreements representing a total investment of $53.1 million were entered into with investors that are unaffiliated with the Company, its Sponsors, Presto or any of their affiliates, which includes a $50 million investment from an entity affiliated with Cleveland Avenue, LLC (“Cleveland Avenue”) at an effective price per share of $7.14. The effective price per share of Cleveland Avenue’s investment takes into account (i) the subscription of 6,593,687 shares of Common Stock for an aggregate purchase price of $50 million and (ii) the transfer of 406,313 Founder Shares by the Sponsors to Cleveland Avenue for nominal consideration. As a result, the exercise price of Ventoux’s public warrants will be reduced from $11.50 per share to $8.21 per share pursuant to the Warrant Agreement. Each of the previously outstanding subscription agreements executed by the Company with certain accredited investors on November 10, 2021 that were not amended and restated were cancelled. The Equity Subscription Agreements provide that the Company (or its successor) must file a registration statement with the SEC to register the resale of the subscribed common stock no later than 30 days after the Closing Date. In connection with the execution and delivery of the Equity Subscription Agreements, the Sponsors agreed to transfer, or cause to be transferred, 1,088,813 Founder Shares to certain of the subscribers. The Company has agreed that these Founder Shares will be included in the registration statement referenced above.</w:t>
      </w:r>
    </w:p>
    <w:p>
      <w:pPr>
        <w:spacing w:after="0" w:line="174"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Concurrently with the execution of Amendment No. 2, the Company also entered into an amended and restated convertible note subscription agreement (the “Amended and Restated Convertible Note Subscription Agreement” and, together with the Amended and Restated Equity Subscription Agreements, the “Amended and Restated Subscription Agreements”), dated as of July 25, 2022, with an institutional accredited investor (the “Note Investor”), pursuant to which VTAQ and the Note Investor agreed to, among other things:</w:t>
      </w:r>
    </w:p>
    <w:p>
      <w:pPr>
        <w:spacing w:after="0" w:line="162" w:lineRule="exact"/>
        <w:rPr>
          <w:sz w:val="20"/>
          <w:szCs w:val="20"/>
          <w:color w:val="auto"/>
        </w:rPr>
      </w:pPr>
    </w:p>
    <w:p>
      <w:pPr>
        <w:ind w:left="860" w:hanging="291"/>
        <w:spacing w:after="0"/>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decrease the aggregate principal amount of convertible notes (the “Notes”) from $55 million to $25 million;</w:t>
      </w:r>
    </w:p>
    <w:p>
      <w:pPr>
        <w:spacing w:after="0" w:line="198"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the warrants issuable to the Note Investor from 1,000,000 warrants to 1,500,000 warrants (the “Note Financing Warrants”);</w:t>
      </w:r>
    </w:p>
    <w:p>
      <w:pPr>
        <w:spacing w:after="0" w:line="198"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 the conversion terms of the Note such that the Notes are initially convertible into Common Stock at a price equal to $11.50;</w:t>
      </w:r>
    </w:p>
    <w:p>
      <w:pPr>
        <w:spacing w:after="0" w:line="198" w:lineRule="exact"/>
        <w:rPr>
          <w:rFonts w:ascii="Times New Roman" w:cs="Times New Roman" w:eastAsia="Times New Roman" w:hAnsi="Times New Roman"/>
          <w:sz w:val="16"/>
          <w:szCs w:val="16"/>
          <w:color w:val="auto"/>
        </w:rPr>
      </w:pPr>
    </w:p>
    <w:p>
      <w:pPr>
        <w:ind w:left="860" w:right="20" w:hanging="291"/>
        <w:spacing w:after="0" w:line="280" w:lineRule="auto"/>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the other closing conditions set forth therein, condition the closing of the transactions contemplated by the Amended and Restated Convertible Note Subscription Agreement to the Company having cash and cash equivalents of $45 million;</w:t>
      </w:r>
    </w:p>
    <w:p>
      <w:pPr>
        <w:spacing w:after="0" w:line="144"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the interest payable under the Notes to 20.0% per annum, of which 15.0% will be payable in cash and 5.0% will be payable in kind; and</w:t>
      </w:r>
    </w:p>
    <w:p>
      <w:pPr>
        <w:spacing w:after="0" w:line="198"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the number of founder shares to be transferred from the Sponsors to the Note Investor from 300,000 founder shares to 600,000 founder shares.</w:t>
      </w:r>
    </w:p>
    <w:p>
      <w:pPr>
        <w:spacing w:after="0" w:line="198"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The Indenture governing the Notes will contain certain customary negative covenants, including limitations on indebtedness, restricted payments, liens, asset sales and transactions with affiliates. The Indenture will also require that the Company maintain a minimum cash balance of $30 million and limit cash expenditures on acquisitions and investments to $30 million, in each case, until the Company achieves positive consolidated EBITDA (as calculated in the Indenture) for two consecutive quarters, at which point such covenants will be suspended.</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The foregoing description of the Equity Subscription Agreements does not purport to be complete and is qualified in its entirety by the full text of the Equity Subscription Agreements, and the Form of Indenture which are filed hereto as Exhibits 10.1, 10.2, 10.3 and 4.1, respectively, and are incorporated herein by reference.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i w:val="1"/>
          <w:iCs w:val="1"/>
          <w:color w:val="auto"/>
        </w:rPr>
        <w:t>Amended and Restated Warrant Agreement</w:t>
      </w:r>
    </w:p>
    <w:p>
      <w:pPr>
        <w:spacing w:after="0" w:line="200"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At the Closing, the Company, the Sponsors and Continental Stock Transfer &amp; Trust Company, as warrant agent, will enter into an amended and restated warrant agreement (the “Amended and Restated Warrant Agreement”) to reflect the issuance of the Note Financing Warrants. In addition, the Amended and Restated Warrant Agreement also provides that 900,000 of the Sponsors’ 6,675,000 private placement warrants will be cancelled. Each Note Financing Warrant and each private placement warrant is exercisable for one share of Common Stock at an exercise price of $11.50 per share, and each public warrant is exercisable for one share of Common Stock at an exercise price of $8.21 per share.</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The foregoing description of the Amended and Restated Warrant Agreement does not purport to be complete and is qualified in its entirety by the terms and conditions of the Form of Amended and Restated Warrant Agreement, a copy of which is filed as Exhibit 10.4 hereto, respectively, and is incorporated herein by reference.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Amended and Restated Registration Rights Agreement</w:t>
      </w:r>
    </w:p>
    <w:p>
      <w:pPr>
        <w:spacing w:after="0" w:line="200"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At the Closing, the Company, the Sponsors, the Note Investor, certain investors and other holders of Presto capital stock, including Cleveland Avenue (the “Presto Holders” and together with the Sponsors and the investors, the “Holders”) will enter into an amended and restated registration rights agreement (the “Amended and Restated Registration Rights Agreement”). Pursuant to the terms of the Amended and Restated Registration Rights Agreement, the Company will be obligated to file a registration statement to register the resale of certain securities of the Company held by the Holders. The Amended and Restated Registration Rights Agreement also provides the Holders with certain “demand” and “piggy-back” registration rights, subject to certain requirements and customary conditions.</w:t>
      </w:r>
    </w:p>
    <w:p>
      <w:pPr>
        <w:spacing w:after="0" w:line="162"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The foregoing description of the Amended and Restated Registration Rights Agreement does not purport to be complete and is qualified in its entirety by the terms and conditions of the Form of Amended and Restated Registration Rights Agreement, a copy of which is filed as Exhibit 10.5 hereto, respectively, and is incorporated herein by reference.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Governance Agreement</w:t>
      </w:r>
    </w:p>
    <w:p>
      <w:pPr>
        <w:spacing w:after="0" w:line="200"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At the Closing, the Company, Rajat Suri, REMUS Capital, an affiliate of Presto, Cleveland Avenue and certain other parties set forth therein, will enter into a Governance Agreement (the “Governance Agreement”) to provide for certain governance rights and address certain governance matters relating to the Company. The Governance Agreement will provide each of Mr. Suri, Cleveland Avenue and REMUS Capital with the right to nominate one individual to the Company’s board of directors, subject to certain qualifications, requirements and exceptions as set forth therein, including varying equity holding threshold requirements.</w:t>
      </w:r>
    </w:p>
    <w:p>
      <w:pPr>
        <w:spacing w:after="0" w:line="162"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The foregoing description of the Governance Agreement does not purport to be complete and is qualified in its entirety by the terms and conditions of the Governance Agreement, a form of which is attached as Exhibit 10.7 hereto, and the terms of which are incorporated herein by reference.</w:t>
      </w:r>
    </w:p>
    <w:p>
      <w:pPr>
        <w:spacing w:after="0" w:line="14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Item 3.02.</w:t>
      </w:r>
      <w:r>
        <w:rPr>
          <w:sz w:val="20"/>
          <w:szCs w:val="20"/>
          <w:color w:val="auto"/>
        </w:rPr>
        <w:tab/>
      </w:r>
      <w:r>
        <w:rPr>
          <w:rFonts w:ascii="Times New Roman" w:cs="Times New Roman" w:eastAsia="Times New Roman" w:hAnsi="Times New Roman"/>
          <w:sz w:val="15"/>
          <w:szCs w:val="15"/>
          <w:b w:val="1"/>
          <w:bCs w:val="1"/>
          <w:color w:val="auto"/>
        </w:rPr>
        <w:t>Unregistered Sales of Equity Securities.</w:t>
      </w:r>
    </w:p>
    <w:p>
      <w:pPr>
        <w:spacing w:after="0" w:line="200"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The disclosure set forth above in Item 1.01 of this Current Report on Form 8-K under the headings “Amended and Restated Subscription Agreements and Form of Indenture” and “Amended and Restated Warrant Agreement” are incorporated by reference herein. The shares of Common Stock to be issued and sold pursuant to the Subscription Agreements, the Notes and Financing Warrants issued pursuant to the Amended and Restated Convertible Note Subscription Agreement, the shares of Common Stock issuable upon conversion of the Notes and the exercise of the Financing Warrants will not be registered under the Securities Act of 1933, as amended (the “Securities Act”), in reliance on the exemption from registration provided by Section 4(a)(2) of the Securities Act and/or Regulation D promulgated thereunder.</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4" w:name="page5"/>
    <w:bookmarkEnd w:id="4"/>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Item 7.01.</w:t>
      </w:r>
      <w:r>
        <w:rPr>
          <w:sz w:val="20"/>
          <w:szCs w:val="20"/>
          <w:color w:val="auto"/>
        </w:rPr>
        <w:tab/>
      </w:r>
      <w:r>
        <w:rPr>
          <w:rFonts w:ascii="Times New Roman" w:cs="Times New Roman" w:eastAsia="Times New Roman" w:hAnsi="Times New Roman"/>
          <w:sz w:val="15"/>
          <w:szCs w:val="15"/>
          <w:b w:val="1"/>
          <w:bCs w:val="1"/>
          <w:color w:val="auto"/>
        </w:rPr>
        <w:t>Regulation FD Disclosure.</w:t>
      </w:r>
    </w:p>
    <w:p>
      <w:pPr>
        <w:spacing w:after="0" w:line="200"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On July 26, 2022, the Company and Presto together issued a press release announcing the execution of Amendment No.2, matters relating to the Business Combination and certain other matters. The press release is attached hereto as Exhibit 99.1 and incorporated herein by reference.</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Attached as Exhibit 99.2 hereto and incorporated herein by reference is the investor presentation dated July 2022, which will be used by the Company with respect to the Business Combination.</w:t>
      </w:r>
    </w:p>
    <w:p>
      <w:pPr>
        <w:spacing w:after="0" w:line="144"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The information in this Item 7.01, including Exhibits 99.1 and 99.2 are furnished and shall not be deemed “filed” for purposes of Section 18 of the Securities Exchange Act of 1934, as amended (the “Exchange Act”), or otherwise subject to liabilities under that section, and shall not be deemed to be incorporated by reference into the filings of the Company under the Securities Act or the Exchange Act, regardless of any general incorporation language in such filings. This Current Report on Form 8-K will not be deemed an admission as to the materiality of any information of the information in this Item 7.01, including Exhibits 99.1 and 99.2.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Additional Information and Where to Find It</w:t>
      </w:r>
    </w:p>
    <w:p>
      <w:pPr>
        <w:spacing w:after="0" w:line="202"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In connection with the proposed business combination involving Ventoux and Presto, Ventoux has filed a registration statement, which includes a preliminary proxy statement/prospectus, with the SEC. The proxy statement/prospectus will be sent to stockholders of Ventoux. This Current Report on Form 8-K is not a substitute for the proxy statement/prospectus. INVESTORS AND SECURITY HOLDERS AND OTHER INTERESTED PARTIES ARE URGED TO READ THE PROXY STATEMENT/PROSPECTUS AND ANY OTHER RELEVANT DOCUMENTS THAT HAVE BEEN FILED OR WILL BE FILED WITH THE SEC, AS WELL AS ANY AMENDMENTS OR SUPPLEMENTS TO THESE DOCUMENTS, CAREFULLY AND IN THEIR ENTIRETY WHEN THEY BECOME AVAILABLE BECAUSE THEY WILL CONTAIN IMPORTANT INFORMATION ABOUT PRESTO, VENTOUX, THE PROPOSED BUSINESS COMBINATION AND RELATED MATTERS. The documents filed or that will be filed with the SEC relating to the proposed business combination (when they are available) can be obtained free of charge from the SEC’s website at www.sec.gov. These documents (when they are available) can also be obtained free of charge from Ventoux upon written request at Ventoux CCM Acquisition Corp., 1 East Putnam Avenue, Floor 4, Greenwich, CT 06830.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 Offer or Solicitation</w:t>
      </w:r>
    </w:p>
    <w:p>
      <w:pPr>
        <w:spacing w:after="0" w:line="202"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This communication is for informational purposes only and is not intended to and shall not constitute a proxy statement or the solicitation of a proxy, consent or authorization with respect to any securities in respect of the proposed business combination and shall not constitute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Participants in Solicitation</w:t>
      </w:r>
    </w:p>
    <w:p>
      <w:pPr>
        <w:spacing w:after="0" w:line="202"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This communication is not a solicitation of a proxy from any investor or security holder. However, Ventoux, Presto, and certain of their directors and executive officers may be deemed to be participants in the solicitation of proxies in connection with the proposed business combination under the rules of the SEC. Information about Ventoux’s directors and executive officers and their ownership of Ventoux’s securities is set forth in filings with the SEC, including Ventoux’s annual report on Form 10-K filed with the SEC on February 23, 2022. To the extent that holdings of Ventoux’s securities have changed since the amounts included in Ventoux’s most recent annual report, such changes have been or will be reflected on Statements of Change in Ownership on Form 4 filed with the SEC. Additional information regarding the participants will also be included in the proxy statement/prospectus, when it becomes available. When available, these documents can be obtained free of charge from the sources indicated above.</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Forward-Looking Statements</w:t>
      </w:r>
    </w:p>
    <w:p>
      <w:pPr>
        <w:spacing w:after="0" w:line="202" w:lineRule="exact"/>
        <w:rPr>
          <w:sz w:val="20"/>
          <w:szCs w:val="20"/>
          <w:color w:val="auto"/>
        </w:rPr>
      </w:pPr>
    </w:p>
    <w:p>
      <w:pPr>
        <w:jc w:val="both"/>
        <w:ind w:left="4" w:firstLine="574"/>
        <w:spacing w:after="0" w:line="253" w:lineRule="auto"/>
        <w:rPr>
          <w:sz w:val="20"/>
          <w:szCs w:val="20"/>
          <w:color w:val="auto"/>
        </w:rPr>
      </w:pPr>
      <w:r>
        <w:rPr>
          <w:rFonts w:ascii="Times New Roman" w:cs="Times New Roman" w:eastAsia="Times New Roman" w:hAnsi="Times New Roman"/>
          <w:sz w:val="16"/>
          <w:szCs w:val="16"/>
          <w:color w:val="auto"/>
        </w:rPr>
        <w:t>This Current Report on Form 8-K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Presto’s industry and market sizes, future opportunities for VTAQ, Presto and the combined company following the proposed business combination, VTAQ’s and Presto’s estimated future results and the proposed business combination, the expected transaction and ownership structure and the likelihood and ability of the parties to successfully consummate the proposed business combination.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66" w:lineRule="exact"/>
        <w:rPr>
          <w:sz w:val="20"/>
          <w:szCs w:val="20"/>
          <w:color w:val="auto"/>
        </w:rPr>
      </w:pPr>
    </w:p>
    <w:p>
      <w:pPr>
        <w:jc w:val="both"/>
        <w:ind w:left="4" w:firstLine="574"/>
        <w:spacing w:after="0" w:line="250" w:lineRule="auto"/>
        <w:rPr>
          <w:sz w:val="20"/>
          <w:szCs w:val="20"/>
          <w:color w:val="auto"/>
        </w:rPr>
      </w:pPr>
      <w:r>
        <w:rPr>
          <w:rFonts w:ascii="Times New Roman" w:cs="Times New Roman" w:eastAsia="Times New Roman" w:hAnsi="Times New Roman"/>
          <w:sz w:val="16"/>
          <w:szCs w:val="16"/>
          <w:color w:val="auto"/>
        </w:rPr>
        <w:t>In addition to factors previously disclosed or that will be disclosed in Ventoux’s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(1) the occurrence of any event, change or other circumstances that could give rise to the termination of the merger agreement or could otherwise cause the transactions contemplated therein to fail to close; (2) the outcome of any legal proceedings that may be instituted against Ventoux, Presto, the Company or others following the announcement of the proposed business combination and any definitive agreements with respect thereto; (3) the inability to complete the proposed business combination due to the failure to obtain approval of the stockholders of Ventoux or Presto; (4) the inability of Presto to satisfy other conditions to closing; (5) changes to the proposed structure of the proposed business combination that may be required or appropriate as a result of applicable laws or regulations or as a condition to obtaining regulatory approval of the proposed business combination; (6) the ability to meet stock exchange listing standards in connection with and following the consummation of the proposed business combination; (7) the risk that the proposed business combination disrupts current plans and operations of Presto as a result of the announcement and consummation of the proposed business combination; (8) the ability to recognize the anticipated benefits of the proposed business combination, which may be affected by, among other things, competition, the ability of the Company to grow and manage growth profitably, grow its customer base, maintain relationships with customers and suppliers and retain its management and key employees; (9) the impact of the COVID-19 pandemic on the business of Presto and the Company (including the effects of the ongoing global supply chain shortage); (10) Presto’s limited operating history and history of net losses; (11) Presto’s customer concentration and reliance on a limited number of key technology providers and payment processors facilitating payments to and by Presto’s customers; (12) costs related to proposed business combination; (13) changes in applicable laws or regulations; (14) the possibility that Presto or the Company may be adversely affected by other economic, business, regulatory, and/or competitive factors;</w:t>
      </w:r>
    </w:p>
    <w:p>
      <w:pPr>
        <w:spacing w:after="0" w:line="10" w:lineRule="exact"/>
        <w:rPr>
          <w:sz w:val="20"/>
          <w:szCs w:val="20"/>
          <w:color w:val="auto"/>
        </w:rPr>
      </w:pPr>
    </w:p>
    <w:p>
      <w:pPr>
        <w:jc w:val="both"/>
        <w:ind w:left="4" w:hanging="4"/>
        <w:spacing w:after="0" w:line="252" w:lineRule="auto"/>
        <w:tabs>
          <w:tab w:leader="none" w:pos="315"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Presto’s estimates of expenses and profitability; (16) the evolution of the markets in which Presto competes; (17) the ability of Presto to implement its strategic initiatives and continue to innovate its existing products; (18) the ability of Presto to adhere to legal requirements with respect to the protection of personal data and privacy laws; (19) cybersecurity risks, data loss and other breaches of Presto’s network security and the disclosure of personal information; and (20) the risk of regulatory lawsuits or proceedings relating to Presto’s products or services.</w:t>
      </w:r>
    </w:p>
    <w:p>
      <w:pPr>
        <w:spacing w:after="0" w:line="167" w:lineRule="exact"/>
        <w:rPr>
          <w:sz w:val="20"/>
          <w:szCs w:val="20"/>
          <w:color w:val="auto"/>
        </w:rPr>
      </w:pPr>
    </w:p>
    <w:p>
      <w:pPr>
        <w:jc w:val="both"/>
        <w:ind w:left="4" w:firstLine="574"/>
        <w:spacing w:after="0" w:line="253" w:lineRule="auto"/>
        <w:rPr>
          <w:sz w:val="20"/>
          <w:szCs w:val="20"/>
          <w:color w:val="auto"/>
        </w:rPr>
      </w:pPr>
      <w:r>
        <w:rPr>
          <w:rFonts w:ascii="Times New Roman" w:cs="Times New Roman" w:eastAsia="Times New Roman" w:hAnsi="Times New Roman"/>
          <w:sz w:val="16"/>
          <w:szCs w:val="16"/>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Ventoux and Presto or the date of such information in the case of information from persons other than Ventoux and Presto, and we disclaim any intention or obligation to update any forward-looking statements as a result of developments occurring after the date of this communication. Forecasts and estimates regarding Presto’s industry and end markets are based on sources we believe to be reliable, however there can be no assurance these forecasts and estimates will prove accurate in whole or in part. Annualized, pro forma, projected and estimated numbers are used for illustrative purposes only, are not forecasts and may not reflect actual results.</w:t>
      </w:r>
    </w:p>
    <w:p>
      <w:pPr>
        <w:spacing w:after="0" w:line="3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2" w:right="319" w:bottom="1440" w:gutter="0" w:footer="0" w:header="0"/>
        </w:sectPr>
      </w:pPr>
    </w:p>
    <w:bookmarkStart w:id="6" w:name="page7"/>
    <w:bookmarkEnd w:id="6"/>
    <w:p>
      <w:pPr>
        <w:ind w:left="4"/>
        <w:spacing w:after="0"/>
        <w:tabs>
          <w:tab w:leader="none" w:pos="884" w:val="left"/>
        </w:tabs>
        <w:rPr>
          <w:sz w:val="20"/>
          <w:szCs w:val="20"/>
          <w:color w:val="auto"/>
        </w:rPr>
      </w:pPr>
      <w:r>
        <w:rPr>
          <w:rFonts w:ascii="Times New Roman" w:cs="Times New Roman" w:eastAsia="Times New Roman" w:hAnsi="Times New Roman"/>
          <w:sz w:val="16"/>
          <w:szCs w:val="16"/>
          <w:b w:val="1"/>
          <w:bCs w:val="1"/>
          <w:color w:val="auto"/>
        </w:rPr>
        <w:t>Item 9.01.</w:t>
      </w:r>
      <w:r>
        <w:rPr>
          <w:sz w:val="20"/>
          <w:szCs w:val="20"/>
          <w:color w:val="auto"/>
        </w:rPr>
        <w:tab/>
      </w:r>
      <w:r>
        <w:rPr>
          <w:rFonts w:ascii="Times New Roman" w:cs="Times New Roman" w:eastAsia="Times New Roman" w:hAnsi="Times New Roman"/>
          <w:sz w:val="15"/>
          <w:szCs w:val="15"/>
          <w:b w:val="1"/>
          <w:bCs w:val="1"/>
          <w:color w:val="auto"/>
        </w:rPr>
        <w:t>Financial Statements and Exhibits.</w:t>
      </w:r>
    </w:p>
    <w:p>
      <w:pPr>
        <w:spacing w:after="0" w:line="200" w:lineRule="exact"/>
        <w:rPr>
          <w:sz w:val="20"/>
          <w:szCs w:val="20"/>
          <w:color w:val="auto"/>
        </w:rPr>
      </w:pPr>
    </w:p>
    <w:p>
      <w:pPr>
        <w:ind w:left="904" w:hanging="543"/>
        <w:spacing w:after="0"/>
        <w:tabs>
          <w:tab w:leader="none" w:pos="904"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Exhibits.</w:t>
      </w:r>
    </w:p>
    <w:p>
      <w:pPr>
        <w:spacing w:after="0" w:line="196"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4"/>
        </w:trPr>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40" w:type="dxa"/>
            <w:vAlign w:val="bottom"/>
          </w:tcPr>
          <w:p>
            <w:pPr>
              <w:spacing w:after="0"/>
              <w:rPr>
                <w:sz w:val="18"/>
                <w:szCs w:val="18"/>
                <w:color w:val="auto"/>
              </w:rPr>
            </w:pPr>
          </w:p>
        </w:tc>
        <w:tc>
          <w:tcPr>
            <w:tcW w:w="10100" w:type="dxa"/>
            <w:vAlign w:val="bottom"/>
            <w:gridSpan w:val="11"/>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55"/>
        </w:trPr>
        <w:tc>
          <w:tcPr>
            <w:tcW w:w="1020" w:type="dxa"/>
            <w:vAlign w:val="bottom"/>
            <w:tcBorders>
              <w:top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2.1†</w:t>
            </w: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10100" w:type="dxa"/>
            <w:vAlign w:val="bottom"/>
            <w:tcBorders>
              <w:top w:val="single" w:sz="8" w:color="auto"/>
            </w:tcBorders>
            <w:gridSpan w:val="11"/>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Second Amendment to the Merger Agreement, dated as of July 25, 2022, by and among VTAQ, Ventoux Merger Sub Inc., Ventoux Merger Sub II, LLC and</w:t>
            </w:r>
          </w:p>
        </w:tc>
      </w:tr>
      <w:tr>
        <w:trPr>
          <w:trHeight w:val="171"/>
        </w:trPr>
        <w:tc>
          <w:tcPr>
            <w:tcW w:w="10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right w:val="single" w:sz="8" w:color="CCEEFF"/>
            </w:tcBorders>
            <w:shd w:val="clear" w:color="auto" w:fill="CCEEFF"/>
          </w:tcPr>
          <w:p>
            <w:pPr>
              <w:spacing w:after="0"/>
              <w:rPr>
                <w:sz w:val="14"/>
                <w:szCs w:val="14"/>
                <w:color w:val="auto"/>
              </w:rPr>
            </w:pPr>
          </w:p>
        </w:tc>
        <w:tc>
          <w:tcPr>
            <w:tcW w:w="10080" w:type="dxa"/>
            <w:vAlign w:val="bottom"/>
            <w:tcBorders>
              <w:top w:val="single" w:sz="8" w:color="0000EE"/>
            </w:tcBorders>
            <w:gridSpan w:val="10"/>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Presto.</w:t>
            </w:r>
          </w:p>
        </w:tc>
        <w:tc>
          <w:tcPr>
            <w:tcW w:w="20" w:type="dxa"/>
            <w:vAlign w:val="bottom"/>
            <w:tcBorders>
              <w:top w:val="single" w:sz="8" w:color="CCEEFF"/>
            </w:tcBorders>
            <w:shd w:val="clear" w:color="auto" w:fill="CCEEFF"/>
          </w:tcPr>
          <w:p>
            <w:pPr>
              <w:spacing w:after="0"/>
              <w:rPr>
                <w:sz w:val="14"/>
                <w:szCs w:val="14"/>
                <w:color w:val="auto"/>
              </w:rPr>
            </w:pPr>
          </w:p>
        </w:tc>
      </w:tr>
      <w:tr>
        <w:trPr>
          <w:trHeight w:val="36"/>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600" w:type="dxa"/>
            <w:vAlign w:val="bottom"/>
            <w:tcBorders>
              <w:left w:val="single" w:sz="8" w:color="CCEEFF"/>
            </w:tcBorders>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2100" w:type="dxa"/>
            <w:vAlign w:val="bottom"/>
            <w:shd w:val="clear" w:color="auto" w:fill="CCEEFF"/>
          </w:tcPr>
          <w:p>
            <w:pPr>
              <w:spacing w:after="0"/>
              <w:rPr>
                <w:sz w:val="3"/>
                <w:szCs w:val="3"/>
                <w:color w:val="auto"/>
              </w:rPr>
            </w:pPr>
          </w:p>
        </w:tc>
        <w:tc>
          <w:tcPr>
            <w:tcW w:w="132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5"/>
        </w:trPr>
        <w:tc>
          <w:tcPr>
            <w:tcW w:w="102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4.1</w:t>
            </w:r>
          </w:p>
        </w:tc>
        <w:tc>
          <w:tcPr>
            <w:tcW w:w="140" w:type="dxa"/>
            <w:vAlign w:val="bottom"/>
          </w:tcPr>
          <w:p>
            <w:pPr>
              <w:spacing w:after="0"/>
              <w:rPr>
                <w:sz w:val="13"/>
                <w:szCs w:val="13"/>
                <w:color w:val="auto"/>
              </w:rPr>
            </w:pPr>
          </w:p>
        </w:tc>
        <w:tc>
          <w:tcPr>
            <w:tcW w:w="10100" w:type="dxa"/>
            <w:vAlign w:val="bottom"/>
            <w:gridSpan w:val="11"/>
          </w:tcPr>
          <w:p>
            <w:pPr>
              <w:spacing w:after="0" w:line="155" w:lineRule="exact"/>
              <w:rPr>
                <w:sz w:val="20"/>
                <w:szCs w:val="20"/>
                <w:color w:val="auto"/>
              </w:rPr>
            </w:pPr>
            <w:r>
              <w:rPr>
                <w:rFonts w:ascii="Times New Roman" w:cs="Times New Roman" w:eastAsia="Times New Roman" w:hAnsi="Times New Roman"/>
                <w:sz w:val="16"/>
                <w:szCs w:val="16"/>
                <w:color w:val="0000EE"/>
              </w:rPr>
              <w:t>Form of Indenture, by and among VTAQ, the guarantors from time to time party thereto and U.S. Bank, National Association, as trustee.</w:t>
            </w:r>
          </w:p>
        </w:tc>
      </w:tr>
      <w:tr>
        <w:trPr>
          <w:trHeight w:val="28"/>
        </w:trPr>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6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1600" w:type="dxa"/>
            <w:vAlign w:val="bottom"/>
            <w:tcBorders>
              <w:left w:val="single" w:sz="8" w:color="0000EE"/>
            </w:tcBorders>
            <w:shd w:val="clear" w:color="auto" w:fill="0000EE"/>
          </w:tcPr>
          <w:p>
            <w:pPr>
              <w:spacing w:after="0"/>
              <w:rPr>
                <w:sz w:val="2"/>
                <w:szCs w:val="2"/>
                <w:color w:val="auto"/>
              </w:rPr>
            </w:pPr>
          </w:p>
        </w:tc>
        <w:tc>
          <w:tcPr>
            <w:tcW w:w="1000" w:type="dxa"/>
            <w:vAlign w:val="bottom"/>
            <w:shd w:val="clear" w:color="auto" w:fill="0000EE"/>
          </w:tcPr>
          <w:p>
            <w:pPr>
              <w:spacing w:after="0"/>
              <w:rPr>
                <w:sz w:val="2"/>
                <w:szCs w:val="2"/>
                <w:color w:val="auto"/>
              </w:rPr>
            </w:pPr>
          </w:p>
        </w:tc>
        <w:tc>
          <w:tcPr>
            <w:tcW w:w="2100" w:type="dxa"/>
            <w:vAlign w:val="bottom"/>
            <w:shd w:val="clear" w:color="auto" w:fill="0000EE"/>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3"/>
        </w:trPr>
        <w:tc>
          <w:tcPr>
            <w:tcW w:w="102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4.2</w:t>
            </w:r>
          </w:p>
        </w:tc>
        <w:tc>
          <w:tcPr>
            <w:tcW w:w="140" w:type="dxa"/>
            <w:vAlign w:val="bottom"/>
            <w:tcBorders>
              <w:right w:val="single" w:sz="8" w:color="CCEEFF"/>
            </w:tcBorders>
            <w:shd w:val="clear" w:color="auto" w:fill="CCEEFF"/>
          </w:tcPr>
          <w:p>
            <w:pPr>
              <w:spacing w:after="0"/>
              <w:rPr>
                <w:sz w:val="14"/>
                <w:szCs w:val="14"/>
                <w:color w:val="auto"/>
              </w:rPr>
            </w:pPr>
          </w:p>
        </w:tc>
        <w:tc>
          <w:tcPr>
            <w:tcW w:w="10100" w:type="dxa"/>
            <w:vAlign w:val="bottom"/>
            <w:gridSpan w:val="11"/>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rPr>
              <w:t>Form of 15.0% Cash + 5.0% PIK Note due 2026 (included as Exhibit A to Exhibit 4.1 of this Form 8-K).</w:t>
            </w:r>
          </w:p>
        </w:tc>
      </w:tr>
      <w:tr>
        <w:trPr>
          <w:trHeight w:val="36"/>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6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90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1600" w:type="dxa"/>
            <w:vAlign w:val="bottom"/>
            <w:tcBorders>
              <w:left w:val="single" w:sz="8" w:color="0000EE"/>
            </w:tcBorders>
            <w:shd w:val="clear" w:color="auto" w:fill="0000EE"/>
          </w:tcPr>
          <w:p>
            <w:pPr>
              <w:spacing w:after="0"/>
              <w:rPr>
                <w:sz w:val="3"/>
                <w:szCs w:val="3"/>
                <w:color w:val="auto"/>
              </w:rPr>
            </w:pPr>
          </w:p>
        </w:tc>
        <w:tc>
          <w:tcPr>
            <w:tcW w:w="1000" w:type="dxa"/>
            <w:vAlign w:val="bottom"/>
            <w:shd w:val="clear" w:color="auto" w:fill="0000EE"/>
          </w:tcPr>
          <w:p>
            <w:pPr>
              <w:spacing w:after="0"/>
              <w:rPr>
                <w:sz w:val="3"/>
                <w:szCs w:val="3"/>
                <w:color w:val="auto"/>
              </w:rPr>
            </w:pPr>
          </w:p>
        </w:tc>
        <w:tc>
          <w:tcPr>
            <w:tcW w:w="2100" w:type="dxa"/>
            <w:vAlign w:val="bottom"/>
            <w:shd w:val="clear" w:color="auto" w:fill="CCEEFF"/>
          </w:tcPr>
          <w:p>
            <w:pPr>
              <w:spacing w:after="0"/>
              <w:rPr>
                <w:sz w:val="3"/>
                <w:szCs w:val="3"/>
                <w:color w:val="auto"/>
              </w:rPr>
            </w:pPr>
          </w:p>
        </w:tc>
        <w:tc>
          <w:tcPr>
            <w:tcW w:w="132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5"/>
        </w:trPr>
        <w:tc>
          <w:tcPr>
            <w:tcW w:w="102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10.1</w:t>
            </w:r>
          </w:p>
        </w:tc>
        <w:tc>
          <w:tcPr>
            <w:tcW w:w="140" w:type="dxa"/>
            <w:vAlign w:val="bottom"/>
          </w:tcPr>
          <w:p>
            <w:pPr>
              <w:spacing w:after="0"/>
              <w:rPr>
                <w:sz w:val="13"/>
                <w:szCs w:val="13"/>
                <w:color w:val="auto"/>
              </w:rPr>
            </w:pPr>
          </w:p>
        </w:tc>
        <w:tc>
          <w:tcPr>
            <w:tcW w:w="10100" w:type="dxa"/>
            <w:vAlign w:val="bottom"/>
            <w:gridSpan w:val="11"/>
          </w:tcPr>
          <w:p>
            <w:pPr>
              <w:spacing w:after="0" w:line="155" w:lineRule="exact"/>
              <w:rPr>
                <w:sz w:val="20"/>
                <w:szCs w:val="20"/>
                <w:color w:val="auto"/>
              </w:rPr>
            </w:pPr>
            <w:r>
              <w:rPr>
                <w:rFonts w:ascii="Times New Roman" w:cs="Times New Roman" w:eastAsia="Times New Roman" w:hAnsi="Times New Roman"/>
                <w:sz w:val="16"/>
                <w:szCs w:val="16"/>
                <w:color w:val="0000EE"/>
              </w:rPr>
              <w:t>Amended and Restated Convertible Note Subscription Agreement, by and among VTAQ and affiliates of Silver Rock Capital Partners LP.</w:t>
            </w:r>
          </w:p>
        </w:tc>
      </w:tr>
      <w:tr>
        <w:trPr>
          <w:trHeight w:val="28"/>
        </w:trPr>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6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1600" w:type="dxa"/>
            <w:vAlign w:val="bottom"/>
            <w:tcBorders>
              <w:left w:val="single" w:sz="8" w:color="0000EE"/>
            </w:tcBorders>
            <w:shd w:val="clear" w:color="auto" w:fill="0000EE"/>
          </w:tcPr>
          <w:p>
            <w:pPr>
              <w:spacing w:after="0"/>
              <w:rPr>
                <w:sz w:val="2"/>
                <w:szCs w:val="2"/>
                <w:color w:val="auto"/>
              </w:rPr>
            </w:pPr>
          </w:p>
        </w:tc>
        <w:tc>
          <w:tcPr>
            <w:tcW w:w="1000" w:type="dxa"/>
            <w:vAlign w:val="bottom"/>
            <w:shd w:val="clear" w:color="auto" w:fill="0000EE"/>
          </w:tcPr>
          <w:p>
            <w:pPr>
              <w:spacing w:after="0"/>
              <w:rPr>
                <w:sz w:val="2"/>
                <w:szCs w:val="2"/>
                <w:color w:val="auto"/>
              </w:rPr>
            </w:pPr>
          </w:p>
        </w:tc>
        <w:tc>
          <w:tcPr>
            <w:tcW w:w="2100" w:type="dxa"/>
            <w:vAlign w:val="bottom"/>
            <w:shd w:val="clear" w:color="auto" w:fill="0000EE"/>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3"/>
        </w:trPr>
        <w:tc>
          <w:tcPr>
            <w:tcW w:w="102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10.2</w:t>
            </w:r>
          </w:p>
        </w:tc>
        <w:tc>
          <w:tcPr>
            <w:tcW w:w="140" w:type="dxa"/>
            <w:vAlign w:val="bottom"/>
            <w:tcBorders>
              <w:right w:val="single" w:sz="8" w:color="CCEEFF"/>
            </w:tcBorders>
            <w:shd w:val="clear" w:color="auto" w:fill="CCEEFF"/>
          </w:tcPr>
          <w:p>
            <w:pPr>
              <w:spacing w:after="0"/>
              <w:rPr>
                <w:sz w:val="14"/>
                <w:szCs w:val="14"/>
                <w:color w:val="auto"/>
              </w:rPr>
            </w:pPr>
          </w:p>
        </w:tc>
        <w:tc>
          <w:tcPr>
            <w:tcW w:w="10100" w:type="dxa"/>
            <w:vAlign w:val="bottom"/>
            <w:gridSpan w:val="11"/>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rPr>
              <w:t>Cleveland Avenue Subscription Agreement, by and between VTAQ and Presto CA, LLC.</w:t>
            </w:r>
          </w:p>
        </w:tc>
      </w:tr>
      <w:tr>
        <w:trPr>
          <w:trHeight w:val="36"/>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6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90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1600" w:type="dxa"/>
            <w:vAlign w:val="bottom"/>
            <w:tcBorders>
              <w:left w:val="single" w:sz="8" w:color="0000EE"/>
            </w:tcBorders>
            <w:shd w:val="clear" w:color="auto" w:fill="0000EE"/>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2100" w:type="dxa"/>
            <w:vAlign w:val="bottom"/>
            <w:shd w:val="clear" w:color="auto" w:fill="CCEEFF"/>
          </w:tcPr>
          <w:p>
            <w:pPr>
              <w:spacing w:after="0"/>
              <w:rPr>
                <w:sz w:val="3"/>
                <w:szCs w:val="3"/>
                <w:color w:val="auto"/>
              </w:rPr>
            </w:pPr>
          </w:p>
        </w:tc>
        <w:tc>
          <w:tcPr>
            <w:tcW w:w="132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5"/>
        </w:trPr>
        <w:tc>
          <w:tcPr>
            <w:tcW w:w="102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10.3</w:t>
            </w:r>
          </w:p>
        </w:tc>
        <w:tc>
          <w:tcPr>
            <w:tcW w:w="140" w:type="dxa"/>
            <w:vAlign w:val="bottom"/>
          </w:tcPr>
          <w:p>
            <w:pPr>
              <w:spacing w:after="0"/>
              <w:rPr>
                <w:sz w:val="13"/>
                <w:szCs w:val="13"/>
                <w:color w:val="auto"/>
              </w:rPr>
            </w:pPr>
          </w:p>
        </w:tc>
        <w:tc>
          <w:tcPr>
            <w:tcW w:w="10100" w:type="dxa"/>
            <w:vAlign w:val="bottom"/>
            <w:gridSpan w:val="11"/>
          </w:tcPr>
          <w:p>
            <w:pPr>
              <w:spacing w:after="0" w:line="155" w:lineRule="exact"/>
              <w:rPr>
                <w:sz w:val="20"/>
                <w:szCs w:val="20"/>
                <w:color w:val="auto"/>
              </w:rPr>
            </w:pPr>
            <w:r>
              <w:rPr>
                <w:rFonts w:ascii="Times New Roman" w:cs="Times New Roman" w:eastAsia="Times New Roman" w:hAnsi="Times New Roman"/>
                <w:sz w:val="16"/>
                <w:szCs w:val="16"/>
                <w:color w:val="0000EE"/>
              </w:rPr>
              <w:t>Form of Amended and Restated Equity Subscription Agreement.</w:t>
            </w:r>
          </w:p>
        </w:tc>
      </w:tr>
      <w:tr>
        <w:trPr>
          <w:trHeight w:val="28"/>
        </w:trPr>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6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1600" w:type="dxa"/>
            <w:vAlign w:val="bottom"/>
            <w:tcBorders>
              <w:left w:val="single" w:sz="8" w:color="0000EE"/>
            </w:tcBorders>
          </w:tcPr>
          <w:p>
            <w:pPr>
              <w:spacing w:after="0"/>
              <w:rPr>
                <w:sz w:val="2"/>
                <w:szCs w:val="2"/>
                <w:color w:val="auto"/>
              </w:rPr>
            </w:pPr>
          </w:p>
        </w:tc>
        <w:tc>
          <w:tcPr>
            <w:tcW w:w="10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3"/>
        </w:trPr>
        <w:tc>
          <w:tcPr>
            <w:tcW w:w="102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10.4</w:t>
            </w:r>
          </w:p>
        </w:tc>
        <w:tc>
          <w:tcPr>
            <w:tcW w:w="140" w:type="dxa"/>
            <w:vAlign w:val="bottom"/>
            <w:tcBorders>
              <w:right w:val="single" w:sz="8" w:color="CCEEFF"/>
            </w:tcBorders>
            <w:shd w:val="clear" w:color="auto" w:fill="CCEEFF"/>
          </w:tcPr>
          <w:p>
            <w:pPr>
              <w:spacing w:after="0"/>
              <w:rPr>
                <w:sz w:val="14"/>
                <w:szCs w:val="14"/>
                <w:color w:val="auto"/>
              </w:rPr>
            </w:pPr>
          </w:p>
        </w:tc>
        <w:tc>
          <w:tcPr>
            <w:tcW w:w="10100" w:type="dxa"/>
            <w:vAlign w:val="bottom"/>
            <w:gridSpan w:val="11"/>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rPr>
              <w:t>Form of Amended and Restated Warrant Agreement.</w:t>
            </w:r>
          </w:p>
        </w:tc>
      </w:tr>
      <w:tr>
        <w:trPr>
          <w:trHeight w:val="36"/>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6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900" w:type="dxa"/>
            <w:vAlign w:val="bottom"/>
            <w:shd w:val="clear" w:color="auto" w:fill="0000EE"/>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600" w:type="dxa"/>
            <w:vAlign w:val="bottom"/>
            <w:tcBorders>
              <w:left w:val="single" w:sz="8" w:color="CCEEFF"/>
            </w:tcBorders>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2100" w:type="dxa"/>
            <w:vAlign w:val="bottom"/>
            <w:shd w:val="clear" w:color="auto" w:fill="CCEEFF"/>
          </w:tcPr>
          <w:p>
            <w:pPr>
              <w:spacing w:after="0"/>
              <w:rPr>
                <w:sz w:val="3"/>
                <w:szCs w:val="3"/>
                <w:color w:val="auto"/>
              </w:rPr>
            </w:pPr>
          </w:p>
        </w:tc>
        <w:tc>
          <w:tcPr>
            <w:tcW w:w="132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5"/>
        </w:trPr>
        <w:tc>
          <w:tcPr>
            <w:tcW w:w="102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10.5</w:t>
            </w:r>
          </w:p>
        </w:tc>
        <w:tc>
          <w:tcPr>
            <w:tcW w:w="140" w:type="dxa"/>
            <w:vAlign w:val="bottom"/>
          </w:tcPr>
          <w:p>
            <w:pPr>
              <w:spacing w:after="0"/>
              <w:rPr>
                <w:sz w:val="13"/>
                <w:szCs w:val="13"/>
                <w:color w:val="auto"/>
              </w:rPr>
            </w:pPr>
          </w:p>
        </w:tc>
        <w:tc>
          <w:tcPr>
            <w:tcW w:w="10100" w:type="dxa"/>
            <w:vAlign w:val="bottom"/>
            <w:gridSpan w:val="11"/>
          </w:tcPr>
          <w:p>
            <w:pPr>
              <w:spacing w:after="0" w:line="155" w:lineRule="exact"/>
              <w:rPr>
                <w:sz w:val="20"/>
                <w:szCs w:val="20"/>
                <w:color w:val="auto"/>
              </w:rPr>
            </w:pPr>
            <w:r>
              <w:rPr>
                <w:rFonts w:ascii="Times New Roman" w:cs="Times New Roman" w:eastAsia="Times New Roman" w:hAnsi="Times New Roman"/>
                <w:sz w:val="16"/>
                <w:szCs w:val="16"/>
                <w:color w:val="0000EE"/>
              </w:rPr>
              <w:t>Form of Amended and Restated Registration Rights Agreement.</w:t>
            </w:r>
          </w:p>
        </w:tc>
      </w:tr>
      <w:tr>
        <w:trPr>
          <w:trHeight w:val="28"/>
        </w:trPr>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6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1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3"/>
        </w:trPr>
        <w:tc>
          <w:tcPr>
            <w:tcW w:w="102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10.6</w:t>
            </w:r>
          </w:p>
        </w:tc>
        <w:tc>
          <w:tcPr>
            <w:tcW w:w="140" w:type="dxa"/>
            <w:vAlign w:val="bottom"/>
            <w:tcBorders>
              <w:right w:val="single" w:sz="8" w:color="CCEEFF"/>
            </w:tcBorders>
            <w:shd w:val="clear" w:color="auto" w:fill="CCEEFF"/>
          </w:tcPr>
          <w:p>
            <w:pPr>
              <w:spacing w:after="0"/>
              <w:rPr>
                <w:sz w:val="14"/>
                <w:szCs w:val="14"/>
                <w:color w:val="auto"/>
              </w:rPr>
            </w:pPr>
          </w:p>
        </w:tc>
        <w:tc>
          <w:tcPr>
            <w:tcW w:w="10100" w:type="dxa"/>
            <w:vAlign w:val="bottom"/>
            <w:gridSpan w:val="11"/>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rPr>
              <w:t>Amended and Restated Sponsor Support Agreement, dated as of July 25, 2022, by and among Ventoux CCM Sponsor LLC, Chardan International</w:t>
            </w:r>
          </w:p>
        </w:tc>
      </w:tr>
      <w:tr>
        <w:trPr>
          <w:trHeight w:val="171"/>
        </w:trPr>
        <w:tc>
          <w:tcPr>
            <w:tcW w:w="10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right w:val="single" w:sz="8" w:color="CCEEFF"/>
            </w:tcBorders>
            <w:shd w:val="clear" w:color="auto" w:fill="CCEEFF"/>
          </w:tcPr>
          <w:p>
            <w:pPr>
              <w:spacing w:after="0"/>
              <w:rPr>
                <w:sz w:val="14"/>
                <w:szCs w:val="14"/>
                <w:color w:val="auto"/>
              </w:rPr>
            </w:pPr>
          </w:p>
        </w:tc>
        <w:tc>
          <w:tcPr>
            <w:tcW w:w="10080" w:type="dxa"/>
            <w:vAlign w:val="bottom"/>
            <w:tcBorders>
              <w:top w:val="single" w:sz="8" w:color="0000EE"/>
            </w:tcBorders>
            <w:gridSpan w:val="10"/>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Investments, LLC, VTAQ and Presto.</w:t>
            </w:r>
          </w:p>
        </w:tc>
        <w:tc>
          <w:tcPr>
            <w:tcW w:w="20" w:type="dxa"/>
            <w:vAlign w:val="bottom"/>
            <w:tcBorders>
              <w:top w:val="single" w:sz="8" w:color="CCEEFF"/>
            </w:tcBorders>
            <w:shd w:val="clear" w:color="auto" w:fill="CCEEFF"/>
          </w:tcPr>
          <w:p>
            <w:pPr>
              <w:spacing w:after="0"/>
              <w:rPr>
                <w:sz w:val="14"/>
                <w:szCs w:val="14"/>
                <w:color w:val="auto"/>
              </w:rPr>
            </w:pPr>
          </w:p>
        </w:tc>
      </w:tr>
      <w:tr>
        <w:trPr>
          <w:trHeight w:val="36"/>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6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40" w:type="dxa"/>
            <w:vAlign w:val="bottom"/>
            <w:tcBorders>
              <w:right w:val="single" w:sz="8" w:color="CCEEFF"/>
            </w:tcBorders>
            <w:shd w:val="clear" w:color="auto" w:fill="0000EE"/>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600" w:type="dxa"/>
            <w:vAlign w:val="bottom"/>
            <w:tcBorders>
              <w:left w:val="single" w:sz="8" w:color="CCEEFF"/>
            </w:tcBorders>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2100" w:type="dxa"/>
            <w:vAlign w:val="bottom"/>
            <w:shd w:val="clear" w:color="auto" w:fill="CCEEFF"/>
          </w:tcPr>
          <w:p>
            <w:pPr>
              <w:spacing w:after="0"/>
              <w:rPr>
                <w:sz w:val="3"/>
                <w:szCs w:val="3"/>
                <w:color w:val="auto"/>
              </w:rPr>
            </w:pPr>
          </w:p>
        </w:tc>
        <w:tc>
          <w:tcPr>
            <w:tcW w:w="132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5"/>
        </w:trPr>
        <w:tc>
          <w:tcPr>
            <w:tcW w:w="102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10.7</w:t>
            </w:r>
          </w:p>
        </w:tc>
        <w:tc>
          <w:tcPr>
            <w:tcW w:w="140" w:type="dxa"/>
            <w:vAlign w:val="bottom"/>
          </w:tcPr>
          <w:p>
            <w:pPr>
              <w:spacing w:after="0"/>
              <w:rPr>
                <w:sz w:val="13"/>
                <w:szCs w:val="13"/>
                <w:color w:val="auto"/>
              </w:rPr>
            </w:pPr>
          </w:p>
        </w:tc>
        <w:tc>
          <w:tcPr>
            <w:tcW w:w="10100" w:type="dxa"/>
            <w:vAlign w:val="bottom"/>
            <w:gridSpan w:val="11"/>
          </w:tcPr>
          <w:p>
            <w:pPr>
              <w:spacing w:after="0" w:line="155" w:lineRule="exact"/>
              <w:rPr>
                <w:sz w:val="20"/>
                <w:szCs w:val="20"/>
                <w:color w:val="auto"/>
              </w:rPr>
            </w:pPr>
            <w:r>
              <w:rPr>
                <w:rFonts w:ascii="Times New Roman" w:cs="Times New Roman" w:eastAsia="Times New Roman" w:hAnsi="Times New Roman"/>
                <w:sz w:val="16"/>
                <w:szCs w:val="16"/>
                <w:color w:val="0000EE"/>
              </w:rPr>
              <w:t>Form of Governance Agreement.</w:t>
            </w:r>
          </w:p>
        </w:tc>
      </w:tr>
      <w:tr>
        <w:trPr>
          <w:trHeight w:val="28"/>
        </w:trPr>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68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3"/>
        </w:trPr>
        <w:tc>
          <w:tcPr>
            <w:tcW w:w="102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10.8</w:t>
            </w:r>
          </w:p>
        </w:tc>
        <w:tc>
          <w:tcPr>
            <w:tcW w:w="140" w:type="dxa"/>
            <w:vAlign w:val="bottom"/>
            <w:tcBorders>
              <w:right w:val="single" w:sz="8" w:color="CCEEFF"/>
            </w:tcBorders>
            <w:shd w:val="clear" w:color="auto" w:fill="CCEEFF"/>
          </w:tcPr>
          <w:p>
            <w:pPr>
              <w:spacing w:after="0"/>
              <w:rPr>
                <w:sz w:val="14"/>
                <w:szCs w:val="14"/>
                <w:color w:val="auto"/>
              </w:rPr>
            </w:pPr>
          </w:p>
        </w:tc>
        <w:tc>
          <w:tcPr>
            <w:tcW w:w="10100" w:type="dxa"/>
            <w:vAlign w:val="bottom"/>
            <w:gridSpan w:val="11"/>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rPr>
              <w:t>Form of Presto Stockholder Support Agreement, dated as of July 25, 2022, by and among certain stockholders of Presto, VTAQ and Presto</w:t>
            </w:r>
          </w:p>
        </w:tc>
      </w:tr>
      <w:tr>
        <w:trPr>
          <w:trHeight w:val="36"/>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6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90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1600" w:type="dxa"/>
            <w:vAlign w:val="bottom"/>
            <w:tcBorders>
              <w:left w:val="single" w:sz="8" w:color="0000EE"/>
            </w:tcBorders>
            <w:shd w:val="clear" w:color="auto" w:fill="0000EE"/>
          </w:tcPr>
          <w:p>
            <w:pPr>
              <w:spacing w:after="0"/>
              <w:rPr>
                <w:sz w:val="3"/>
                <w:szCs w:val="3"/>
                <w:color w:val="auto"/>
              </w:rPr>
            </w:pPr>
          </w:p>
        </w:tc>
        <w:tc>
          <w:tcPr>
            <w:tcW w:w="1000" w:type="dxa"/>
            <w:vAlign w:val="bottom"/>
            <w:shd w:val="clear" w:color="auto" w:fill="0000EE"/>
          </w:tcPr>
          <w:p>
            <w:pPr>
              <w:spacing w:after="0"/>
              <w:rPr>
                <w:sz w:val="3"/>
                <w:szCs w:val="3"/>
                <w:color w:val="auto"/>
              </w:rPr>
            </w:pPr>
          </w:p>
        </w:tc>
        <w:tc>
          <w:tcPr>
            <w:tcW w:w="2100" w:type="dxa"/>
            <w:vAlign w:val="bottom"/>
            <w:shd w:val="clear" w:color="auto" w:fill="0000EE"/>
          </w:tcPr>
          <w:p>
            <w:pPr>
              <w:spacing w:after="0"/>
              <w:rPr>
                <w:sz w:val="3"/>
                <w:szCs w:val="3"/>
                <w:color w:val="auto"/>
              </w:rPr>
            </w:pPr>
          </w:p>
        </w:tc>
        <w:tc>
          <w:tcPr>
            <w:tcW w:w="1320" w:type="dxa"/>
            <w:vAlign w:val="bottom"/>
            <w:tcBorders>
              <w:left w:val="single" w:sz="8" w:color="0000EE"/>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5"/>
        </w:trPr>
        <w:tc>
          <w:tcPr>
            <w:tcW w:w="102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99.1</w:t>
            </w:r>
          </w:p>
        </w:tc>
        <w:tc>
          <w:tcPr>
            <w:tcW w:w="140" w:type="dxa"/>
            <w:vAlign w:val="bottom"/>
          </w:tcPr>
          <w:p>
            <w:pPr>
              <w:spacing w:after="0"/>
              <w:rPr>
                <w:sz w:val="13"/>
                <w:szCs w:val="13"/>
                <w:color w:val="auto"/>
              </w:rPr>
            </w:pPr>
          </w:p>
        </w:tc>
        <w:tc>
          <w:tcPr>
            <w:tcW w:w="10100" w:type="dxa"/>
            <w:vAlign w:val="bottom"/>
            <w:gridSpan w:val="11"/>
          </w:tcPr>
          <w:p>
            <w:pPr>
              <w:spacing w:after="0" w:line="155" w:lineRule="exact"/>
              <w:rPr>
                <w:sz w:val="20"/>
                <w:szCs w:val="20"/>
                <w:color w:val="auto"/>
              </w:rPr>
            </w:pPr>
            <w:r>
              <w:rPr>
                <w:rFonts w:ascii="Times New Roman" w:cs="Times New Roman" w:eastAsia="Times New Roman" w:hAnsi="Times New Roman"/>
                <w:sz w:val="16"/>
                <w:szCs w:val="16"/>
                <w:color w:val="0000EE"/>
              </w:rPr>
              <w:t>Press Release, dated July 26, 2022.</w:t>
            </w:r>
          </w:p>
        </w:tc>
      </w:tr>
      <w:tr>
        <w:trPr>
          <w:trHeight w:val="28"/>
        </w:trPr>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6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3"/>
        </w:trPr>
        <w:tc>
          <w:tcPr>
            <w:tcW w:w="102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99.2</w:t>
            </w:r>
          </w:p>
        </w:tc>
        <w:tc>
          <w:tcPr>
            <w:tcW w:w="140" w:type="dxa"/>
            <w:vAlign w:val="bottom"/>
            <w:tcBorders>
              <w:right w:val="single" w:sz="8" w:color="CCEEFF"/>
            </w:tcBorders>
            <w:shd w:val="clear" w:color="auto" w:fill="CCEEFF"/>
          </w:tcPr>
          <w:p>
            <w:pPr>
              <w:spacing w:after="0"/>
              <w:rPr>
                <w:sz w:val="14"/>
                <w:szCs w:val="14"/>
                <w:color w:val="auto"/>
              </w:rPr>
            </w:pPr>
          </w:p>
        </w:tc>
        <w:tc>
          <w:tcPr>
            <w:tcW w:w="10100" w:type="dxa"/>
            <w:vAlign w:val="bottom"/>
            <w:gridSpan w:val="11"/>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rPr>
              <w:t>Investor Presentation, dated July 2022.</w:t>
            </w:r>
          </w:p>
        </w:tc>
      </w:tr>
      <w:tr>
        <w:trPr>
          <w:trHeight w:val="36"/>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6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600" w:type="dxa"/>
            <w:vAlign w:val="bottom"/>
            <w:tcBorders>
              <w:left w:val="single" w:sz="8" w:color="CCEEFF"/>
            </w:tcBorders>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2100" w:type="dxa"/>
            <w:vAlign w:val="bottom"/>
            <w:shd w:val="clear" w:color="auto" w:fill="CCEEFF"/>
          </w:tcPr>
          <w:p>
            <w:pPr>
              <w:spacing w:after="0"/>
              <w:rPr>
                <w:sz w:val="3"/>
                <w:szCs w:val="3"/>
                <w:color w:val="auto"/>
              </w:rPr>
            </w:pPr>
          </w:p>
        </w:tc>
        <w:tc>
          <w:tcPr>
            <w:tcW w:w="132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208"/>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40" w:type="dxa"/>
            <w:vAlign w:val="bottom"/>
          </w:tcPr>
          <w:p>
            <w:pPr>
              <w:spacing w:after="0"/>
              <w:rPr>
                <w:sz w:val="18"/>
                <w:szCs w:val="18"/>
                <w:color w:val="auto"/>
              </w:rPr>
            </w:pPr>
          </w:p>
        </w:tc>
        <w:tc>
          <w:tcPr>
            <w:tcW w:w="1010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bl>
    <w:p>
      <w:pPr>
        <w:spacing w:after="0" w:line="194" w:lineRule="exact"/>
        <w:rPr>
          <w:sz w:val="20"/>
          <w:szCs w:val="20"/>
          <w:color w:val="auto"/>
        </w:rPr>
      </w:pPr>
    </w:p>
    <w:p>
      <w:pPr>
        <w:ind w:left="4" w:right="20" w:hanging="4"/>
        <w:spacing w:after="0" w:line="193" w:lineRule="auto"/>
        <w:tabs>
          <w:tab w:leader="none" w:pos="138" w:val="left"/>
        </w:tabs>
        <w:numPr>
          <w:ilvl w:val="0"/>
          <w:numId w:val="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36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0" w:lineRule="exact"/>
        <w:rPr>
          <w:sz w:val="20"/>
          <w:szCs w:val="20"/>
          <w:color w:val="auto"/>
        </w:rPr>
      </w:pPr>
    </w:p>
    <w:p>
      <w:pPr>
        <w:ind w:firstLine="574"/>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Ventoux CCM Acquisition Corp. has duly caused this report to be signed on its behalf by the undersigned hereunto duly authorized.</w:t>
      </w:r>
    </w:p>
    <w:p>
      <w:pPr>
        <w:spacing w:after="0" w:line="14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VENTOUX CCM ACQUISITION CORP.</w:t>
      </w:r>
    </w:p>
    <w:p>
      <w:pPr>
        <w:spacing w:after="0" w:line="200"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6"/>
          <w:szCs w:val="16"/>
          <w:color w:val="auto"/>
        </w:rPr>
        <w:t>Date: July 26, 2022</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15240</wp:posOffset>
            </wp:positionV>
            <wp:extent cx="257238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6"/>
          <w:szCs w:val="16"/>
          <w:color w:val="auto"/>
        </w:rPr>
        <w:t>Edward Scheetz</w:t>
      </w:r>
    </w:p>
    <w:p>
      <w:pPr>
        <w:spacing w:after="0" w:line="1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9"/>
          <w:szCs w:val="19"/>
          <w:b w:val="1"/>
          <w:bCs w:val="1"/>
          <w:color w:val="auto"/>
        </w:rPr>
        <w:t>Exhibit 2.1</w:t>
      </w: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Execution Version</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AMENDMENT TO AGREEMENT AND PLAN OF MERGER</w:t>
      </w:r>
    </w:p>
    <w:p>
      <w:pPr>
        <w:spacing w:after="0" w:line="200"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6"/>
          <w:szCs w:val="16"/>
          <w:color w:val="auto"/>
        </w:rPr>
        <w:t>This Second Amendment to Agreement and Plan of Merger (this “</w:t>
      </w:r>
      <w:r>
        <w:rPr>
          <w:rFonts w:ascii="Times New Roman" w:cs="Times New Roman" w:eastAsia="Times New Roman" w:hAnsi="Times New Roman"/>
          <w:sz w:val="16"/>
          <w:szCs w:val="16"/>
          <w:u w:val="single" w:color="auto"/>
          <w:color w:val="auto"/>
        </w:rPr>
        <w:t>Amendment</w:t>
      </w:r>
      <w:r>
        <w:rPr>
          <w:rFonts w:ascii="Times New Roman" w:cs="Times New Roman" w:eastAsia="Times New Roman" w:hAnsi="Times New Roman"/>
          <w:sz w:val="16"/>
          <w:szCs w:val="16"/>
          <w:color w:val="auto"/>
        </w:rPr>
        <w:t>”), dated as of July 25, 2022, is made by and among (a) Ventoux CCM Acquisition Corp., a Delaware corporation (“</w:t>
      </w:r>
      <w:r>
        <w:rPr>
          <w:rFonts w:ascii="Times New Roman" w:cs="Times New Roman" w:eastAsia="Times New Roman" w:hAnsi="Times New Roman"/>
          <w:sz w:val="16"/>
          <w:szCs w:val="16"/>
          <w:u w:val="single" w:color="auto"/>
          <w:color w:val="auto"/>
        </w:rPr>
        <w:t>Acquiror</w:t>
      </w:r>
      <w:r>
        <w:rPr>
          <w:rFonts w:ascii="Times New Roman" w:cs="Times New Roman" w:eastAsia="Times New Roman" w:hAnsi="Times New Roman"/>
          <w:sz w:val="16"/>
          <w:szCs w:val="16"/>
          <w:color w:val="auto"/>
        </w:rPr>
        <w:t>”), Ventoux Merger Sub I Inc., a Delaware corporation (“</w:t>
      </w:r>
      <w:r>
        <w:rPr>
          <w:rFonts w:ascii="Times New Roman" w:cs="Times New Roman" w:eastAsia="Times New Roman" w:hAnsi="Times New Roman"/>
          <w:sz w:val="16"/>
          <w:szCs w:val="16"/>
          <w:u w:val="single" w:color="auto"/>
          <w:color w:val="auto"/>
        </w:rPr>
        <w:t>First Merger Sub</w:t>
      </w:r>
      <w:r>
        <w:rPr>
          <w:rFonts w:ascii="Times New Roman" w:cs="Times New Roman" w:eastAsia="Times New Roman" w:hAnsi="Times New Roman"/>
          <w:sz w:val="16"/>
          <w:szCs w:val="16"/>
          <w:color w:val="auto"/>
        </w:rPr>
        <w:t>”), Ventoux Merger Sub II LLC, a Delaware limited liability company (“</w:t>
      </w:r>
      <w:r>
        <w:rPr>
          <w:rFonts w:ascii="Times New Roman" w:cs="Times New Roman" w:eastAsia="Times New Roman" w:hAnsi="Times New Roman"/>
          <w:sz w:val="16"/>
          <w:szCs w:val="16"/>
          <w:u w:val="single" w:color="auto"/>
          <w:color w:val="auto"/>
        </w:rPr>
        <w:t>Second Merger Sub</w:t>
      </w:r>
      <w:r>
        <w:rPr>
          <w:rFonts w:ascii="Times New Roman" w:cs="Times New Roman" w:eastAsia="Times New Roman" w:hAnsi="Times New Roman"/>
          <w:sz w:val="16"/>
          <w:szCs w:val="16"/>
          <w:color w:val="auto"/>
        </w:rPr>
        <w:t>”) and E La Carte,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and amends that certain Agreement and Plan of Merger dated as of November 10, 2021, as amended by that certain amendment to agreement and plan of merger dated as of April 1, 2022, by and among Acquiror, First Merger Sub, Second Merger Sub and the Company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Capitalized terms used and not defined in this Amendment have the respective meanings given to such terms in the Merger Agreement.</w:t>
      </w:r>
    </w:p>
    <w:p>
      <w:pPr>
        <w:spacing w:after="0" w:line="165" w:lineRule="exact"/>
        <w:rPr>
          <w:sz w:val="20"/>
          <w:szCs w:val="20"/>
          <w:color w:val="auto"/>
        </w:rPr>
      </w:pPr>
    </w:p>
    <w:p>
      <w:pPr>
        <w:jc w:val="both"/>
        <w:ind w:firstLine="382"/>
        <w:spacing w:after="0" w:line="280" w:lineRule="auto"/>
        <w:rPr>
          <w:sz w:val="20"/>
          <w:szCs w:val="20"/>
          <w:color w:val="auto"/>
        </w:rPr>
      </w:pPr>
      <w:r>
        <w:rPr>
          <w:rFonts w:ascii="Times New Roman" w:cs="Times New Roman" w:eastAsia="Times New Roman" w:hAnsi="Times New Roman"/>
          <w:sz w:val="16"/>
          <w:szCs w:val="16"/>
          <w:color w:val="auto"/>
        </w:rPr>
        <w:t>WHEREAS, pursuant to Section 11.10 of the Merger Agreement, the Merger Agreement may be amended or modified in whole or in part, only by a duly authorized agreement in writing executed in the same manner as the Merger Agreement which makes reference to the Merger Agreement; and</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WHEREAS, the parties wish to amend the Merger Agreement as described herein.</w:t>
      </w:r>
    </w:p>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color w:val="auto"/>
        </w:rPr>
        <w:t xml:space="preserve">NOW THEREFORE, </w:t>
      </w:r>
      <w:r>
        <w:rPr>
          <w:rFonts w:ascii="Times New Roman" w:cs="Times New Roman" w:eastAsia="Times New Roman" w:hAnsi="Times New Roman"/>
          <w:sz w:val="16"/>
          <w:szCs w:val="16"/>
          <w:color w:val="auto"/>
        </w:rPr>
        <w:t>for good and valuable consideration, the receipt and sufficiency of which are hereby acknowledged, the parties agree as follows:</w:t>
      </w:r>
    </w:p>
    <w:p>
      <w:pPr>
        <w:spacing w:after="0" w:line="200" w:lineRule="exact"/>
        <w:rPr>
          <w:sz w:val="20"/>
          <w:szCs w:val="20"/>
          <w:color w:val="auto"/>
        </w:rPr>
      </w:pPr>
    </w:p>
    <w:p>
      <w:pPr>
        <w:ind w:left="920" w:hanging="160"/>
        <w:spacing w:after="0"/>
        <w:tabs>
          <w:tab w:leader="none" w:pos="9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 of Recitals</w:t>
      </w:r>
      <w:r>
        <w:rPr>
          <w:rFonts w:ascii="Times New Roman" w:cs="Times New Roman" w:eastAsia="Times New Roman" w:hAnsi="Times New Roman"/>
          <w:sz w:val="16"/>
          <w:szCs w:val="16"/>
          <w:color w:val="auto"/>
        </w:rPr>
        <w:t>. Recital number five (5) is hereby amended by deleting “$70,000,000” and replacing it with “$85,000,000”.</w:t>
      </w:r>
    </w:p>
    <w:p>
      <w:pPr>
        <w:spacing w:after="0" w:line="198" w:lineRule="exact"/>
        <w:rPr>
          <w:rFonts w:ascii="Times New Roman" w:cs="Times New Roman" w:eastAsia="Times New Roman" w:hAnsi="Times New Roman"/>
          <w:sz w:val="16"/>
          <w:szCs w:val="16"/>
          <w:color w:val="auto"/>
        </w:rPr>
      </w:pPr>
    </w:p>
    <w:p>
      <w:pPr>
        <w:ind w:left="920" w:hanging="160"/>
        <w:spacing w:after="0"/>
        <w:tabs>
          <w:tab w:leader="none" w:pos="9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 of Recitals</w:t>
      </w:r>
      <w:r>
        <w:rPr>
          <w:rFonts w:ascii="Times New Roman" w:cs="Times New Roman" w:eastAsia="Times New Roman" w:hAnsi="Times New Roman"/>
          <w:sz w:val="16"/>
          <w:szCs w:val="16"/>
          <w:color w:val="auto"/>
        </w:rPr>
        <w:t>. Recital number fourteen (14) is hereby amended and restated in its entirety as follows:</w:t>
      </w:r>
    </w:p>
    <w:p>
      <w:pPr>
        <w:spacing w:after="0" w:line="198" w:lineRule="exact"/>
        <w:rPr>
          <w:sz w:val="20"/>
          <w:szCs w:val="20"/>
          <w:color w:val="auto"/>
        </w:rPr>
      </w:pPr>
    </w:p>
    <w:p>
      <w:pPr>
        <w:jc w:val="both"/>
        <w:ind w:left="760" w:right="20"/>
        <w:spacing w:after="0" w:line="265" w:lineRule="auto"/>
        <w:rPr>
          <w:sz w:val="20"/>
          <w:szCs w:val="20"/>
          <w:color w:val="auto"/>
        </w:rPr>
      </w:pPr>
      <w:r>
        <w:rPr>
          <w:rFonts w:ascii="Times New Roman" w:cs="Times New Roman" w:eastAsia="Times New Roman" w:hAnsi="Times New Roman"/>
          <w:sz w:val="16"/>
          <w:szCs w:val="16"/>
          <w:color w:val="auto"/>
        </w:rPr>
        <w:t>“WHEREAS, prior to the consummation of the Transactions, the Acquiror, the Sponsors, certain of the members of the Sponsors and certain former stockholders of the Company shall enter into an Amended and Restated Registration Rights Agreement in substantially the form set forth on Exhibit C (with such changes as may be agreed in writing by Acquiror and the Company) (the “Registration Rights Agreement”); and”</w:t>
      </w:r>
    </w:p>
    <w:p>
      <w:pPr>
        <w:spacing w:after="0" w:line="155" w:lineRule="exact"/>
        <w:rPr>
          <w:sz w:val="20"/>
          <w:szCs w:val="20"/>
          <w:color w:val="auto"/>
        </w:rPr>
      </w:pPr>
    </w:p>
    <w:p>
      <w:pPr>
        <w:ind w:right="20" w:firstLine="760"/>
        <w:spacing w:after="0" w:line="280" w:lineRule="auto"/>
        <w:tabs>
          <w:tab w:leader="none" w:pos="936"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 of Section 1.01. “Company Equity Awards”</w:t>
      </w:r>
      <w:r>
        <w:rPr>
          <w:rFonts w:ascii="Times New Roman" w:cs="Times New Roman" w:eastAsia="Times New Roman" w:hAnsi="Times New Roman"/>
          <w:sz w:val="16"/>
          <w:szCs w:val="16"/>
          <w:color w:val="auto"/>
        </w:rPr>
        <w:t>. The defined term “Company Equity Awards” in Section 1.01 of the Merger Agreement is hereby amended as follows:</w:t>
      </w:r>
    </w:p>
    <w:p>
      <w:pPr>
        <w:spacing w:after="0" w:line="1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Equity Awards</w:t>
      </w:r>
      <w:r>
        <w:rPr>
          <w:rFonts w:ascii="Times New Roman" w:cs="Times New Roman" w:eastAsia="Times New Roman" w:hAnsi="Times New Roman"/>
          <w:sz w:val="16"/>
          <w:szCs w:val="16"/>
          <w:color w:val="auto"/>
        </w:rPr>
        <w:t>” means Company Options, Company RSUs and any other awards granted under the Company Stock Plans.”</w:t>
      </w:r>
    </w:p>
    <w:p>
      <w:pPr>
        <w:spacing w:after="0" w:line="198" w:lineRule="exact"/>
        <w:rPr>
          <w:sz w:val="20"/>
          <w:szCs w:val="20"/>
          <w:color w:val="auto"/>
        </w:rPr>
      </w:pPr>
    </w:p>
    <w:p>
      <w:pPr>
        <w:ind w:right="20" w:firstLine="760"/>
        <w:spacing w:after="0" w:line="280" w:lineRule="auto"/>
        <w:tabs>
          <w:tab w:leader="none" w:pos="924"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 of Section 1.01. “Company Outstanding Shares”</w:t>
      </w:r>
      <w:r>
        <w:rPr>
          <w:rFonts w:ascii="Times New Roman" w:cs="Times New Roman" w:eastAsia="Times New Roman" w:hAnsi="Times New Roman"/>
          <w:sz w:val="16"/>
          <w:szCs w:val="16"/>
          <w:color w:val="auto"/>
        </w:rPr>
        <w:t>. The defined term “Company Equity Awards” in Section 1.01 of the Merger Agreement is hereby amended and restated in its entirety as follows:</w:t>
      </w:r>
    </w:p>
    <w:p>
      <w:pPr>
        <w:spacing w:after="0" w:line="144" w:lineRule="exact"/>
        <w:rPr>
          <w:sz w:val="20"/>
          <w:szCs w:val="20"/>
          <w:color w:val="auto"/>
        </w:rPr>
      </w:pPr>
    </w:p>
    <w:p>
      <w:pPr>
        <w:jc w:val="both"/>
        <w:ind w:left="760" w:right="20"/>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Outstanding Shares</w:t>
      </w:r>
      <w:r>
        <w:rPr>
          <w:rFonts w:ascii="Times New Roman" w:cs="Times New Roman" w:eastAsia="Times New Roman" w:hAnsi="Times New Roman"/>
          <w:sz w:val="16"/>
          <w:szCs w:val="16"/>
          <w:color w:val="auto"/>
        </w:rPr>
        <w:t xml:space="preserve">” means, without duplication, (a) the total number of shares of Company Common Stock outstanding immediately prior to the Effective Time, expressed on a fully-diluted and as-converted to Company Common Stock basis, and including, without limitation, (i) the number of shares of Company Common Stock issuable upon conversion of the Company Preferred Stock and Company Convertible Notes pursuant to </w:t>
      </w:r>
      <w:r>
        <w:rPr>
          <w:rFonts w:ascii="Times New Roman" w:cs="Times New Roman" w:eastAsia="Times New Roman" w:hAnsi="Times New Roman"/>
          <w:sz w:val="16"/>
          <w:szCs w:val="16"/>
          <w:u w:val="single" w:color="auto"/>
          <w:color w:val="auto"/>
        </w:rPr>
        <w:t>Section 3.01(a)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3.01(b)</w:t>
      </w:r>
      <w:r>
        <w:rPr>
          <w:rFonts w:ascii="Times New Roman" w:cs="Times New Roman" w:eastAsia="Times New Roman" w:hAnsi="Times New Roman"/>
          <w:sz w:val="16"/>
          <w:szCs w:val="16"/>
          <w:color w:val="auto"/>
        </w:rPr>
        <w:t>, and the exercise of Company Warrants, respectively, and (ii) the number of shares of Company Common Stock subject to unexpired, issued and outstanding Company Options and Company RSUs, in each case, as of immediately prior to the Effective Time, minus (b) (i) the total number of shares of Company Common Stock, issued or issuable in connection with the Permitted Acquisitions, (ii) Excluded Shares outstanding immediately prior to the Effective Time and (iii) the Dissenting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374015</wp:posOffset>
            </wp:positionV>
            <wp:extent cx="714819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9" w:name="page10"/>
    <w:bookmarkEnd w:id="9"/>
    <w:p>
      <w:pPr>
        <w:ind w:left="920" w:hanging="160"/>
        <w:spacing w:after="0"/>
        <w:tabs>
          <w:tab w:leader="none" w:pos="9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 of Section 1.01.</w:t>
      </w:r>
      <w:r>
        <w:rPr>
          <w:rFonts w:ascii="Times New Roman" w:cs="Times New Roman" w:eastAsia="Times New Roman" w:hAnsi="Times New Roman"/>
          <w:sz w:val="16"/>
          <w:szCs w:val="16"/>
          <w:color w:val="auto"/>
        </w:rPr>
        <w:t xml:space="preserve"> Section 1.01 of the Merger Agreement is amended to include the following new definitions:</w:t>
      </w:r>
    </w:p>
    <w:p>
      <w:pPr>
        <w:spacing w:after="0" w:line="198"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RSUs</w:t>
      </w:r>
      <w:r>
        <w:rPr>
          <w:rFonts w:ascii="Times New Roman" w:cs="Times New Roman" w:eastAsia="Times New Roman" w:hAnsi="Times New Roman"/>
          <w:sz w:val="16"/>
          <w:szCs w:val="16"/>
          <w:color w:val="auto"/>
        </w:rPr>
        <w:t xml:space="preserve">” has the meaning specified in </w:t>
      </w:r>
      <w:r>
        <w:rPr>
          <w:rFonts w:ascii="Times New Roman" w:cs="Times New Roman" w:eastAsia="Times New Roman" w:hAnsi="Times New Roman"/>
          <w:sz w:val="16"/>
          <w:szCs w:val="16"/>
          <w:u w:val="single" w:color="auto"/>
          <w:color w:val="auto"/>
        </w:rPr>
        <w:t>Section 3.02(c)</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Exchanged RSU</w:t>
      </w:r>
      <w:r>
        <w:rPr>
          <w:rFonts w:ascii="Times New Roman" w:cs="Times New Roman" w:eastAsia="Times New Roman" w:hAnsi="Times New Roman"/>
          <w:sz w:val="16"/>
          <w:szCs w:val="16"/>
          <w:color w:val="auto"/>
        </w:rPr>
        <w:t xml:space="preserve">” has the meaning specified in </w:t>
      </w:r>
      <w:r>
        <w:rPr>
          <w:rFonts w:ascii="Times New Roman" w:cs="Times New Roman" w:eastAsia="Times New Roman" w:hAnsi="Times New Roman"/>
          <w:sz w:val="16"/>
          <w:szCs w:val="16"/>
          <w:u w:val="single" w:color="auto"/>
          <w:color w:val="auto"/>
        </w:rPr>
        <w:t>Section 3.02(c)</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RSU Earnout Shares</w:t>
      </w:r>
      <w:r>
        <w:rPr>
          <w:rFonts w:ascii="Times New Roman" w:cs="Times New Roman" w:eastAsia="Times New Roman" w:hAnsi="Times New Roman"/>
          <w:sz w:val="16"/>
          <w:szCs w:val="16"/>
          <w:color w:val="auto"/>
        </w:rPr>
        <w:t xml:space="preserve">” has the meaning specified in </w:t>
      </w:r>
      <w:r>
        <w:rPr>
          <w:rFonts w:ascii="Times New Roman" w:cs="Times New Roman" w:eastAsia="Times New Roman" w:hAnsi="Times New Roman"/>
          <w:sz w:val="16"/>
          <w:szCs w:val="16"/>
          <w:u w:val="single" w:color="auto"/>
          <w:color w:val="auto"/>
        </w:rPr>
        <w:t>Section 3.02(c)</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ind w:right="20" w:firstLine="760"/>
        <w:spacing w:after="0" w:line="280" w:lineRule="auto"/>
        <w:tabs>
          <w:tab w:leader="none" w:pos="936"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 of Section 1.01. “Company Valuation”</w:t>
      </w:r>
      <w:r>
        <w:rPr>
          <w:rFonts w:ascii="Times New Roman" w:cs="Times New Roman" w:eastAsia="Times New Roman" w:hAnsi="Times New Roman"/>
          <w:sz w:val="16"/>
          <w:szCs w:val="16"/>
          <w:color w:val="auto"/>
        </w:rPr>
        <w:t>. The defined term “Company Valuation” in Section 1.01 of the Merger Agreement is hereby amended by deleting “$800,000,000” and replacing it with “$525,000,000”.</w:t>
      </w:r>
    </w:p>
    <w:p>
      <w:pPr>
        <w:spacing w:after="0" w:line="144" w:lineRule="exact"/>
        <w:rPr>
          <w:rFonts w:ascii="Times New Roman" w:cs="Times New Roman" w:eastAsia="Times New Roman" w:hAnsi="Times New Roman"/>
          <w:sz w:val="16"/>
          <w:szCs w:val="16"/>
          <w:color w:val="auto"/>
        </w:rPr>
      </w:pPr>
    </w:p>
    <w:p>
      <w:pPr>
        <w:ind w:firstLine="760"/>
        <w:spacing w:after="0" w:line="280" w:lineRule="auto"/>
        <w:tabs>
          <w:tab w:leader="none" w:pos="936"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 of Section 1.01. “Earnout Pro Rata Portion”. T</w:t>
      </w:r>
      <w:r>
        <w:rPr>
          <w:rFonts w:ascii="Times New Roman" w:cs="Times New Roman" w:eastAsia="Times New Roman" w:hAnsi="Times New Roman"/>
          <w:sz w:val="16"/>
          <w:szCs w:val="16"/>
          <w:color w:val="auto"/>
        </w:rPr>
        <w:t>he defined term “Earnout Pro Rata Portion” in Section 1.01 of the Merger Agreement is hereby amended and restated in its entirety as follows:</w:t>
      </w:r>
    </w:p>
    <w:p>
      <w:pPr>
        <w:spacing w:after="0" w:line="144" w:lineRule="exact"/>
        <w:rPr>
          <w:sz w:val="20"/>
          <w:szCs w:val="20"/>
          <w:color w:val="auto"/>
        </w:rPr>
      </w:pPr>
    </w:p>
    <w:p>
      <w:pPr>
        <w:jc w:val="both"/>
        <w:ind w:left="1140" w:right="20"/>
        <w:spacing w:after="0" w:line="256" w:lineRule="auto"/>
        <w:rPr>
          <w:sz w:val="20"/>
          <w:szCs w:val="20"/>
          <w:color w:val="auto"/>
        </w:rPr>
      </w:pPr>
      <w:r>
        <w:rPr>
          <w:rFonts w:ascii="Times New Roman" w:cs="Times New Roman" w:eastAsia="Times New Roman" w:hAnsi="Times New Roman"/>
          <w:sz w:val="16"/>
          <w:szCs w:val="16"/>
          <w:color w:val="auto"/>
        </w:rPr>
        <w:t xml:space="preserve">“(a) in the case of a holder of outstanding shares of Company Common Stock as of immediately prior to the Effective Time, a fraction expressed as a percentage equal to (i) the number of shares of Acquiror Common Stock into which such holder’s shares of Company Common Stock are converted into in accordance with </w:t>
      </w:r>
      <w:r>
        <w:rPr>
          <w:rFonts w:ascii="Times New Roman" w:cs="Times New Roman" w:eastAsia="Times New Roman" w:hAnsi="Times New Roman"/>
          <w:sz w:val="16"/>
          <w:szCs w:val="16"/>
          <w:u w:val="single" w:color="auto"/>
          <w:color w:val="auto"/>
        </w:rPr>
        <w:t>Section 3.01(c)(i)</w:t>
      </w:r>
      <w:r>
        <w:rPr>
          <w:rFonts w:ascii="Times New Roman" w:cs="Times New Roman" w:eastAsia="Times New Roman" w:hAnsi="Times New Roman"/>
          <w:sz w:val="16"/>
          <w:szCs w:val="16"/>
          <w:color w:val="auto"/>
        </w:rPr>
        <w:t xml:space="preserve"> (including shares issued in connection with the conversion of the Company Convertible Notes) </w:t>
      </w:r>
      <w:r>
        <w:rPr>
          <w:rFonts w:ascii="Times New Roman" w:cs="Times New Roman" w:eastAsia="Times New Roman" w:hAnsi="Times New Roman"/>
          <w:sz w:val="16"/>
          <w:szCs w:val="16"/>
          <w:i w:val="1"/>
          <w:iCs w:val="1"/>
          <w:color w:val="auto"/>
        </w:rPr>
        <w:t>divided by</w:t>
      </w:r>
      <w:r>
        <w:rPr>
          <w:rFonts w:ascii="Times New Roman" w:cs="Times New Roman" w:eastAsia="Times New Roman" w:hAnsi="Times New Roman"/>
          <w:sz w:val="16"/>
          <w:szCs w:val="16"/>
          <w:color w:val="auto"/>
        </w:rPr>
        <w:t xml:space="preserve"> (ii) the sum of</w:t>
      </w:r>
    </w:p>
    <w:p>
      <w:pPr>
        <w:spacing w:after="0" w:line="2" w:lineRule="exact"/>
        <w:rPr>
          <w:sz w:val="20"/>
          <w:szCs w:val="20"/>
          <w:color w:val="auto"/>
        </w:rPr>
      </w:pPr>
    </w:p>
    <w:p>
      <w:pPr>
        <w:jc w:val="both"/>
        <w:ind w:left="1140" w:right="20" w:firstLine="3"/>
        <w:spacing w:after="0" w:line="252" w:lineRule="auto"/>
        <w:tabs>
          <w:tab w:leader="none" w:pos="1376"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total number of shares of Acquiror Common Stock into which all outstanding shares of Company Common Stock are converted in accordance with </w:t>
      </w:r>
      <w:r>
        <w:rPr>
          <w:rFonts w:ascii="Times New Roman" w:cs="Times New Roman" w:eastAsia="Times New Roman" w:hAnsi="Times New Roman"/>
          <w:sz w:val="16"/>
          <w:szCs w:val="16"/>
          <w:u w:val="single" w:color="auto"/>
          <w:color w:val="auto"/>
        </w:rPr>
        <w:t>Section 3.01(c)(i)</w:t>
      </w:r>
      <w:r>
        <w:rPr>
          <w:rFonts w:ascii="Times New Roman" w:cs="Times New Roman" w:eastAsia="Times New Roman" w:hAnsi="Times New Roman"/>
          <w:sz w:val="16"/>
          <w:szCs w:val="16"/>
          <w:color w:val="auto"/>
        </w:rPr>
        <w:t xml:space="preserve"> (including shares issued in connection with the conversion of the Company Convertible Notes), plus (y) the total number of shares of Acquiror Common Stock issued or issuable upon the exercise of the Exchanged Warrants and the Exchanged Options and on settlement of the Exchanged RSUs as of immediately following the Effective Time (whether vested or unvested, and on a cash exercise basis) (the “</w:t>
      </w:r>
      <w:r>
        <w:rPr>
          <w:rFonts w:ascii="Times New Roman" w:cs="Times New Roman" w:eastAsia="Times New Roman" w:hAnsi="Times New Roman"/>
          <w:sz w:val="16"/>
          <w:szCs w:val="16"/>
          <w:u w:val="single" w:color="auto"/>
          <w:color w:val="auto"/>
        </w:rPr>
        <w:t>Earnout Denominator</w:t>
      </w:r>
      <w:r>
        <w:rPr>
          <w:rFonts w:ascii="Times New Roman" w:cs="Times New Roman" w:eastAsia="Times New Roman" w:hAnsi="Times New Roman"/>
          <w:sz w:val="16"/>
          <w:szCs w:val="16"/>
          <w:color w:val="auto"/>
        </w:rPr>
        <w:t>”); and</w:t>
      </w:r>
    </w:p>
    <w:p>
      <w:pPr>
        <w:spacing w:after="0" w:line="167" w:lineRule="exact"/>
        <w:rPr>
          <w:sz w:val="20"/>
          <w:szCs w:val="20"/>
          <w:color w:val="auto"/>
        </w:rPr>
      </w:pPr>
    </w:p>
    <w:p>
      <w:pPr>
        <w:jc w:val="both"/>
        <w:ind w:left="1140" w:right="20" w:firstLine="3"/>
        <w:spacing w:after="0" w:line="256" w:lineRule="auto"/>
        <w:tabs>
          <w:tab w:leader="none" w:pos="1417"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case of a holder of outstanding Company Warrants, Company Options or Company RSUs (whether vested or unvested) as of immediately prior to the Effective Time, a fraction expressed as a percentage equal to (i) the number of shares of Company Common Stock issued or issuable upon the exercise of such holder’s Exchanged Warrants, Exchanged Options or Exchanged RSUs, as applicable (whether vested or unvested, on a cash exercise basis), </w:t>
      </w:r>
      <w:r>
        <w:rPr>
          <w:rFonts w:ascii="Times New Roman" w:cs="Times New Roman" w:eastAsia="Times New Roman" w:hAnsi="Times New Roman"/>
          <w:sz w:val="16"/>
          <w:szCs w:val="16"/>
          <w:i w:val="1"/>
          <w:iCs w:val="1"/>
          <w:color w:val="auto"/>
        </w:rPr>
        <w:t>divided by</w:t>
      </w:r>
    </w:p>
    <w:p>
      <w:pPr>
        <w:spacing w:after="0" w:line="1" w:lineRule="exact"/>
        <w:rPr>
          <w:rFonts w:ascii="Times New Roman" w:cs="Times New Roman" w:eastAsia="Times New Roman" w:hAnsi="Times New Roman"/>
          <w:sz w:val="16"/>
          <w:szCs w:val="16"/>
          <w:color w:val="auto"/>
        </w:rPr>
      </w:pPr>
    </w:p>
    <w:p>
      <w:pPr>
        <w:ind w:left="1140" w:firstLine="3"/>
        <w:spacing w:after="0" w:line="258" w:lineRule="auto"/>
        <w:tabs>
          <w:tab w:leader="none" w:pos="1383"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Earnout Denominator, in each case, with such adjustments to give effect to rounding as the Company may determine in its sole discretion;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in no event shall the aggregate Earnout Pro Rata Portion exceed 100%.”</w:t>
      </w:r>
    </w:p>
    <w:p>
      <w:pPr>
        <w:spacing w:after="0" w:line="161" w:lineRule="exact"/>
        <w:rPr>
          <w:rFonts w:ascii="Times New Roman" w:cs="Times New Roman" w:eastAsia="Times New Roman" w:hAnsi="Times New Roman"/>
          <w:sz w:val="16"/>
          <w:szCs w:val="16"/>
          <w:color w:val="auto"/>
        </w:rPr>
      </w:pPr>
    </w:p>
    <w:p>
      <w:pPr>
        <w:ind w:left="920" w:hanging="160"/>
        <w:spacing w:after="0"/>
        <w:tabs>
          <w:tab w:leader="none" w:pos="9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Deletion of Section 1.01. “PPP”</w:t>
      </w:r>
      <w:r>
        <w:rPr>
          <w:rFonts w:ascii="Times New Roman" w:cs="Times New Roman" w:eastAsia="Times New Roman" w:hAnsi="Times New Roman"/>
          <w:sz w:val="16"/>
          <w:szCs w:val="16"/>
          <w:color w:val="auto"/>
        </w:rPr>
        <w:t>. The defined term “PPP” in Section 1.01 of the Merger Agreement is hereby deleted in its entirety.</w:t>
      </w:r>
    </w:p>
    <w:p>
      <w:pPr>
        <w:spacing w:after="0" w:line="198" w:lineRule="exact"/>
        <w:rPr>
          <w:rFonts w:ascii="Times New Roman" w:cs="Times New Roman" w:eastAsia="Times New Roman" w:hAnsi="Times New Roman"/>
          <w:sz w:val="16"/>
          <w:szCs w:val="16"/>
          <w:color w:val="auto"/>
        </w:rPr>
      </w:pPr>
    </w:p>
    <w:p>
      <w:pPr>
        <w:ind w:left="920" w:hanging="160"/>
        <w:spacing w:after="0"/>
        <w:tabs>
          <w:tab w:leader="none" w:pos="9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Deletion of Section 1.01. “PPP Loan”</w:t>
      </w:r>
      <w:r>
        <w:rPr>
          <w:rFonts w:ascii="Times New Roman" w:cs="Times New Roman" w:eastAsia="Times New Roman" w:hAnsi="Times New Roman"/>
          <w:sz w:val="16"/>
          <w:szCs w:val="16"/>
          <w:color w:val="auto"/>
        </w:rPr>
        <w:t>. The defined term “PPP Loan” in Section 1.01 of the Merger Agreement is hereby deleted in its entirety.</w:t>
      </w:r>
    </w:p>
    <w:p>
      <w:pPr>
        <w:spacing w:after="0" w:line="198" w:lineRule="exact"/>
        <w:rPr>
          <w:rFonts w:ascii="Times New Roman" w:cs="Times New Roman" w:eastAsia="Times New Roman" w:hAnsi="Times New Roman"/>
          <w:sz w:val="16"/>
          <w:szCs w:val="16"/>
          <w:color w:val="auto"/>
        </w:rPr>
      </w:pPr>
    </w:p>
    <w:p>
      <w:pPr>
        <w:ind w:left="1040" w:hanging="280"/>
        <w:spacing w:after="0"/>
        <w:tabs>
          <w:tab w:leader="none" w:pos="10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 of Section 3.02</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title of Section 3.02 is hereby amended and restated as follows:</w:t>
      </w:r>
    </w:p>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Treatment of Company Options, Warrants and Company RSUs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(b) Section 3.02 of the Merger Agreement is hereby amended to include the following new subsection (c):</w:t>
      </w:r>
    </w:p>
    <w:p>
      <w:pPr>
        <w:spacing w:after="0" w:line="198" w:lineRule="exact"/>
        <w:rPr>
          <w:sz w:val="20"/>
          <w:szCs w:val="20"/>
          <w:color w:val="auto"/>
        </w:rPr>
      </w:pPr>
    </w:p>
    <w:p>
      <w:pPr>
        <w:jc w:val="both"/>
        <w:ind w:left="1140" w:right="20"/>
        <w:spacing w:after="0" w:line="272" w:lineRule="auto"/>
        <w:rPr>
          <w:sz w:val="20"/>
          <w:szCs w:val="20"/>
          <w:color w:val="auto"/>
        </w:rPr>
      </w:pPr>
      <w:r>
        <w:rPr>
          <w:rFonts w:ascii="Times New Roman" w:cs="Times New Roman" w:eastAsia="Times New Roman" w:hAnsi="Times New Roman"/>
          <w:sz w:val="15"/>
          <w:szCs w:val="15"/>
          <w:color w:val="auto"/>
        </w:rPr>
        <w:t>“(c) At the Effective Time, by virtue of the First Merger and without any further action on the part of any party, each Company RSU to the extent then outstanding and unsettled, shall be assumed and converted into (i) a restricted stock unit covering a number of shares of Acquiror Common Stock (such award, an “</w:t>
      </w:r>
      <w:r>
        <w:rPr>
          <w:rFonts w:ascii="Times New Roman" w:cs="Times New Roman" w:eastAsia="Times New Roman" w:hAnsi="Times New Roman"/>
          <w:sz w:val="15"/>
          <w:szCs w:val="15"/>
          <w:u w:val="single" w:color="auto"/>
          <w:color w:val="auto"/>
        </w:rPr>
        <w:t>Exchanged RSU</w:t>
      </w:r>
      <w:r>
        <w:rPr>
          <w:rFonts w:ascii="Times New Roman" w:cs="Times New Roman" w:eastAsia="Times New Roman" w:hAnsi="Times New Roman"/>
          <w:sz w:val="15"/>
          <w:szCs w:val="15"/>
          <w:color w:val="auto"/>
        </w:rPr>
        <w:t xml:space="preserve">”) and (ii) the contingent right to receive the applicable Earnout Pro Rata Portion of Earnout Shares (which may be zero (0)) following the Closing in accordance with </w:t>
      </w:r>
      <w:r>
        <w:rPr>
          <w:rFonts w:ascii="Times New Roman" w:cs="Times New Roman" w:eastAsia="Times New Roman" w:hAnsi="Times New Roman"/>
          <w:sz w:val="15"/>
          <w:szCs w:val="15"/>
          <w:u w:val="single" w:color="auto"/>
          <w:color w:val="auto"/>
        </w:rPr>
        <w:t>Section 3.07</w:t>
      </w:r>
      <w:r>
        <w:rPr>
          <w:rFonts w:ascii="Times New Roman" w:cs="Times New Roman" w:eastAsia="Times New Roman" w:hAnsi="Times New Roman"/>
          <w:sz w:val="15"/>
          <w:szCs w:val="15"/>
          <w:color w:val="auto"/>
        </w:rPr>
        <w:t xml:space="preserve"> (the “</w:t>
      </w:r>
      <w:r>
        <w:rPr>
          <w:rFonts w:ascii="Times New Roman" w:cs="Times New Roman" w:eastAsia="Times New Roman" w:hAnsi="Times New Roman"/>
          <w:sz w:val="15"/>
          <w:szCs w:val="15"/>
          <w:u w:val="single" w:color="auto"/>
          <w:color w:val="auto"/>
        </w:rPr>
        <w:t>RSU Earnout Shares</w:t>
      </w:r>
      <w:r>
        <w:rPr>
          <w:rFonts w:ascii="Times New Roman" w:cs="Times New Roman" w:eastAsia="Times New Roman" w:hAnsi="Times New Roman"/>
          <w:sz w:val="15"/>
          <w:szCs w:val="15"/>
          <w:color w:val="auto"/>
        </w:rPr>
        <w:t>”). As of the Effective Time, each such Exchanged RSU as so assumed and converted shall cover that number of shares of Acquiror Common Stock equal to the product (rounded down to the nearest whole number) of (x) the number of shares of Company Common Stock issuable pursuant to such Company RSU immediately prior to the Effective Time and (y) the Exchange Ratio. Except as specifically provided above, following the Effective Time, each Exchanged RSU shall continue to be governed by the same terms and conditions (including vesting and settlement terms) as were applicable to the corresponding former Company RSU immediately prior to the Effective Time. For purposes of this Agreement, “</w:t>
      </w:r>
      <w:r>
        <w:rPr>
          <w:rFonts w:ascii="Times New Roman" w:cs="Times New Roman" w:eastAsia="Times New Roman" w:hAnsi="Times New Roman"/>
          <w:sz w:val="15"/>
          <w:szCs w:val="15"/>
          <w:u w:val="single" w:color="auto"/>
          <w:color w:val="auto"/>
        </w:rPr>
        <w:t>Company RSU</w:t>
      </w:r>
      <w:r>
        <w:rPr>
          <w:rFonts w:ascii="Times New Roman" w:cs="Times New Roman" w:eastAsia="Times New Roman" w:hAnsi="Times New Roman"/>
          <w:sz w:val="15"/>
          <w:szCs w:val="15"/>
          <w:color w:val="auto"/>
        </w:rPr>
        <w:t>” means a restricted stock unit in respect of shares of the Company granted pursuant to the Company Stock Plan or otherwise.</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color w:val="auto"/>
        </w:rPr>
        <w:t xml:space="preserve">11. </w:t>
      </w:r>
      <w:r>
        <w:rPr>
          <w:rFonts w:ascii="Times New Roman" w:cs="Times New Roman" w:eastAsia="Times New Roman" w:hAnsi="Times New Roman"/>
          <w:sz w:val="16"/>
          <w:szCs w:val="16"/>
          <w:u w:val="single" w:color="auto"/>
          <w:color w:val="auto"/>
        </w:rPr>
        <w:t>Amendment of Section 3.07(d)</w:t>
      </w:r>
      <w:r>
        <w:rPr>
          <w:rFonts w:ascii="Times New Roman" w:cs="Times New Roman" w:eastAsia="Times New Roman" w:hAnsi="Times New Roman"/>
          <w:sz w:val="16"/>
          <w:szCs w:val="16"/>
          <w:color w:val="auto"/>
        </w:rPr>
        <w:t>. Section 3.07(d) of the Merger Agreement is hereby amended and restated in its entirety as follows:</w:t>
      </w:r>
    </w:p>
    <w:p>
      <w:pPr>
        <w:spacing w:after="0" w:line="198" w:lineRule="exact"/>
        <w:rPr>
          <w:sz w:val="20"/>
          <w:szCs w:val="20"/>
          <w:color w:val="auto"/>
        </w:rPr>
      </w:pPr>
    </w:p>
    <w:p>
      <w:pPr>
        <w:jc w:val="both"/>
        <w:ind w:left="380"/>
        <w:spacing w:after="0" w:line="278" w:lineRule="auto"/>
        <w:rPr>
          <w:sz w:val="20"/>
          <w:szCs w:val="20"/>
          <w:color w:val="auto"/>
        </w:rPr>
      </w:pPr>
      <w:r>
        <w:rPr>
          <w:rFonts w:ascii="Times New Roman" w:cs="Times New Roman" w:eastAsia="Times New Roman" w:hAnsi="Times New Roman"/>
          <w:sz w:val="15"/>
          <w:szCs w:val="15"/>
          <w:color w:val="auto"/>
        </w:rPr>
        <w:t xml:space="preserve">“(d) Any Option Earnout Shares or RSU Earnout Shares payable to holders of unvested Exchanged Options or unvested Exchanged RSUs, as applicable, shall be subject to terms and conditions that are substantially similar to those that applied to the award of such Company Option or Company RSU immediately prior to the Effective Time (including vesting and forfeiture conditions, but taking into account any changes thereto provided for in the Company Stock Plans, in any award agreement evidencing such Company Option or Company RSU or by reason of this Agreement or the Transactions). The issuance of the Option Earnout Shares and RSU Earnout Shares will also be subject to any withholding required pursuant to applicable Law pursuant to </w:t>
      </w:r>
      <w:r>
        <w:rPr>
          <w:rFonts w:ascii="Times New Roman" w:cs="Times New Roman" w:eastAsia="Times New Roman" w:hAnsi="Times New Roman"/>
          <w:sz w:val="15"/>
          <w:szCs w:val="15"/>
          <w:u w:val="single" w:color="auto"/>
          <w:color w:val="auto"/>
        </w:rPr>
        <w:t>Section 3.08</w:t>
      </w:r>
      <w:r>
        <w:rPr>
          <w:rFonts w:ascii="Times New Roman" w:cs="Times New Roman" w:eastAsia="Times New Roman" w:hAnsi="Times New Roman"/>
          <w:sz w:val="15"/>
          <w:szCs w:val="15"/>
          <w:color w:val="auto"/>
        </w:rPr>
        <w:t>.”</w:t>
      </w:r>
    </w:p>
    <w:p>
      <w:pPr>
        <w:spacing w:after="0" w:line="148" w:lineRule="exact"/>
        <w:rPr>
          <w:sz w:val="20"/>
          <w:szCs w:val="20"/>
          <w:color w:val="auto"/>
        </w:rPr>
      </w:pPr>
    </w:p>
    <w:p>
      <w:pPr>
        <w:ind w:left="280" w:hanging="280"/>
        <w:spacing w:after="0"/>
        <w:tabs>
          <w:tab w:leader="none" w:pos="2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Deletion of Section 4.07(b)</w:t>
      </w:r>
      <w:r>
        <w:rPr>
          <w:rFonts w:ascii="Times New Roman" w:cs="Times New Roman" w:eastAsia="Times New Roman" w:hAnsi="Times New Roman"/>
          <w:sz w:val="16"/>
          <w:szCs w:val="16"/>
          <w:color w:val="auto"/>
        </w:rPr>
        <w:t>. Section 4.07(b) of the Merger Agreement is hereby deleted in its entirety.</w:t>
      </w:r>
    </w:p>
    <w:p>
      <w:pPr>
        <w:spacing w:after="0" w:line="198" w:lineRule="exact"/>
        <w:rPr>
          <w:rFonts w:ascii="Times New Roman" w:cs="Times New Roman" w:eastAsia="Times New Roman" w:hAnsi="Times New Roman"/>
          <w:sz w:val="16"/>
          <w:szCs w:val="16"/>
          <w:color w:val="auto"/>
        </w:rPr>
      </w:pPr>
    </w:p>
    <w:p>
      <w:pPr>
        <w:ind w:left="280" w:hanging="280"/>
        <w:spacing w:after="0"/>
        <w:tabs>
          <w:tab w:leader="none" w:pos="2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 of Section 5.07(a)</w:t>
      </w:r>
      <w:r>
        <w:rPr>
          <w:rFonts w:ascii="Times New Roman" w:cs="Times New Roman" w:eastAsia="Times New Roman" w:hAnsi="Times New Roman"/>
          <w:sz w:val="16"/>
          <w:szCs w:val="16"/>
          <w:color w:val="auto"/>
        </w:rPr>
        <w:t>. Section 5.07(a) of the Merger Agreement is hereby amended and restated in its entirety as follows:</w:t>
      </w:r>
    </w:p>
    <w:p>
      <w:pPr>
        <w:spacing w:after="0" w:line="198" w:lineRule="exact"/>
        <w:rPr>
          <w:sz w:val="20"/>
          <w:szCs w:val="20"/>
          <w:color w:val="auto"/>
        </w:rPr>
      </w:pPr>
    </w:p>
    <w:p>
      <w:pPr>
        <w:jc w:val="both"/>
        <w:ind w:left="380"/>
        <w:spacing w:after="0" w:line="250" w:lineRule="auto"/>
        <w:rPr>
          <w:sz w:val="20"/>
          <w:szCs w:val="20"/>
          <w:color w:val="auto"/>
        </w:rPr>
      </w:pPr>
      <w:r>
        <w:rPr>
          <w:rFonts w:ascii="Times New Roman" w:cs="Times New Roman" w:eastAsia="Times New Roman" w:hAnsi="Times New Roman"/>
          <w:sz w:val="16"/>
          <w:szCs w:val="16"/>
          <w:color w:val="auto"/>
        </w:rPr>
        <w:t>“(a) As of the date hereof, there is at least $174,225,000 and as of July 25, 2022, there is at least $12,800,00 invested in a trust account at Morgan Stanley (the “Trust Account”), maintained by Continental Stock Transfer &amp; Trust Company, a New York corporation, acting as trustee (the “Trustee”), pursuant to the Investment Management Trust Agreement, dated December 23, 2020, as amended on June 16, 2022, by and between Acquiror and the Trustee (the “Trust Agreement”). The Trust Agreement is in full force and effect and is a legal, valid and binding obligation of Acquiror and, to the knowledge of Acquiror, the Trustee, enforceable in accordance with its terms, subject to applicable bankruptcy, insolvency, fraudulent conveyance, reorganization, moratorium and similar Laws affecting creditors’ rights generally and subject, as to enforceability, to general principles of equity. The Trust Agreement has not been terminated, repudiated, rescinded, amended or supplemented or modified, in any respect, and, to the knowledge of Acquiror, no such termination, repudiation, rescission, amendment, supplement or modification is contemplated. There are no side letters and there are no agreements, Contracts, arrangements or understandings, whether written or oral, with the Trustee or any other Person that would (i) cause the description of the Trust Agreement in the Acquiror SEC Reports to be inaccurate or (ii) entitle any Person (other than any Acquiror Stockholder who is a Redeeming Stockholder) to any portion of the proceeds in the Trust Account. Prior to the Closing, none of the funds held in the Trust Account may be released except in accordance with the Trust Agreement, Acquiror Organizational Documents and Acquiror’s final prospectus dated December 23, 2020. Amounts in the Trust Account are invested in United States Government securities or in money market funds meeting certain conditions under Rule 2a-7 promulgated under the Investment Company Act of 1940. Acquiror has performed all material obligations required to be performed by it to date under, and is not in material default, breach or delinquent in performance or any other respect (claimed or actual) in connection with, the Trust Agreement, and no event has occurred which, with due notice or lapse of time or both, would constitute such a default or breach thereunder. There are no Actions pending or, to the knowledge of Acquiror, threatened with respect to the Trust Account. Since December 23, 2020, Acquiror has not released any money from the Trust Account (other than interest income earned on the principal held in the Trust Account as permitted by the Trust Agreement and other than pursuant to redemptions pursuant to Acquiror’s special meeting of stockholders held on June 18, 2022). As of the Effective Time, the obligations of Acquiror to dissolve or liquidate pursuant to the Acquiror Organizational Documents shall terminate, and, as of the Effective Time, Acquiror shall have no obligation whatsoever pursuant to the Acquiror Organizational Documents to dissolve and liquidate the assets of Acquiror by reason of the consummation of the transactions contemplated hereby. Following the Effective Time, no Acquiror Stockholder shall be entitled to receive any amount from the Trust Account except to the extent such Acquiror Stockholder is a Redeeming Stockholder.”</w:t>
      </w:r>
    </w:p>
    <w:p>
      <w:pPr>
        <w:spacing w:after="0" w:line="37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15240</wp:posOffset>
            </wp:positionV>
            <wp:extent cx="7148195"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500"/>
          </w:cols>
          <w:pgMar w:left="1080" w:top="816" w:right="319" w:bottom="1440" w:gutter="0" w:footer="0" w:header="0"/>
        </w:sectPr>
      </w:pPr>
    </w:p>
    <w:bookmarkStart w:id="11" w:name="page12"/>
    <w:bookmarkEnd w:id="11"/>
    <w:p>
      <w:pPr>
        <w:ind w:left="1040" w:hanging="280"/>
        <w:spacing w:after="0"/>
        <w:tabs>
          <w:tab w:leader="none" w:pos="10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 of Section 5.14</w:t>
      </w:r>
      <w:r>
        <w:rPr>
          <w:rFonts w:ascii="Times New Roman" w:cs="Times New Roman" w:eastAsia="Times New Roman" w:hAnsi="Times New Roman"/>
          <w:sz w:val="16"/>
          <w:szCs w:val="16"/>
          <w:color w:val="auto"/>
        </w:rPr>
        <w:t>. Section 5.14 of the Merger Agreement is hereby amended and restated in its entirety as follows:</w:t>
      </w:r>
    </w:p>
    <w:p>
      <w:pPr>
        <w:spacing w:after="0" w:line="198" w:lineRule="exact"/>
        <w:rPr>
          <w:rFonts w:ascii="Times New Roman" w:cs="Times New Roman" w:eastAsia="Times New Roman" w:hAnsi="Times New Roman"/>
          <w:sz w:val="16"/>
          <w:szCs w:val="16"/>
          <w:color w:val="auto"/>
        </w:rPr>
      </w:pPr>
    </w:p>
    <w:p>
      <w:pPr>
        <w:jc w:val="both"/>
        <w:ind w:left="1140" w:firstLine="3"/>
        <w:spacing w:after="0" w:line="253" w:lineRule="auto"/>
        <w:tabs>
          <w:tab w:leader="none" w:pos="1372"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authorized capital stock of Acquiror consists of (i) 1,000,000 shares of Acquiror Preferred Stock and (ii) 50,000,000 shares of Acquiror Common Stock. As of the date of this Agreement, (A) no shares of Acquiror Preferred Stock are issued and outstanding, (B) 21,562,500 shares of Acquiror Common Stock are issued and outstanding, (C) 17,250,000 Acquiror Warrants are issued and outstanding, (D) 6,675,000 Acquiror Private Placement Warrants are issued and outstanding and (E) rights to receive 862,500 shares of Acquiror Common Stock are issued and outstanding; provided that for clarity, as of July 25, 2022, 5,567,518 shares of Acquiror Common Stock are issued and outstanding. All of the issued and outstanding shares of Acquiror Common Stock have been duly authorized and validly issued and are fully paid and nonassessable. All outstanding Acquiror Units, shares of Acquiror Common Stock, Acquiror Warrants and Acquiror Private Placement Warrant (1) were issued in compliance in all material respects with applicable Law and (2) were not issued in breach or violation of any preemptive rights or Contract.</w:t>
      </w:r>
    </w:p>
    <w:p>
      <w:pPr>
        <w:spacing w:after="0" w:line="169" w:lineRule="exact"/>
        <w:rPr>
          <w:rFonts w:ascii="Times New Roman" w:cs="Times New Roman" w:eastAsia="Times New Roman" w:hAnsi="Times New Roman"/>
          <w:sz w:val="16"/>
          <w:szCs w:val="16"/>
          <w:color w:val="auto"/>
        </w:rPr>
      </w:pPr>
    </w:p>
    <w:p>
      <w:pPr>
        <w:ind w:left="1040" w:hanging="280"/>
        <w:spacing w:after="0"/>
        <w:tabs>
          <w:tab w:leader="none" w:pos="10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 of Section 7.13</w:t>
      </w:r>
      <w:r>
        <w:rPr>
          <w:rFonts w:ascii="Times New Roman" w:cs="Times New Roman" w:eastAsia="Times New Roman" w:hAnsi="Times New Roman"/>
          <w:sz w:val="16"/>
          <w:szCs w:val="16"/>
          <w:color w:val="auto"/>
        </w:rPr>
        <w:t>. Section 7.13 of the Merger Agreement is hereby amended and restated in its entirety as follows:</w:t>
      </w:r>
    </w:p>
    <w:p>
      <w:pPr>
        <w:spacing w:after="0" w:line="198" w:lineRule="exact"/>
        <w:rPr>
          <w:sz w:val="20"/>
          <w:szCs w:val="20"/>
          <w:color w:val="auto"/>
        </w:rPr>
      </w:pPr>
    </w:p>
    <w:p>
      <w:pPr>
        <w:jc w:val="both"/>
        <w:ind w:left="1140" w:right="20"/>
        <w:spacing w:after="0" w:line="254" w:lineRule="auto"/>
        <w:rPr>
          <w:sz w:val="20"/>
          <w:szCs w:val="20"/>
          <w:color w:val="auto"/>
        </w:rPr>
      </w:pPr>
      <w:r>
        <w:rPr>
          <w:rFonts w:ascii="Times New Roman" w:cs="Times New Roman" w:eastAsia="Times New Roman" w:hAnsi="Times New Roman"/>
          <w:sz w:val="16"/>
          <w:szCs w:val="16"/>
          <w:color w:val="auto"/>
        </w:rPr>
        <w:t>“Except as otherwise agreed in writing by the Company and Acquiror prior to the Closing, and conditioned upon the occurrence of the Closing, subject to any limitation imposed under applicable Laws and Nasdaq listing requirements, Acquiror shall take all actions necessary or appropriate to cause (a) the Acquiror Board to consist of seven (7) directors, divided into three (3) classes, designated Class I, II and III, with Class I consisting of two (2) directors with an initial term that expires in 2023, Class II consisting of two (2) directors with an initial term that expires in 2024, and Class III consisting of three (3) directors with an initial term that expires in 2025 and (b) the individuals set forth on Schedule 7.13 to be elected as members of the Acquiror Board, effective as of the Closing. On the Closing Date, Acquiror shall enter into customary indemnification agreements reasonably satisfactory to the Company with the individuals set forth on Schedule 7.13, which indemnification agreements shall continue to be effective following the Closing.”</w:t>
      </w:r>
    </w:p>
    <w:p>
      <w:pPr>
        <w:spacing w:after="0" w:line="167" w:lineRule="exact"/>
        <w:rPr>
          <w:sz w:val="20"/>
          <w:szCs w:val="20"/>
          <w:color w:val="auto"/>
        </w:rPr>
      </w:pPr>
    </w:p>
    <w:p>
      <w:pPr>
        <w:ind w:left="1040" w:hanging="280"/>
        <w:spacing w:after="0"/>
        <w:tabs>
          <w:tab w:leader="none" w:pos="10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 of Section 10.01(b)</w:t>
      </w:r>
      <w:r>
        <w:rPr>
          <w:rFonts w:ascii="Times New Roman" w:cs="Times New Roman" w:eastAsia="Times New Roman" w:hAnsi="Times New Roman"/>
          <w:sz w:val="16"/>
          <w:szCs w:val="16"/>
          <w:color w:val="auto"/>
        </w:rPr>
        <w:t>. Section 10.01(b) of the Merger Agreement is hereby amended by deleting “August” and replacing it with “December”.</w:t>
      </w:r>
    </w:p>
    <w:p>
      <w:pPr>
        <w:spacing w:after="0" w:line="198" w:lineRule="exact"/>
        <w:rPr>
          <w:rFonts w:ascii="Times New Roman" w:cs="Times New Roman" w:eastAsia="Times New Roman" w:hAnsi="Times New Roman"/>
          <w:sz w:val="16"/>
          <w:szCs w:val="16"/>
          <w:color w:val="auto"/>
        </w:rPr>
      </w:pPr>
    </w:p>
    <w:p>
      <w:pPr>
        <w:ind w:right="20" w:firstLine="760"/>
        <w:spacing w:after="0" w:line="280" w:lineRule="auto"/>
        <w:tabs>
          <w:tab w:leader="none" w:pos="1055"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 of Section 11.02(b)</w:t>
      </w:r>
      <w:r>
        <w:rPr>
          <w:rFonts w:ascii="Times New Roman" w:cs="Times New Roman" w:eastAsia="Times New Roman" w:hAnsi="Times New Roman"/>
          <w:sz w:val="16"/>
          <w:szCs w:val="16"/>
          <w:color w:val="auto"/>
        </w:rPr>
        <w:t>. Section 11.02(b) of the Merger Agreement is hereby amended by deleting “816 Hamilton Street Redwood City, CA 94063” and replacing it with “985 Industrial Road San Carlos, CA 94070”.</w:t>
      </w:r>
    </w:p>
    <w:p>
      <w:pPr>
        <w:spacing w:after="0" w:line="144" w:lineRule="exact"/>
        <w:rPr>
          <w:rFonts w:ascii="Times New Roman" w:cs="Times New Roman" w:eastAsia="Times New Roman" w:hAnsi="Times New Roman"/>
          <w:sz w:val="16"/>
          <w:szCs w:val="16"/>
          <w:color w:val="auto"/>
        </w:rPr>
      </w:pPr>
    </w:p>
    <w:p>
      <w:pPr>
        <w:ind w:left="1040" w:hanging="280"/>
        <w:spacing w:after="0"/>
        <w:tabs>
          <w:tab w:leader="none" w:pos="10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Valid Amendment</w:t>
      </w:r>
      <w:r>
        <w:rPr>
          <w:rFonts w:ascii="Times New Roman" w:cs="Times New Roman" w:eastAsia="Times New Roman" w:hAnsi="Times New Roman"/>
          <w:sz w:val="16"/>
          <w:szCs w:val="16"/>
          <w:color w:val="auto"/>
        </w:rPr>
        <w:t>. This Amendment is made in accordance with Section 11.10 of the Merger Agreement and constitutes an integral part thereof.</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2" w:name="page13"/>
    <w:bookmarkEnd w:id="12"/>
    <w:p>
      <w:pPr>
        <w:jc w:val="both"/>
        <w:ind w:firstLine="760"/>
        <w:spacing w:after="0" w:line="255" w:lineRule="auto"/>
        <w:tabs>
          <w:tab w:leader="none" w:pos="1055"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Confirmation, Ratification and Entire Agreements</w:t>
      </w:r>
      <w:r>
        <w:rPr>
          <w:rFonts w:ascii="Times New Roman" w:cs="Times New Roman" w:eastAsia="Times New Roman" w:hAnsi="Times New Roman"/>
          <w:sz w:val="16"/>
          <w:szCs w:val="16"/>
          <w:color w:val="auto"/>
        </w:rPr>
        <w:t>. Except as expressly amended and modified herein, the Merger Agreement shall continue in full force and effect, and the parties hereby ratify and confirm the Merger Agreement as hereby amended. All references to the Merger Agreement in any document, instrument, agreement, or writing delivered pursuant to the Merger Agreement (as amended hereby) shall hereafter be deemed to refer to the Merger Agreement as amended hereby. The Merger Agreement (as amended hereby), the Confidentiality Agreement and any other documents, instruments, and agreements among the parties as contemplated by or referenced in the Merger Agreement comprise the complete and exclusive agreement between the parties regarding the subject matter of this Amendment, and supersede all oral and written communications, negotiations, representations or agreements in relation to that subject matter made or entered into before the date hereof.</w:t>
      </w:r>
    </w:p>
    <w:p>
      <w:pPr>
        <w:spacing w:after="0" w:line="165" w:lineRule="exact"/>
        <w:rPr>
          <w:rFonts w:ascii="Times New Roman" w:cs="Times New Roman" w:eastAsia="Times New Roman" w:hAnsi="Times New Roman"/>
          <w:sz w:val="16"/>
          <w:szCs w:val="16"/>
          <w:color w:val="auto"/>
        </w:rPr>
      </w:pPr>
    </w:p>
    <w:p>
      <w:pPr>
        <w:jc w:val="both"/>
        <w:ind w:firstLine="760"/>
        <w:spacing w:after="0" w:line="257" w:lineRule="auto"/>
        <w:tabs>
          <w:tab w:leader="none" w:pos="1043"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 xml:space="preserve">. Sections 11.01 (Waiver), 11.02 (Notices), 11.03 (Assignment), 11.04 (Rights of Third Parties), 11.05 (Expenses), 11.06 (Governing Law), 11.07 (Captions; Counterparts), 11.10 (Amendments), 11.11 (Severability), 11.12 (Jurisdiction; WAIVER OF TRIAL BY JURY), 11.13 (Enforcement) and 11.14 (Non-Recourse) of the Merger Agreement are incorporated herein by reference, </w:t>
      </w:r>
      <w:r>
        <w:rPr>
          <w:rFonts w:ascii="Times New Roman" w:cs="Times New Roman" w:eastAsia="Times New Roman" w:hAnsi="Times New Roman"/>
          <w:sz w:val="16"/>
          <w:szCs w:val="16"/>
          <w:i w:val="1"/>
          <w:iCs w:val="1"/>
          <w:color w:val="auto"/>
        </w:rPr>
        <w:t>mutatis mutandis</w:t>
      </w:r>
      <w:r>
        <w:rPr>
          <w:rFonts w:ascii="Times New Roman" w:cs="Times New Roman" w:eastAsia="Times New Roman" w:hAnsi="Times New Roman"/>
          <w:sz w:val="16"/>
          <w:szCs w:val="16"/>
          <w:color w:val="auto"/>
        </w:rPr>
        <w:t>. Upon the effectiveness of this Amendment, each reference in the Merger Agreement to “this Agreement,” “hereunder,” “herein,” “hereof” or words of like import referring to the Merger Agreement shall mean and refer to the Merger Agreement as amended by this Amendment.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remainder of this page is intentionally left blank.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color w:val="auto"/>
        </w:rPr>
        <w:t>IN WITNESS WHEREOF, the parties have caused this Amendment to be executed and delivered on the date first set forth above.</w:t>
      </w:r>
    </w:p>
    <w:p>
      <w:pPr>
        <w:spacing w:after="0" w:line="196" w:lineRule="exact"/>
        <w:rPr>
          <w:sz w:val="20"/>
          <w:szCs w:val="20"/>
          <w:color w:val="auto"/>
        </w:rPr>
      </w:pPr>
    </w:p>
    <w:p>
      <w:pPr>
        <w:jc w:val="right"/>
        <w:ind w:right="1640"/>
        <w:spacing w:after="0"/>
        <w:rPr>
          <w:sz w:val="20"/>
          <w:szCs w:val="20"/>
          <w:color w:val="auto"/>
        </w:rPr>
      </w:pPr>
      <w:r>
        <w:rPr>
          <w:rFonts w:ascii="Times New Roman" w:cs="Times New Roman" w:eastAsia="Times New Roman" w:hAnsi="Times New Roman"/>
          <w:sz w:val="16"/>
          <w:szCs w:val="16"/>
          <w:b w:val="1"/>
          <w:bCs w:val="1"/>
          <w:color w:val="auto"/>
        </w:rPr>
        <w:t>VENTOUX CCM ACQUISITION CORP.</w:t>
      </w:r>
    </w:p>
    <w:p>
      <w:pPr>
        <w:spacing w:after="0" w:line="272" w:lineRule="exact"/>
        <w:rPr>
          <w:sz w:val="20"/>
          <w:szCs w:val="20"/>
          <w:color w:val="auto"/>
        </w:rPr>
      </w:pPr>
    </w:p>
    <w:tbl>
      <w:tblPr>
        <w:tblLayout w:type="fixed"/>
        <w:tblInd w:w="6380" w:type="dxa"/>
        <w:tblCellMar>
          <w:top w:w="0" w:type="dxa"/>
          <w:left w:w="0" w:type="dxa"/>
          <w:bottom w:w="0" w:type="dxa"/>
          <w:right w:w="0" w:type="dxa"/>
        </w:tblCellMar>
      </w:tblPr>
      <w:tr>
        <w:trPr>
          <w:trHeight w:val="212"/>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Edward Scheetz</w:t>
            </w:r>
          </w:p>
        </w:tc>
      </w:tr>
      <w:tr>
        <w:trPr>
          <w:trHeight w:val="175"/>
        </w:trPr>
        <w:tc>
          <w:tcPr>
            <w:tcW w:w="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Edward Scheetz</w:t>
            </w:r>
          </w:p>
        </w:tc>
      </w:t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bl>
    <w:p>
      <w:pPr>
        <w:spacing w:after="0" w:line="172"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b w:val="1"/>
          <w:bCs w:val="1"/>
          <w:color w:val="auto"/>
        </w:rPr>
        <w:t>VENTOUX MERGER SUB I INC.</w:t>
      </w:r>
    </w:p>
    <w:p>
      <w:pPr>
        <w:spacing w:after="0" w:line="272" w:lineRule="exact"/>
        <w:rPr>
          <w:sz w:val="20"/>
          <w:szCs w:val="20"/>
          <w:color w:val="auto"/>
        </w:rPr>
      </w:pPr>
    </w:p>
    <w:tbl>
      <w:tblPr>
        <w:tblLayout w:type="fixed"/>
        <w:tblInd w:w="6380" w:type="dxa"/>
        <w:tblCellMar>
          <w:top w:w="0" w:type="dxa"/>
          <w:left w:w="0" w:type="dxa"/>
          <w:bottom w:w="0" w:type="dxa"/>
          <w:right w:w="0" w:type="dxa"/>
        </w:tblCellMar>
      </w:tblPr>
      <w:tr>
        <w:trPr>
          <w:trHeight w:val="212"/>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Edward Scheetz</w:t>
            </w:r>
          </w:p>
        </w:tc>
      </w:tr>
      <w:tr>
        <w:trPr>
          <w:trHeight w:val="175"/>
        </w:trPr>
        <w:tc>
          <w:tcPr>
            <w:tcW w:w="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Edward Scheetz</w:t>
            </w:r>
          </w:p>
        </w:tc>
      </w:t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bl>
    <w:p>
      <w:pPr>
        <w:spacing w:after="0" w:line="172"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b w:val="1"/>
          <w:bCs w:val="1"/>
          <w:color w:val="auto"/>
        </w:rPr>
        <w:t>VENTOUX MERGER SUB II LLC</w:t>
      </w:r>
    </w:p>
    <w:p>
      <w:pPr>
        <w:spacing w:after="0" w:line="272" w:lineRule="exact"/>
        <w:rPr>
          <w:sz w:val="20"/>
          <w:szCs w:val="20"/>
          <w:color w:val="auto"/>
        </w:rPr>
      </w:pPr>
    </w:p>
    <w:tbl>
      <w:tblPr>
        <w:tblLayout w:type="fixed"/>
        <w:tblInd w:w="6380" w:type="dxa"/>
        <w:tblCellMar>
          <w:top w:w="0" w:type="dxa"/>
          <w:left w:w="0" w:type="dxa"/>
          <w:bottom w:w="0" w:type="dxa"/>
          <w:right w:w="0" w:type="dxa"/>
        </w:tblCellMar>
      </w:tblPr>
      <w:tr>
        <w:trPr>
          <w:trHeight w:val="212"/>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Edward Scheetz</w:t>
            </w:r>
          </w:p>
        </w:tc>
      </w:tr>
      <w:tr>
        <w:trPr>
          <w:trHeight w:val="175"/>
        </w:trPr>
        <w:tc>
          <w:tcPr>
            <w:tcW w:w="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Edward Scheetz</w:t>
            </w:r>
          </w:p>
        </w:tc>
      </w:t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bl>
    <w:p>
      <w:pPr>
        <w:spacing w:after="0" w:line="39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15240</wp:posOffset>
            </wp:positionV>
            <wp:extent cx="714819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880"/>
          </w:cols>
          <w:pgMar w:left="700" w:top="816" w:right="319" w:bottom="1440" w:gutter="0" w:footer="0" w:header="0"/>
        </w:sectPr>
      </w:pPr>
    </w:p>
    <w:bookmarkStart w:id="14" w:name="page15"/>
    <w:bookmarkEnd w:id="14"/>
    <w:p>
      <w:pPr>
        <w:ind w:left="5640"/>
        <w:spacing w:after="0"/>
        <w:rPr>
          <w:sz w:val="20"/>
          <w:szCs w:val="20"/>
          <w:color w:val="auto"/>
        </w:rPr>
      </w:pPr>
      <w:r>
        <w:rPr>
          <w:rFonts w:ascii="Times New Roman" w:cs="Times New Roman" w:eastAsia="Times New Roman" w:hAnsi="Times New Roman"/>
          <w:sz w:val="16"/>
          <w:szCs w:val="16"/>
          <w:b w:val="1"/>
          <w:bCs w:val="1"/>
          <w:color w:val="auto"/>
        </w:rPr>
        <w:t>E LA CARTE, INC.</w:t>
      </w:r>
    </w:p>
    <w:p>
      <w:pPr>
        <w:spacing w:after="0" w:line="272" w:lineRule="exact"/>
        <w:rPr>
          <w:sz w:val="20"/>
          <w:szCs w:val="20"/>
          <w:color w:val="auto"/>
        </w:rPr>
      </w:pPr>
    </w:p>
    <w:tbl>
      <w:tblPr>
        <w:tblLayout w:type="fixed"/>
        <w:tblInd w:w="5640" w:type="dxa"/>
        <w:tblCellMar>
          <w:top w:w="0" w:type="dxa"/>
          <w:left w:w="0" w:type="dxa"/>
          <w:bottom w:w="0" w:type="dxa"/>
          <w:right w:w="0" w:type="dxa"/>
        </w:tblCellMar>
      </w:tblPr>
      <w:tr>
        <w:trPr>
          <w:trHeight w:val="212"/>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Rajat Suri</w:t>
            </w:r>
          </w:p>
        </w:tc>
      </w:tr>
      <w:tr>
        <w:trPr>
          <w:trHeight w:val="175"/>
        </w:trPr>
        <w:tc>
          <w:tcPr>
            <w:tcW w:w="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Rajat Suri</w:t>
            </w:r>
          </w:p>
        </w:tc>
      </w:t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bl>
    <w:p>
      <w:pPr>
        <w:spacing w:after="0" w:line="200" w:lineRule="exact"/>
        <w:rPr>
          <w:sz w:val="20"/>
          <w:szCs w:val="20"/>
          <w:color w:val="auto"/>
        </w:rPr>
      </w:pPr>
    </w:p>
    <w:p>
      <w:pPr>
        <w:spacing w:after="0" w:line="20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13970</wp:posOffset>
            </wp:positionV>
            <wp:extent cx="714819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838" w:right="31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6"/>
          <w:szCs w:val="16"/>
          <w:b w:val="1"/>
          <w:bCs w:val="1"/>
          <w:color w:val="auto"/>
        </w:rPr>
        <w:t>Exhibit 4.1</w:t>
      </w:r>
    </w:p>
    <w:p>
      <w:pPr>
        <w:spacing w:after="0" w:line="2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as Issuer,</w:t>
      </w:r>
    </w:p>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the Guarantors from time to time party hereto</w:t>
      </w:r>
    </w:p>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AND</w:t>
      </w:r>
    </w:p>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U.S. Bank National Association,</w:t>
      </w:r>
    </w:p>
    <w:p>
      <w:pPr>
        <w:spacing w:after="0" w:line="20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as Trustee</w:t>
      </w:r>
      <w:r>
        <w:rPr>
          <w:rFonts w:ascii="Times New Roman" w:cs="Times New Roman" w:eastAsia="Times New Roman" w:hAnsi="Times New Roman"/>
          <w:sz w:val="26"/>
          <w:szCs w:val="26"/>
          <w:color w:val="auto"/>
          <w:vertAlign w:val="superscript"/>
        </w:rPr>
        <w:t>1</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INDENTURE</w:t>
      </w:r>
    </w:p>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Dated as of [●], 2022</w:t>
      </w:r>
    </w:p>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15.0% Cash + 5.0% PIK Convertible Senior Notes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1790700"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214" w:lineRule="exact"/>
        <w:rPr>
          <w:sz w:val="20"/>
          <w:szCs w:val="20"/>
          <w:color w:val="auto"/>
        </w:rPr>
      </w:pPr>
    </w:p>
    <w:p>
      <w:pPr>
        <w:ind w:left="244" w:hanging="244"/>
        <w:spacing w:after="0"/>
        <w:tabs>
          <w:tab w:leader="none" w:pos="244"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NTD: This Indenture is subject to comments from the trustee that are reasonably acceptable to both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394335</wp:posOffset>
            </wp:positionV>
            <wp:extent cx="7148195"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1" w:right="31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0"/>
        </w:trPr>
        <w:tc>
          <w:tcPr>
            <w:tcW w:w="1160" w:type="dxa"/>
            <w:vAlign w:val="bottom"/>
          </w:tcPr>
          <w:p>
            <w:pPr>
              <w:spacing w:after="0"/>
              <w:rPr>
                <w:sz w:val="18"/>
                <w:szCs w:val="18"/>
                <w:color w:val="auto"/>
              </w:rPr>
            </w:pPr>
          </w:p>
        </w:tc>
        <w:tc>
          <w:tcPr>
            <w:tcW w:w="8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TABLE OF CONTENTS</w:t>
            </w:r>
          </w:p>
        </w:tc>
        <w:tc>
          <w:tcPr>
            <w:tcW w:w="1240" w:type="dxa"/>
            <w:vAlign w:val="bottom"/>
          </w:tcPr>
          <w:p>
            <w:pPr>
              <w:spacing w:after="0"/>
              <w:rPr>
                <w:sz w:val="18"/>
                <w:szCs w:val="18"/>
                <w:color w:val="auto"/>
              </w:rPr>
            </w:pPr>
          </w:p>
        </w:tc>
      </w:tr>
      <w:tr>
        <w:trPr>
          <w:trHeight w:val="398"/>
        </w:trPr>
        <w:tc>
          <w:tcPr>
            <w:tcW w:w="1160" w:type="dxa"/>
            <w:vAlign w:val="bottom"/>
            <w:tcBorders>
              <w:bottom w:val="single" w:sz="8" w:color="CCEEFF"/>
            </w:tcBorders>
          </w:tcPr>
          <w:p>
            <w:pPr>
              <w:spacing w:after="0"/>
              <w:rPr>
                <w:sz w:val="24"/>
                <w:szCs w:val="24"/>
                <w:color w:val="auto"/>
              </w:rPr>
            </w:pPr>
          </w:p>
        </w:tc>
        <w:tc>
          <w:tcPr>
            <w:tcW w:w="886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Page No</w:t>
            </w:r>
          </w:p>
        </w:tc>
      </w:tr>
      <w:tr>
        <w:trPr>
          <w:trHeight w:val="163"/>
        </w:trPr>
        <w:tc>
          <w:tcPr>
            <w:tcW w:w="1160" w:type="dxa"/>
            <w:vAlign w:val="bottom"/>
            <w:shd w:val="clear" w:color="auto" w:fill="CCEEFF"/>
          </w:tcPr>
          <w:p>
            <w:pPr>
              <w:spacing w:after="0"/>
              <w:rPr>
                <w:sz w:val="14"/>
                <w:szCs w:val="14"/>
                <w:color w:val="auto"/>
              </w:rPr>
            </w:pPr>
          </w:p>
        </w:tc>
        <w:tc>
          <w:tcPr>
            <w:tcW w:w="8860" w:type="dxa"/>
            <w:vAlign w:val="bottom"/>
            <w:shd w:val="clear" w:color="auto" w:fill="CCEEFF"/>
          </w:tcPr>
          <w:p>
            <w:pPr>
              <w:jc w:val="center"/>
              <w:spacing w:after="0" w:line="163" w:lineRule="exact"/>
              <w:rPr>
                <w:sz w:val="20"/>
                <w:szCs w:val="20"/>
                <w:color w:val="auto"/>
              </w:rPr>
            </w:pPr>
            <w:r>
              <w:rPr>
                <w:rFonts w:ascii="Times New Roman" w:cs="Times New Roman" w:eastAsia="Times New Roman" w:hAnsi="Times New Roman"/>
                <w:sz w:val="16"/>
                <w:szCs w:val="16"/>
                <w:color w:val="auto"/>
                <w:w w:val="97"/>
              </w:rPr>
              <w:t>ARTICLE 1</w:t>
            </w:r>
          </w:p>
        </w:tc>
        <w:tc>
          <w:tcPr>
            <w:tcW w:w="1240" w:type="dxa"/>
            <w:vAlign w:val="bottom"/>
            <w:shd w:val="clear" w:color="auto" w:fill="CCEEFF"/>
          </w:tcPr>
          <w:p>
            <w:pPr>
              <w:spacing w:after="0"/>
              <w:rPr>
                <w:sz w:val="14"/>
                <w:szCs w:val="14"/>
                <w:color w:val="auto"/>
              </w:rPr>
            </w:pPr>
          </w:p>
        </w:tc>
      </w:tr>
      <w:tr>
        <w:trPr>
          <w:trHeight w:val="208"/>
        </w:trPr>
        <w:tc>
          <w:tcPr>
            <w:tcW w:w="1160" w:type="dxa"/>
            <w:vAlign w:val="bottom"/>
            <w:shd w:val="clear" w:color="auto" w:fill="CCEEFF"/>
          </w:tcPr>
          <w:p>
            <w:pPr>
              <w:spacing w:after="0"/>
              <w:rPr>
                <w:sz w:val="18"/>
                <w:szCs w:val="18"/>
                <w:color w:val="auto"/>
              </w:rPr>
            </w:pPr>
          </w:p>
        </w:tc>
        <w:tc>
          <w:tcPr>
            <w:tcW w:w="8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w:t>
            </w:r>
            <w:r>
              <w:rPr>
                <w:rFonts w:ascii="Times New Roman" w:cs="Times New Roman" w:eastAsia="Times New Roman" w:hAnsi="Times New Roman"/>
                <w:sz w:val="10"/>
                <w:szCs w:val="10"/>
                <w:color w:val="auto"/>
              </w:rPr>
              <w:t>efinitions</w:t>
            </w:r>
          </w:p>
        </w:tc>
        <w:tc>
          <w:tcPr>
            <w:tcW w:w="1240" w:type="dxa"/>
            <w:vAlign w:val="bottom"/>
            <w:shd w:val="clear" w:color="auto" w:fill="CCEEFF"/>
          </w:tcPr>
          <w:p>
            <w:pPr>
              <w:spacing w:after="0"/>
              <w:rPr>
                <w:sz w:val="18"/>
                <w:szCs w:val="18"/>
                <w:color w:val="auto"/>
              </w:rPr>
            </w:pPr>
          </w:p>
        </w:tc>
      </w:tr>
      <w:tr>
        <w:trPr>
          <w:trHeight w:val="191"/>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Section 1.01.</w:t>
            </w:r>
          </w:p>
        </w:tc>
        <w:tc>
          <w:tcPr>
            <w:tcW w:w="886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Definitions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r>
      <w:tr>
        <w:trPr>
          <w:trHeight w:val="191"/>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1.02.</w:t>
            </w: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References to Interest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18</w:t>
            </w:r>
          </w:p>
        </w:tc>
      </w:tr>
      <w:tr>
        <w:trPr>
          <w:trHeight w:val="175"/>
        </w:trPr>
        <w:tc>
          <w:tcPr>
            <w:tcW w:w="1160" w:type="dxa"/>
            <w:vAlign w:val="bottom"/>
          </w:tcPr>
          <w:p>
            <w:pPr>
              <w:spacing w:after="0"/>
              <w:rPr>
                <w:sz w:val="15"/>
                <w:szCs w:val="15"/>
                <w:color w:val="auto"/>
              </w:rPr>
            </w:pPr>
          </w:p>
        </w:tc>
        <w:tc>
          <w:tcPr>
            <w:tcW w:w="88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ARTICLE 2</w:t>
            </w:r>
          </w:p>
        </w:tc>
        <w:tc>
          <w:tcPr>
            <w:tcW w:w="1240" w:type="dxa"/>
            <w:vAlign w:val="bottom"/>
          </w:tcPr>
          <w:p>
            <w:pPr>
              <w:spacing w:after="0"/>
              <w:rPr>
                <w:sz w:val="15"/>
                <w:szCs w:val="15"/>
                <w:color w:val="auto"/>
              </w:rPr>
            </w:pPr>
          </w:p>
        </w:tc>
      </w:tr>
      <w:tr>
        <w:trPr>
          <w:trHeight w:val="208"/>
        </w:trPr>
        <w:tc>
          <w:tcPr>
            <w:tcW w:w="1160" w:type="dxa"/>
            <w:vAlign w:val="bottom"/>
          </w:tcPr>
          <w:p>
            <w:pPr>
              <w:spacing w:after="0"/>
              <w:rPr>
                <w:sz w:val="18"/>
                <w:szCs w:val="18"/>
                <w:color w:val="auto"/>
              </w:rPr>
            </w:pPr>
          </w:p>
        </w:tc>
        <w:tc>
          <w:tcPr>
            <w:tcW w:w="8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w:t>
            </w:r>
            <w:r>
              <w:rPr>
                <w:rFonts w:ascii="Times New Roman" w:cs="Times New Roman" w:eastAsia="Times New Roman" w:hAnsi="Times New Roman"/>
                <w:sz w:val="10"/>
                <w:szCs w:val="10"/>
                <w:color w:val="auto"/>
              </w:rPr>
              <w:t>ssue</w:t>
            </w:r>
            <w:r>
              <w:rPr>
                <w:rFonts w:ascii="Times New Roman" w:cs="Times New Roman" w:eastAsia="Times New Roman" w:hAnsi="Times New Roman"/>
                <w:sz w:val="16"/>
                <w:szCs w:val="16"/>
                <w:color w:val="auto"/>
              </w:rPr>
              <w:t>, D</w:t>
            </w:r>
            <w:r>
              <w:rPr>
                <w:rFonts w:ascii="Times New Roman" w:cs="Times New Roman" w:eastAsia="Times New Roman" w:hAnsi="Times New Roman"/>
                <w:sz w:val="10"/>
                <w:szCs w:val="10"/>
                <w:color w:val="auto"/>
              </w:rPr>
              <w:t>escription</w:t>
            </w:r>
            <w:r>
              <w:rPr>
                <w:rFonts w:ascii="Times New Roman" w:cs="Times New Roman" w:eastAsia="Times New Roman" w:hAnsi="Times New Roman"/>
                <w:sz w:val="16"/>
                <w:szCs w:val="16"/>
                <w:color w:val="auto"/>
              </w:rPr>
              <w:t>, E</w:t>
            </w:r>
            <w:r>
              <w:rPr>
                <w:rFonts w:ascii="Times New Roman" w:cs="Times New Roman" w:eastAsia="Times New Roman" w:hAnsi="Times New Roman"/>
                <w:sz w:val="10"/>
                <w:szCs w:val="10"/>
                <w:color w:val="auto"/>
              </w:rPr>
              <w:t>xecution</w:t>
            </w:r>
            <w:r>
              <w:rPr>
                <w:rFonts w:ascii="Times New Roman" w:cs="Times New Roman" w:eastAsia="Times New Roman" w:hAnsi="Times New Roman"/>
                <w:sz w:val="16"/>
                <w:szCs w:val="16"/>
                <w:color w:val="auto"/>
              </w:rPr>
              <w:t>, R</w:t>
            </w:r>
            <w:r>
              <w:rPr>
                <w:rFonts w:ascii="Times New Roman" w:cs="Times New Roman" w:eastAsia="Times New Roman" w:hAnsi="Times New Roman"/>
                <w:sz w:val="10"/>
                <w:szCs w:val="10"/>
                <w:color w:val="auto"/>
              </w:rPr>
              <w:t>egistration and</w:t>
            </w:r>
            <w:r>
              <w:rPr>
                <w:rFonts w:ascii="Times New Roman" w:cs="Times New Roman" w:eastAsia="Times New Roman" w:hAnsi="Times New Roman"/>
                <w:sz w:val="16"/>
                <w:szCs w:val="16"/>
                <w:color w:val="auto"/>
              </w:rPr>
              <w:t xml:space="preserve"> E</w:t>
            </w:r>
            <w:r>
              <w:rPr>
                <w:rFonts w:ascii="Times New Roman" w:cs="Times New Roman" w:eastAsia="Times New Roman" w:hAnsi="Times New Roman"/>
                <w:sz w:val="10"/>
                <w:szCs w:val="10"/>
                <w:color w:val="auto"/>
              </w:rPr>
              <w:t>xchange of</w:t>
            </w:r>
            <w:r>
              <w:rPr>
                <w:rFonts w:ascii="Times New Roman" w:cs="Times New Roman" w:eastAsia="Times New Roman" w:hAnsi="Times New Roman"/>
                <w:sz w:val="16"/>
                <w:szCs w:val="16"/>
                <w:color w:val="auto"/>
              </w:rPr>
              <w:t xml:space="preserve"> N</w:t>
            </w:r>
            <w:r>
              <w:rPr>
                <w:rFonts w:ascii="Times New Roman" w:cs="Times New Roman" w:eastAsia="Times New Roman" w:hAnsi="Times New Roman"/>
                <w:sz w:val="10"/>
                <w:szCs w:val="10"/>
                <w:color w:val="auto"/>
              </w:rPr>
              <w:t>otes</w:t>
            </w:r>
          </w:p>
        </w:tc>
        <w:tc>
          <w:tcPr>
            <w:tcW w:w="1240" w:type="dxa"/>
            <w:vAlign w:val="bottom"/>
          </w:tcPr>
          <w:p>
            <w:pPr>
              <w:spacing w:after="0"/>
              <w:rPr>
                <w:sz w:val="18"/>
                <w:szCs w:val="18"/>
                <w:color w:val="auto"/>
              </w:rPr>
            </w:pPr>
          </w:p>
        </w:tc>
      </w:tr>
      <w:tr>
        <w:trPr>
          <w:trHeight w:val="191"/>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2.01.</w:t>
            </w: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Designation and Amount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19</w:t>
            </w:r>
          </w:p>
        </w:tc>
      </w:tr>
      <w:tr>
        <w:trPr>
          <w:trHeight w:val="191"/>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Section 2.02.</w:t>
            </w:r>
          </w:p>
        </w:tc>
        <w:tc>
          <w:tcPr>
            <w:tcW w:w="886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Form of Notes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19</w:t>
            </w:r>
          </w:p>
        </w:tc>
      </w:tr>
      <w:tr>
        <w:trPr>
          <w:trHeight w:val="191"/>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2.03.</w:t>
            </w: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Date and Denomination of Notes; Payments of Interest and Defaulted Amounts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w:t>
            </w:r>
          </w:p>
        </w:tc>
      </w:tr>
      <w:tr>
        <w:trPr>
          <w:trHeight w:val="191"/>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Section 2.04.</w:t>
            </w:r>
          </w:p>
        </w:tc>
        <w:tc>
          <w:tcPr>
            <w:tcW w:w="886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Execution, Authentication and Delivery of Notes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r>
      <w:tr>
        <w:trPr>
          <w:trHeight w:val="191"/>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2.05.</w:t>
            </w: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Exchange and Registration of Transfer of Notes; Restrictions on Transfer; Depositary.</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r>
      <w:tr>
        <w:trPr>
          <w:trHeight w:val="191"/>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Section 2.06.</w:t>
            </w:r>
          </w:p>
        </w:tc>
        <w:tc>
          <w:tcPr>
            <w:tcW w:w="886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Mutilated, Destroyed, Lost or Stolen Notes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26</w:t>
            </w:r>
          </w:p>
        </w:tc>
      </w:tr>
      <w:tr>
        <w:trPr>
          <w:trHeight w:val="191"/>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2.07.</w:t>
            </w: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Temporary Notes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27</w:t>
            </w:r>
          </w:p>
        </w:tc>
      </w:tr>
      <w:tr>
        <w:trPr>
          <w:trHeight w:val="191"/>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Section 2.08.</w:t>
            </w:r>
          </w:p>
        </w:tc>
        <w:tc>
          <w:tcPr>
            <w:tcW w:w="886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Cancellation of Notes Paid, Converted, Etc</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27</w:t>
            </w:r>
          </w:p>
        </w:tc>
      </w:tr>
      <w:tr>
        <w:trPr>
          <w:trHeight w:val="191"/>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2.09.</w:t>
            </w: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CUSIP Numbers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27</w:t>
            </w:r>
          </w:p>
        </w:tc>
      </w:tr>
      <w:tr>
        <w:trPr>
          <w:trHeight w:val="191"/>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Section 2.10.</w:t>
            </w:r>
          </w:p>
        </w:tc>
        <w:tc>
          <w:tcPr>
            <w:tcW w:w="886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Additional Notes; Repurchases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27</w:t>
            </w:r>
          </w:p>
        </w:tc>
      </w:tr>
      <w:tr>
        <w:trPr>
          <w:trHeight w:val="175"/>
        </w:trPr>
        <w:tc>
          <w:tcPr>
            <w:tcW w:w="1160" w:type="dxa"/>
            <w:vAlign w:val="bottom"/>
            <w:shd w:val="clear" w:color="auto" w:fill="CCEEFF"/>
          </w:tcPr>
          <w:p>
            <w:pPr>
              <w:spacing w:after="0"/>
              <w:rPr>
                <w:sz w:val="15"/>
                <w:szCs w:val="15"/>
                <w:color w:val="auto"/>
              </w:rPr>
            </w:pPr>
          </w:p>
        </w:tc>
        <w:tc>
          <w:tcPr>
            <w:tcW w:w="8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ARTICLE 3</w:t>
            </w:r>
          </w:p>
        </w:tc>
        <w:tc>
          <w:tcPr>
            <w:tcW w:w="1240" w:type="dxa"/>
            <w:vAlign w:val="bottom"/>
            <w:shd w:val="clear" w:color="auto" w:fill="CCEEFF"/>
          </w:tcPr>
          <w:p>
            <w:pPr>
              <w:spacing w:after="0"/>
              <w:rPr>
                <w:sz w:val="15"/>
                <w:szCs w:val="15"/>
                <w:color w:val="auto"/>
              </w:rPr>
            </w:pPr>
          </w:p>
        </w:tc>
      </w:tr>
      <w:tr>
        <w:trPr>
          <w:trHeight w:val="208"/>
        </w:trPr>
        <w:tc>
          <w:tcPr>
            <w:tcW w:w="1160" w:type="dxa"/>
            <w:vAlign w:val="bottom"/>
            <w:shd w:val="clear" w:color="auto" w:fill="CCEEFF"/>
          </w:tcPr>
          <w:p>
            <w:pPr>
              <w:spacing w:after="0"/>
              <w:rPr>
                <w:sz w:val="18"/>
                <w:szCs w:val="18"/>
                <w:color w:val="auto"/>
              </w:rPr>
            </w:pPr>
          </w:p>
        </w:tc>
        <w:tc>
          <w:tcPr>
            <w:tcW w:w="8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0"/>
                <w:szCs w:val="10"/>
                <w:color w:val="auto"/>
              </w:rPr>
              <w:t>atisfaction and</w:t>
            </w:r>
            <w:r>
              <w:rPr>
                <w:rFonts w:ascii="Times New Roman" w:cs="Times New Roman" w:eastAsia="Times New Roman" w:hAnsi="Times New Roman"/>
                <w:sz w:val="16"/>
                <w:szCs w:val="16"/>
                <w:color w:val="auto"/>
              </w:rPr>
              <w:t xml:space="preserve"> D</w:t>
            </w:r>
            <w:r>
              <w:rPr>
                <w:rFonts w:ascii="Times New Roman" w:cs="Times New Roman" w:eastAsia="Times New Roman" w:hAnsi="Times New Roman"/>
                <w:sz w:val="10"/>
                <w:szCs w:val="10"/>
                <w:color w:val="auto"/>
              </w:rPr>
              <w:t>ischarge</w:t>
            </w:r>
          </w:p>
        </w:tc>
        <w:tc>
          <w:tcPr>
            <w:tcW w:w="1240" w:type="dxa"/>
            <w:vAlign w:val="bottom"/>
            <w:shd w:val="clear" w:color="auto" w:fill="CCEEFF"/>
          </w:tcPr>
          <w:p>
            <w:pPr>
              <w:spacing w:after="0"/>
              <w:rPr>
                <w:sz w:val="18"/>
                <w:szCs w:val="18"/>
                <w:color w:val="auto"/>
              </w:rPr>
            </w:pPr>
          </w:p>
        </w:tc>
      </w:tr>
      <w:tr>
        <w:trPr>
          <w:trHeight w:val="191"/>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Section 3.01.</w:t>
            </w:r>
          </w:p>
        </w:tc>
        <w:tc>
          <w:tcPr>
            <w:tcW w:w="886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Satisfaction and Discharge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28</w:t>
            </w:r>
          </w:p>
        </w:tc>
      </w:tr>
      <w:tr>
        <w:trPr>
          <w:trHeight w:val="175"/>
        </w:trPr>
        <w:tc>
          <w:tcPr>
            <w:tcW w:w="1160" w:type="dxa"/>
            <w:vAlign w:val="bottom"/>
            <w:shd w:val="clear" w:color="auto" w:fill="CCEEFF"/>
          </w:tcPr>
          <w:p>
            <w:pPr>
              <w:spacing w:after="0"/>
              <w:rPr>
                <w:sz w:val="15"/>
                <w:szCs w:val="15"/>
                <w:color w:val="auto"/>
              </w:rPr>
            </w:pPr>
          </w:p>
        </w:tc>
        <w:tc>
          <w:tcPr>
            <w:tcW w:w="8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ARTICLE 4</w:t>
            </w:r>
          </w:p>
        </w:tc>
        <w:tc>
          <w:tcPr>
            <w:tcW w:w="1240" w:type="dxa"/>
            <w:vAlign w:val="bottom"/>
            <w:shd w:val="clear" w:color="auto" w:fill="CCEEFF"/>
          </w:tcPr>
          <w:p>
            <w:pPr>
              <w:spacing w:after="0"/>
              <w:rPr>
                <w:sz w:val="15"/>
                <w:szCs w:val="15"/>
                <w:color w:val="auto"/>
              </w:rPr>
            </w:pPr>
          </w:p>
        </w:tc>
      </w:tr>
      <w:tr>
        <w:trPr>
          <w:trHeight w:val="208"/>
        </w:trPr>
        <w:tc>
          <w:tcPr>
            <w:tcW w:w="1160" w:type="dxa"/>
            <w:vAlign w:val="bottom"/>
            <w:shd w:val="clear" w:color="auto" w:fill="CCEEFF"/>
          </w:tcPr>
          <w:p>
            <w:pPr>
              <w:spacing w:after="0"/>
              <w:rPr>
                <w:sz w:val="18"/>
                <w:szCs w:val="18"/>
                <w:color w:val="auto"/>
              </w:rPr>
            </w:pPr>
          </w:p>
        </w:tc>
        <w:tc>
          <w:tcPr>
            <w:tcW w:w="8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w:t>
            </w:r>
            <w:r>
              <w:rPr>
                <w:rFonts w:ascii="Times New Roman" w:cs="Times New Roman" w:eastAsia="Times New Roman" w:hAnsi="Times New Roman"/>
                <w:sz w:val="10"/>
                <w:szCs w:val="10"/>
                <w:color w:val="auto"/>
              </w:rPr>
              <w:t>articular</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0"/>
                <w:szCs w:val="10"/>
                <w:color w:val="auto"/>
              </w:rPr>
              <w:t>ovenants of the</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0"/>
                <w:szCs w:val="10"/>
                <w:color w:val="auto"/>
              </w:rPr>
              <w:t>ompany</w:t>
            </w:r>
          </w:p>
        </w:tc>
        <w:tc>
          <w:tcPr>
            <w:tcW w:w="1240" w:type="dxa"/>
            <w:vAlign w:val="bottom"/>
            <w:shd w:val="clear" w:color="auto" w:fill="CCEEFF"/>
          </w:tcPr>
          <w:p>
            <w:pPr>
              <w:spacing w:after="0"/>
              <w:rPr>
                <w:sz w:val="18"/>
                <w:szCs w:val="18"/>
                <w:color w:val="auto"/>
              </w:rPr>
            </w:pPr>
          </w:p>
        </w:tc>
      </w:tr>
      <w:tr>
        <w:trPr>
          <w:trHeight w:val="191"/>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Section 4.01.</w:t>
            </w:r>
          </w:p>
        </w:tc>
        <w:tc>
          <w:tcPr>
            <w:tcW w:w="886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Payment of Principal and Interest</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28</w:t>
            </w:r>
          </w:p>
        </w:tc>
      </w:tr>
      <w:tr>
        <w:trPr>
          <w:trHeight w:val="191"/>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4.02.</w:t>
            </w: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Maintenance of Office or Agency</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28</w:t>
            </w:r>
          </w:p>
        </w:tc>
      </w:tr>
      <w:tr>
        <w:trPr>
          <w:trHeight w:val="191"/>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Section 4.03.</w:t>
            </w:r>
          </w:p>
        </w:tc>
        <w:tc>
          <w:tcPr>
            <w:tcW w:w="886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Appointments to Fill Vacancies in Trustee’s Office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29</w:t>
            </w:r>
          </w:p>
        </w:tc>
      </w:tr>
      <w:tr>
        <w:trPr>
          <w:trHeight w:val="191"/>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4.04.</w:t>
            </w: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Provisions as to Paying Agent.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29</w:t>
            </w:r>
          </w:p>
        </w:tc>
      </w:tr>
      <w:tr>
        <w:trPr>
          <w:trHeight w:val="191"/>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Section 4.05.</w:t>
            </w:r>
          </w:p>
        </w:tc>
        <w:tc>
          <w:tcPr>
            <w:tcW w:w="886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Existence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30</w:t>
            </w:r>
          </w:p>
        </w:tc>
      </w:tr>
      <w:tr>
        <w:trPr>
          <w:trHeight w:val="191"/>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4.06.</w:t>
            </w: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Rule 144A Information Requirement and Annual Reports.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30</w:t>
            </w:r>
          </w:p>
        </w:tc>
      </w:tr>
      <w:tr>
        <w:trPr>
          <w:trHeight w:val="191"/>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Section 4.07.</w:t>
            </w:r>
          </w:p>
        </w:tc>
        <w:tc>
          <w:tcPr>
            <w:tcW w:w="886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Stay, Extension and Usury Laws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r>
      <w:tr>
        <w:trPr>
          <w:trHeight w:val="191"/>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4.08.</w:t>
            </w: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Compliance Certificate; Statements as to Defaults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r>
      <w:tr>
        <w:trPr>
          <w:trHeight w:val="191"/>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Section 4.09.</w:t>
            </w:r>
          </w:p>
        </w:tc>
        <w:tc>
          <w:tcPr>
            <w:tcW w:w="886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Further Instruments and Acts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r>
      <w:tr>
        <w:trPr>
          <w:trHeight w:val="191"/>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4.10.</w:t>
            </w: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Limitations on Certain Restricted Payments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r>
      <w:tr>
        <w:trPr>
          <w:trHeight w:val="191"/>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Section 4.11.</w:t>
            </w:r>
          </w:p>
        </w:tc>
        <w:tc>
          <w:tcPr>
            <w:tcW w:w="886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Limitation on Incurrence of Additional Indebtedness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33</w:t>
            </w:r>
          </w:p>
        </w:tc>
      </w:tr>
      <w:tr>
        <w:trPr>
          <w:trHeight w:val="191"/>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4.12.</w:t>
            </w: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Transactions with Affiliates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34</w:t>
            </w:r>
          </w:p>
        </w:tc>
      </w:tr>
      <w:tr>
        <w:trPr>
          <w:trHeight w:val="191"/>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Section 4.13.</w:t>
            </w:r>
          </w:p>
        </w:tc>
        <w:tc>
          <w:tcPr>
            <w:tcW w:w="886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Limitation on Liens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35</w:t>
            </w:r>
          </w:p>
        </w:tc>
      </w:tr>
      <w:tr>
        <w:trPr>
          <w:trHeight w:val="191"/>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4.14.</w:t>
            </w: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Subsidiary Guarantees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35</w:t>
            </w:r>
          </w:p>
        </w:tc>
      </w:tr>
      <w:tr>
        <w:trPr>
          <w:trHeight w:val="191"/>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Section 4.15.</w:t>
            </w:r>
          </w:p>
        </w:tc>
        <w:tc>
          <w:tcPr>
            <w:tcW w:w="886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Registration Rights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35</w:t>
            </w:r>
          </w:p>
        </w:tc>
      </w:tr>
      <w:tr>
        <w:trPr>
          <w:trHeight w:val="191"/>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4.16.</w:t>
            </w: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Payment of Taxes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35</w:t>
            </w:r>
          </w:p>
        </w:tc>
      </w:tr>
      <w:tr>
        <w:trPr>
          <w:trHeight w:val="191"/>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Section 4.17.</w:t>
            </w:r>
          </w:p>
        </w:tc>
        <w:tc>
          <w:tcPr>
            <w:tcW w:w="886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Compliance with Laws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35</w:t>
            </w:r>
          </w:p>
        </w:tc>
      </w:tr>
      <w:tr>
        <w:trPr>
          <w:trHeight w:val="191"/>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4.18.</w:t>
            </w: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Limitation on Sales of Assets</w:t>
            </w:r>
            <w:r>
              <w:rPr>
                <w:rFonts w:ascii="Times New Roman" w:cs="Times New Roman" w:eastAsia="Times New Roman" w:hAnsi="Times New Roman"/>
                <w:sz w:val="16"/>
                <w:szCs w:val="16"/>
                <w:color w:val="auto"/>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36</w:t>
            </w:r>
          </w:p>
        </w:tc>
      </w:tr>
      <w:tr>
        <w:trPr>
          <w:trHeight w:val="191"/>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Section 4.19.</w:t>
            </w:r>
          </w:p>
        </w:tc>
        <w:tc>
          <w:tcPr>
            <w:tcW w:w="886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Minimum Liquidity; Maximum Acquisition Spend</w:t>
            </w:r>
            <w:r>
              <w:rPr>
                <w:rFonts w:ascii="Times New Roman" w:cs="Times New Roman" w:eastAsia="Times New Roman" w:hAnsi="Times New Roman"/>
                <w:sz w:val="16"/>
                <w:szCs w:val="16"/>
                <w:color w:val="auto"/>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37</w:t>
            </w:r>
          </w:p>
        </w:tc>
      </w:tr>
      <w:tr>
        <w:trPr>
          <w:trHeight w:val="175"/>
        </w:trPr>
        <w:tc>
          <w:tcPr>
            <w:tcW w:w="1160" w:type="dxa"/>
            <w:vAlign w:val="bottom"/>
            <w:shd w:val="clear" w:color="auto" w:fill="CCEEFF"/>
          </w:tcPr>
          <w:p>
            <w:pPr>
              <w:spacing w:after="0"/>
              <w:rPr>
                <w:sz w:val="15"/>
                <w:szCs w:val="15"/>
                <w:color w:val="auto"/>
              </w:rPr>
            </w:pPr>
          </w:p>
        </w:tc>
        <w:tc>
          <w:tcPr>
            <w:tcW w:w="8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ARTICLE 5</w:t>
            </w:r>
          </w:p>
        </w:tc>
        <w:tc>
          <w:tcPr>
            <w:tcW w:w="1240" w:type="dxa"/>
            <w:vAlign w:val="bottom"/>
            <w:shd w:val="clear" w:color="auto" w:fill="CCEEFF"/>
          </w:tcPr>
          <w:p>
            <w:pPr>
              <w:spacing w:after="0"/>
              <w:rPr>
                <w:sz w:val="15"/>
                <w:szCs w:val="15"/>
                <w:color w:val="auto"/>
              </w:rPr>
            </w:pPr>
          </w:p>
        </w:tc>
      </w:tr>
      <w:tr>
        <w:trPr>
          <w:trHeight w:val="208"/>
        </w:trPr>
        <w:tc>
          <w:tcPr>
            <w:tcW w:w="1160" w:type="dxa"/>
            <w:vAlign w:val="bottom"/>
            <w:shd w:val="clear" w:color="auto" w:fill="CCEEFF"/>
          </w:tcPr>
          <w:p>
            <w:pPr>
              <w:spacing w:after="0"/>
              <w:rPr>
                <w:sz w:val="18"/>
                <w:szCs w:val="18"/>
                <w:color w:val="auto"/>
              </w:rPr>
            </w:pPr>
          </w:p>
        </w:tc>
        <w:tc>
          <w:tcPr>
            <w:tcW w:w="8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w:t>
            </w:r>
            <w:r>
              <w:rPr>
                <w:rFonts w:ascii="Times New Roman" w:cs="Times New Roman" w:eastAsia="Times New Roman" w:hAnsi="Times New Roman"/>
                <w:sz w:val="10"/>
                <w:szCs w:val="10"/>
                <w:color w:val="auto"/>
              </w:rPr>
              <w:t>ists of</w:t>
            </w:r>
            <w:r>
              <w:rPr>
                <w:rFonts w:ascii="Times New Roman" w:cs="Times New Roman" w:eastAsia="Times New Roman" w:hAnsi="Times New Roman"/>
                <w:sz w:val="16"/>
                <w:szCs w:val="16"/>
                <w:color w:val="auto"/>
              </w:rPr>
              <w:t xml:space="preserve"> H</w:t>
            </w:r>
            <w:r>
              <w:rPr>
                <w:rFonts w:ascii="Times New Roman" w:cs="Times New Roman" w:eastAsia="Times New Roman" w:hAnsi="Times New Roman"/>
                <w:sz w:val="10"/>
                <w:szCs w:val="10"/>
                <w:color w:val="auto"/>
              </w:rPr>
              <w:t>olders and</w:t>
            </w:r>
            <w:r>
              <w:rPr>
                <w:rFonts w:ascii="Times New Roman" w:cs="Times New Roman" w:eastAsia="Times New Roman" w:hAnsi="Times New Roman"/>
                <w:sz w:val="16"/>
                <w:szCs w:val="16"/>
                <w:color w:val="auto"/>
              </w:rPr>
              <w:t xml:space="preserve"> R</w:t>
            </w:r>
            <w:r>
              <w:rPr>
                <w:rFonts w:ascii="Times New Roman" w:cs="Times New Roman" w:eastAsia="Times New Roman" w:hAnsi="Times New Roman"/>
                <w:sz w:val="10"/>
                <w:szCs w:val="10"/>
                <w:color w:val="auto"/>
              </w:rPr>
              <w:t>eports by the</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0"/>
                <w:szCs w:val="10"/>
                <w:color w:val="auto"/>
              </w:rPr>
              <w:t>ompany and the</w:t>
            </w:r>
            <w:r>
              <w:rPr>
                <w:rFonts w:ascii="Times New Roman" w:cs="Times New Roman" w:eastAsia="Times New Roman" w:hAnsi="Times New Roman"/>
                <w:sz w:val="16"/>
                <w:szCs w:val="16"/>
                <w:color w:val="auto"/>
              </w:rPr>
              <w:t xml:space="preserve"> T</w:t>
            </w:r>
            <w:r>
              <w:rPr>
                <w:rFonts w:ascii="Times New Roman" w:cs="Times New Roman" w:eastAsia="Times New Roman" w:hAnsi="Times New Roman"/>
                <w:sz w:val="10"/>
                <w:szCs w:val="10"/>
                <w:color w:val="auto"/>
              </w:rPr>
              <w:t>rustee</w:t>
            </w:r>
          </w:p>
        </w:tc>
        <w:tc>
          <w:tcPr>
            <w:tcW w:w="1240" w:type="dxa"/>
            <w:vAlign w:val="bottom"/>
            <w:shd w:val="clear" w:color="auto" w:fill="CCEEFF"/>
          </w:tcPr>
          <w:p>
            <w:pPr>
              <w:spacing w:after="0"/>
              <w:rPr>
                <w:sz w:val="18"/>
                <w:szCs w:val="18"/>
                <w:color w:val="auto"/>
              </w:rPr>
            </w:pPr>
          </w:p>
        </w:tc>
      </w:tr>
      <w:tr>
        <w:trPr>
          <w:trHeight w:val="191"/>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Section 5.01.</w:t>
            </w:r>
          </w:p>
        </w:tc>
        <w:tc>
          <w:tcPr>
            <w:tcW w:w="886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Lists of Holders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38</w:t>
            </w:r>
          </w:p>
        </w:tc>
      </w:tr>
      <w:tr>
        <w:trPr>
          <w:trHeight w:val="191"/>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5.02.</w:t>
            </w: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Preservation and Disclosure of Lists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38</w:t>
            </w:r>
          </w:p>
        </w:tc>
      </w:tr>
      <w:tr>
        <w:trPr>
          <w:trHeight w:val="175"/>
        </w:trPr>
        <w:tc>
          <w:tcPr>
            <w:tcW w:w="1160" w:type="dxa"/>
            <w:vAlign w:val="bottom"/>
          </w:tcPr>
          <w:p>
            <w:pPr>
              <w:spacing w:after="0"/>
              <w:rPr>
                <w:sz w:val="15"/>
                <w:szCs w:val="15"/>
                <w:color w:val="auto"/>
              </w:rPr>
            </w:pPr>
          </w:p>
        </w:tc>
        <w:tc>
          <w:tcPr>
            <w:tcW w:w="88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ARTICLE 6</w:t>
            </w:r>
          </w:p>
        </w:tc>
        <w:tc>
          <w:tcPr>
            <w:tcW w:w="1240" w:type="dxa"/>
            <w:vAlign w:val="bottom"/>
          </w:tcPr>
          <w:p>
            <w:pPr>
              <w:spacing w:after="0"/>
              <w:rPr>
                <w:sz w:val="15"/>
                <w:szCs w:val="15"/>
                <w:color w:val="auto"/>
              </w:rPr>
            </w:pPr>
          </w:p>
        </w:tc>
      </w:tr>
      <w:tr>
        <w:trPr>
          <w:trHeight w:val="208"/>
        </w:trPr>
        <w:tc>
          <w:tcPr>
            <w:tcW w:w="1160" w:type="dxa"/>
            <w:vAlign w:val="bottom"/>
          </w:tcPr>
          <w:p>
            <w:pPr>
              <w:spacing w:after="0"/>
              <w:rPr>
                <w:sz w:val="18"/>
                <w:szCs w:val="18"/>
                <w:color w:val="auto"/>
              </w:rPr>
            </w:pPr>
          </w:p>
        </w:tc>
        <w:tc>
          <w:tcPr>
            <w:tcW w:w="8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w:t>
            </w:r>
            <w:r>
              <w:rPr>
                <w:rFonts w:ascii="Times New Roman" w:cs="Times New Roman" w:eastAsia="Times New Roman" w:hAnsi="Times New Roman"/>
                <w:sz w:val="10"/>
                <w:szCs w:val="10"/>
                <w:color w:val="auto"/>
              </w:rPr>
              <w:t>efaults and</w:t>
            </w:r>
            <w:r>
              <w:rPr>
                <w:rFonts w:ascii="Times New Roman" w:cs="Times New Roman" w:eastAsia="Times New Roman" w:hAnsi="Times New Roman"/>
                <w:sz w:val="16"/>
                <w:szCs w:val="16"/>
                <w:color w:val="auto"/>
              </w:rPr>
              <w:t xml:space="preserve"> R</w:t>
            </w:r>
            <w:r>
              <w:rPr>
                <w:rFonts w:ascii="Times New Roman" w:cs="Times New Roman" w:eastAsia="Times New Roman" w:hAnsi="Times New Roman"/>
                <w:sz w:val="10"/>
                <w:szCs w:val="10"/>
                <w:color w:val="auto"/>
              </w:rPr>
              <w:t>emedies</w:t>
            </w:r>
          </w:p>
        </w:tc>
        <w:tc>
          <w:tcPr>
            <w:tcW w:w="1240" w:type="dxa"/>
            <w:vAlign w:val="bottom"/>
          </w:tcPr>
          <w:p>
            <w:pPr>
              <w:spacing w:after="0"/>
              <w:rPr>
                <w:sz w:val="18"/>
                <w:szCs w:val="18"/>
                <w:color w:val="auto"/>
              </w:rPr>
            </w:pPr>
          </w:p>
        </w:tc>
      </w:tr>
      <w:tr>
        <w:trPr>
          <w:trHeight w:val="191"/>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6.01.</w:t>
            </w: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Events of Default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38</w:t>
            </w:r>
          </w:p>
        </w:tc>
      </w:tr>
      <w:tr>
        <w:trPr>
          <w:trHeight w:val="210"/>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Section 6.02.</w:t>
            </w:r>
          </w:p>
        </w:tc>
        <w:tc>
          <w:tcPr>
            <w:tcW w:w="886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Acceleration; Rescission and Annulment</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r>
    </w:tbl>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4"/>
        </w:trPr>
        <w:tc>
          <w:tcPr>
            <w:tcW w:w="1200" w:type="dxa"/>
            <w:vAlign w:val="bottom"/>
            <w:tcBorders>
              <w:bottom w:val="single" w:sz="8" w:color="CCEEFF"/>
            </w:tcBorders>
          </w:tcPr>
          <w:p>
            <w:pPr>
              <w:spacing w:after="0"/>
              <w:rPr>
                <w:sz w:val="18"/>
                <w:szCs w:val="18"/>
                <w:color w:val="auto"/>
              </w:rPr>
            </w:pPr>
          </w:p>
        </w:tc>
        <w:tc>
          <w:tcPr>
            <w:tcW w:w="88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Page No</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6.03.</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Additional Interest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6.04.</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Payments of Notes on Default; Suit Therefor</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6.05.</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Application of Monies Collected by Trustee</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6.06.</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Proceedings by Holders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6.07.</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Proceedings by Trustee</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6.08.</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Remedies Cumulative and Continuing</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6.09.</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Direction of Proceedings and Waiver of Defaults by Majority of Holders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6.10.</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Notice of Defaults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6.11.</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Undertaking to Pay Costs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r>
      <w:tr>
        <w:trPr>
          <w:trHeight w:val="175"/>
        </w:trPr>
        <w:tc>
          <w:tcPr>
            <w:tcW w:w="1200" w:type="dxa"/>
            <w:vAlign w:val="bottom"/>
          </w:tcPr>
          <w:p>
            <w:pPr>
              <w:spacing w:after="0"/>
              <w:rPr>
                <w:sz w:val="15"/>
                <w:szCs w:val="15"/>
                <w:color w:val="auto"/>
              </w:rPr>
            </w:pPr>
          </w:p>
        </w:tc>
        <w:tc>
          <w:tcPr>
            <w:tcW w:w="88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ARTICLE 7</w:t>
            </w:r>
          </w:p>
        </w:tc>
        <w:tc>
          <w:tcPr>
            <w:tcW w:w="1240" w:type="dxa"/>
            <w:vAlign w:val="bottom"/>
          </w:tcPr>
          <w:p>
            <w:pPr>
              <w:spacing w:after="0"/>
              <w:rPr>
                <w:sz w:val="15"/>
                <w:szCs w:val="15"/>
                <w:color w:val="auto"/>
              </w:rPr>
            </w:pPr>
          </w:p>
        </w:tc>
      </w:tr>
      <w:tr>
        <w:trPr>
          <w:trHeight w:val="208"/>
        </w:trPr>
        <w:tc>
          <w:tcPr>
            <w:tcW w:w="1200" w:type="dxa"/>
            <w:vAlign w:val="bottom"/>
          </w:tcPr>
          <w:p>
            <w:pPr>
              <w:spacing w:after="0"/>
              <w:rPr>
                <w:sz w:val="18"/>
                <w:szCs w:val="18"/>
                <w:color w:val="auto"/>
              </w:rPr>
            </w:pPr>
          </w:p>
        </w:tc>
        <w:tc>
          <w:tcPr>
            <w:tcW w:w="8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w:t>
            </w:r>
            <w:r>
              <w:rPr>
                <w:rFonts w:ascii="Times New Roman" w:cs="Times New Roman" w:eastAsia="Times New Roman" w:hAnsi="Times New Roman"/>
                <w:sz w:val="10"/>
                <w:szCs w:val="10"/>
                <w:color w:val="auto"/>
              </w:rPr>
              <w:t>oncerning the</w:t>
            </w:r>
            <w:r>
              <w:rPr>
                <w:rFonts w:ascii="Times New Roman" w:cs="Times New Roman" w:eastAsia="Times New Roman" w:hAnsi="Times New Roman"/>
                <w:sz w:val="16"/>
                <w:szCs w:val="16"/>
                <w:color w:val="auto"/>
              </w:rPr>
              <w:t xml:space="preserve"> T</w:t>
            </w:r>
            <w:r>
              <w:rPr>
                <w:rFonts w:ascii="Times New Roman" w:cs="Times New Roman" w:eastAsia="Times New Roman" w:hAnsi="Times New Roman"/>
                <w:sz w:val="10"/>
                <w:szCs w:val="10"/>
                <w:color w:val="auto"/>
              </w:rPr>
              <w:t>rustee</w:t>
            </w:r>
          </w:p>
        </w:tc>
        <w:tc>
          <w:tcPr>
            <w:tcW w:w="1240" w:type="dxa"/>
            <w:vAlign w:val="bottom"/>
          </w:tcPr>
          <w:p>
            <w:pPr>
              <w:spacing w:after="0"/>
              <w:rPr>
                <w:sz w:val="18"/>
                <w:szCs w:val="18"/>
                <w:color w:val="auto"/>
              </w:rPr>
            </w:pP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7.01.</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Duties and Responsibilities of Trustee</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7.02.</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Reliance on Documents, Opinions, Etc</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46</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7.03.</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No Responsibility for Recitals, Etc</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47</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7.04.</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Trustee, Paying Agents, Conversion Agents or Note Registrar May Own Notes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47</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7.05.</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Monies and Shares of Common Stock to Be Held in Trust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47</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7.06.</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Compensation and Expenses of Trustee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7.07.</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Officer’s Certificate and Opinion of Counsel as Evidence</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7.08.</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Eligibility of Trustee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7.09.</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Resignation or Removal of Trustee</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49</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7.10.</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Acceptance by Successor Trustee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49</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7.11.</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Succession by Merger, Etc</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7.12.</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Trustee’s Application for Instructions from the Company</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r>
      <w:tr>
        <w:trPr>
          <w:trHeight w:val="175"/>
        </w:trPr>
        <w:tc>
          <w:tcPr>
            <w:tcW w:w="1200" w:type="dxa"/>
            <w:vAlign w:val="bottom"/>
            <w:shd w:val="clear" w:color="auto" w:fill="CCEEFF"/>
          </w:tcPr>
          <w:p>
            <w:pPr>
              <w:spacing w:after="0"/>
              <w:rPr>
                <w:sz w:val="15"/>
                <w:szCs w:val="15"/>
                <w:color w:val="auto"/>
              </w:rPr>
            </w:pPr>
          </w:p>
        </w:tc>
        <w:tc>
          <w:tcPr>
            <w:tcW w:w="88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ARTICLE 8</w:t>
            </w:r>
          </w:p>
        </w:tc>
        <w:tc>
          <w:tcPr>
            <w:tcW w:w="1240" w:type="dxa"/>
            <w:vAlign w:val="bottom"/>
            <w:shd w:val="clear" w:color="auto" w:fill="CCEEFF"/>
          </w:tcPr>
          <w:p>
            <w:pPr>
              <w:spacing w:after="0"/>
              <w:rPr>
                <w:sz w:val="15"/>
                <w:szCs w:val="15"/>
                <w:color w:val="auto"/>
              </w:rPr>
            </w:pPr>
          </w:p>
        </w:tc>
      </w:tr>
      <w:tr>
        <w:trPr>
          <w:trHeight w:val="208"/>
        </w:trPr>
        <w:tc>
          <w:tcPr>
            <w:tcW w:w="1200" w:type="dxa"/>
            <w:vAlign w:val="bottom"/>
            <w:shd w:val="clear" w:color="auto" w:fill="CCEEFF"/>
          </w:tcPr>
          <w:p>
            <w:pPr>
              <w:spacing w:after="0"/>
              <w:rPr>
                <w:sz w:val="18"/>
                <w:szCs w:val="18"/>
                <w:color w:val="auto"/>
              </w:rPr>
            </w:pPr>
          </w:p>
        </w:tc>
        <w:tc>
          <w:tcPr>
            <w:tcW w:w="8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w:t>
            </w:r>
            <w:r>
              <w:rPr>
                <w:rFonts w:ascii="Times New Roman" w:cs="Times New Roman" w:eastAsia="Times New Roman" w:hAnsi="Times New Roman"/>
                <w:sz w:val="10"/>
                <w:szCs w:val="10"/>
                <w:color w:val="auto"/>
              </w:rPr>
              <w:t>oncerning</w:t>
            </w:r>
            <w:r>
              <w:rPr>
                <w:rFonts w:ascii="Times New Roman" w:cs="Times New Roman" w:eastAsia="Times New Roman" w:hAnsi="Times New Roman"/>
                <w:sz w:val="16"/>
                <w:szCs w:val="16"/>
                <w:color w:val="auto"/>
              </w:rPr>
              <w:t xml:space="preserve"> T</w:t>
            </w:r>
            <w:r>
              <w:rPr>
                <w:rFonts w:ascii="Times New Roman" w:cs="Times New Roman" w:eastAsia="Times New Roman" w:hAnsi="Times New Roman"/>
                <w:sz w:val="10"/>
                <w:szCs w:val="10"/>
                <w:color w:val="auto"/>
              </w:rPr>
              <w:t>he</w:t>
            </w:r>
            <w:r>
              <w:rPr>
                <w:rFonts w:ascii="Times New Roman" w:cs="Times New Roman" w:eastAsia="Times New Roman" w:hAnsi="Times New Roman"/>
                <w:sz w:val="16"/>
                <w:szCs w:val="16"/>
                <w:color w:val="auto"/>
              </w:rPr>
              <w:t xml:space="preserve"> H</w:t>
            </w:r>
            <w:r>
              <w:rPr>
                <w:rFonts w:ascii="Times New Roman" w:cs="Times New Roman" w:eastAsia="Times New Roman" w:hAnsi="Times New Roman"/>
                <w:sz w:val="10"/>
                <w:szCs w:val="10"/>
                <w:color w:val="auto"/>
              </w:rPr>
              <w:t>olders</w:t>
            </w:r>
          </w:p>
        </w:tc>
        <w:tc>
          <w:tcPr>
            <w:tcW w:w="1240" w:type="dxa"/>
            <w:vAlign w:val="bottom"/>
            <w:shd w:val="clear" w:color="auto" w:fill="CCEEFF"/>
          </w:tcPr>
          <w:p>
            <w:pPr>
              <w:spacing w:after="0"/>
              <w:rPr>
                <w:sz w:val="18"/>
                <w:szCs w:val="18"/>
                <w:color w:val="auto"/>
              </w:rPr>
            </w:pP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8.01.</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Action by Holders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8.02.</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Proof of Execution by Holders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8.03.</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Who Are Deemed Absolute Owners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51</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8.04.</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Company-Owned Notes Disregarded</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51</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8.05.</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Revocation of Consents; Future Holders Bound</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51</w:t>
            </w:r>
          </w:p>
        </w:tc>
      </w:tr>
      <w:tr>
        <w:trPr>
          <w:trHeight w:val="175"/>
        </w:trPr>
        <w:tc>
          <w:tcPr>
            <w:tcW w:w="1200" w:type="dxa"/>
            <w:vAlign w:val="bottom"/>
            <w:shd w:val="clear" w:color="auto" w:fill="CCEEFF"/>
          </w:tcPr>
          <w:p>
            <w:pPr>
              <w:spacing w:after="0"/>
              <w:rPr>
                <w:sz w:val="15"/>
                <w:szCs w:val="15"/>
                <w:color w:val="auto"/>
              </w:rPr>
            </w:pPr>
          </w:p>
        </w:tc>
        <w:tc>
          <w:tcPr>
            <w:tcW w:w="88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ARTICLE 9</w:t>
            </w:r>
          </w:p>
        </w:tc>
        <w:tc>
          <w:tcPr>
            <w:tcW w:w="1240" w:type="dxa"/>
            <w:vAlign w:val="bottom"/>
            <w:shd w:val="clear" w:color="auto" w:fill="CCEEFF"/>
          </w:tcPr>
          <w:p>
            <w:pPr>
              <w:spacing w:after="0"/>
              <w:rPr>
                <w:sz w:val="15"/>
                <w:szCs w:val="15"/>
                <w:color w:val="auto"/>
              </w:rPr>
            </w:pPr>
          </w:p>
        </w:tc>
      </w:tr>
      <w:tr>
        <w:trPr>
          <w:trHeight w:val="208"/>
        </w:trPr>
        <w:tc>
          <w:tcPr>
            <w:tcW w:w="1200" w:type="dxa"/>
            <w:vAlign w:val="bottom"/>
            <w:shd w:val="clear" w:color="auto" w:fill="CCEEFF"/>
          </w:tcPr>
          <w:p>
            <w:pPr>
              <w:spacing w:after="0"/>
              <w:rPr>
                <w:sz w:val="18"/>
                <w:szCs w:val="18"/>
                <w:color w:val="auto"/>
              </w:rPr>
            </w:pPr>
          </w:p>
        </w:tc>
        <w:tc>
          <w:tcPr>
            <w:tcW w:w="8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H</w:t>
            </w:r>
            <w:r>
              <w:rPr>
                <w:rFonts w:ascii="Times New Roman" w:cs="Times New Roman" w:eastAsia="Times New Roman" w:hAnsi="Times New Roman"/>
                <w:sz w:val="10"/>
                <w:szCs w:val="10"/>
                <w:color w:val="auto"/>
              </w:rPr>
              <w:t>olders</w:t>
            </w:r>
            <w:r>
              <w:rPr>
                <w:rFonts w:ascii="Times New Roman" w:cs="Times New Roman" w:eastAsia="Times New Roman" w:hAnsi="Times New Roman"/>
                <w:sz w:val="16"/>
                <w:szCs w:val="16"/>
                <w:color w:val="auto"/>
              </w:rPr>
              <w:t>’ M</w:t>
            </w:r>
            <w:r>
              <w:rPr>
                <w:rFonts w:ascii="Times New Roman" w:cs="Times New Roman" w:eastAsia="Times New Roman" w:hAnsi="Times New Roman"/>
                <w:sz w:val="10"/>
                <w:szCs w:val="10"/>
                <w:color w:val="auto"/>
              </w:rPr>
              <w:t>eetings</w:t>
            </w:r>
          </w:p>
        </w:tc>
        <w:tc>
          <w:tcPr>
            <w:tcW w:w="1240" w:type="dxa"/>
            <w:vAlign w:val="bottom"/>
            <w:shd w:val="clear" w:color="auto" w:fill="CCEEFF"/>
          </w:tcPr>
          <w:p>
            <w:pPr>
              <w:spacing w:after="0"/>
              <w:rPr>
                <w:sz w:val="18"/>
                <w:szCs w:val="18"/>
                <w:color w:val="auto"/>
              </w:rPr>
            </w:pP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9.01.</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Purpose of Meetings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51</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9.02.</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Call of Meetings by Trustee</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52</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9.03.</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Call of Meetings by Company or Holders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52</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9.04.</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Qualifications for Voting</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52</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9.05.</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Regulations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52</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9.06.</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Voting</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53</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9.07.</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No Delay of Rights by Meeting</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53</w:t>
            </w:r>
          </w:p>
        </w:tc>
      </w:tr>
      <w:tr>
        <w:trPr>
          <w:trHeight w:val="175"/>
        </w:trPr>
        <w:tc>
          <w:tcPr>
            <w:tcW w:w="1200" w:type="dxa"/>
            <w:vAlign w:val="bottom"/>
            <w:shd w:val="clear" w:color="auto" w:fill="CCEEFF"/>
          </w:tcPr>
          <w:p>
            <w:pPr>
              <w:spacing w:after="0"/>
              <w:rPr>
                <w:sz w:val="15"/>
                <w:szCs w:val="15"/>
                <w:color w:val="auto"/>
              </w:rPr>
            </w:pPr>
          </w:p>
        </w:tc>
        <w:tc>
          <w:tcPr>
            <w:tcW w:w="88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8"/>
              </w:rPr>
              <w:t>ARTICLE 10</w:t>
            </w:r>
          </w:p>
        </w:tc>
        <w:tc>
          <w:tcPr>
            <w:tcW w:w="1240" w:type="dxa"/>
            <w:vAlign w:val="bottom"/>
            <w:shd w:val="clear" w:color="auto" w:fill="CCEEFF"/>
          </w:tcPr>
          <w:p>
            <w:pPr>
              <w:spacing w:after="0"/>
              <w:rPr>
                <w:sz w:val="15"/>
                <w:szCs w:val="15"/>
                <w:color w:val="auto"/>
              </w:rPr>
            </w:pPr>
          </w:p>
        </w:tc>
      </w:tr>
      <w:tr>
        <w:trPr>
          <w:trHeight w:val="208"/>
        </w:trPr>
        <w:tc>
          <w:tcPr>
            <w:tcW w:w="1200" w:type="dxa"/>
            <w:vAlign w:val="bottom"/>
            <w:shd w:val="clear" w:color="auto" w:fill="CCEEFF"/>
          </w:tcPr>
          <w:p>
            <w:pPr>
              <w:spacing w:after="0"/>
              <w:rPr>
                <w:sz w:val="18"/>
                <w:szCs w:val="18"/>
                <w:color w:val="auto"/>
              </w:rPr>
            </w:pPr>
          </w:p>
        </w:tc>
        <w:tc>
          <w:tcPr>
            <w:tcW w:w="8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0"/>
                <w:szCs w:val="10"/>
                <w:color w:val="auto"/>
              </w:rPr>
              <w:t>upplemental</w:t>
            </w:r>
            <w:r>
              <w:rPr>
                <w:rFonts w:ascii="Times New Roman" w:cs="Times New Roman" w:eastAsia="Times New Roman" w:hAnsi="Times New Roman"/>
                <w:sz w:val="16"/>
                <w:szCs w:val="16"/>
                <w:color w:val="auto"/>
              </w:rPr>
              <w:t xml:space="preserve"> I</w:t>
            </w:r>
            <w:r>
              <w:rPr>
                <w:rFonts w:ascii="Times New Roman" w:cs="Times New Roman" w:eastAsia="Times New Roman" w:hAnsi="Times New Roman"/>
                <w:sz w:val="10"/>
                <w:szCs w:val="10"/>
                <w:color w:val="auto"/>
              </w:rPr>
              <w:t>ndentures</w:t>
            </w:r>
          </w:p>
        </w:tc>
        <w:tc>
          <w:tcPr>
            <w:tcW w:w="1240" w:type="dxa"/>
            <w:vAlign w:val="bottom"/>
            <w:shd w:val="clear" w:color="auto" w:fill="CCEEFF"/>
          </w:tcPr>
          <w:p>
            <w:pPr>
              <w:spacing w:after="0"/>
              <w:rPr>
                <w:sz w:val="18"/>
                <w:szCs w:val="18"/>
                <w:color w:val="auto"/>
              </w:rPr>
            </w:pP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10.01.</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Supplemental Indentures Without Consent of Holders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53</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10.02.</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Supplemental Indentures with Consent of Holders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54</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10.03.</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Effect of Supplemental Indentures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55</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10.04.</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Notation on Notes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55</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10.05.</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Evidence of Compliance of Supplemental Indenture to Be Furnished Trustee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55</w:t>
            </w:r>
          </w:p>
        </w:tc>
      </w:tr>
      <w:tr>
        <w:trPr>
          <w:trHeight w:val="175"/>
        </w:trPr>
        <w:tc>
          <w:tcPr>
            <w:tcW w:w="1200" w:type="dxa"/>
            <w:vAlign w:val="bottom"/>
            <w:shd w:val="clear" w:color="auto" w:fill="CCEEFF"/>
          </w:tcPr>
          <w:p>
            <w:pPr>
              <w:spacing w:after="0"/>
              <w:rPr>
                <w:sz w:val="15"/>
                <w:szCs w:val="15"/>
                <w:color w:val="auto"/>
              </w:rPr>
            </w:pPr>
          </w:p>
        </w:tc>
        <w:tc>
          <w:tcPr>
            <w:tcW w:w="88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8"/>
              </w:rPr>
              <w:t>ARTICLE 11</w:t>
            </w:r>
          </w:p>
        </w:tc>
        <w:tc>
          <w:tcPr>
            <w:tcW w:w="1240" w:type="dxa"/>
            <w:vAlign w:val="bottom"/>
            <w:shd w:val="clear" w:color="auto" w:fill="CCEEFF"/>
          </w:tcPr>
          <w:p>
            <w:pPr>
              <w:spacing w:after="0"/>
              <w:rPr>
                <w:sz w:val="15"/>
                <w:szCs w:val="15"/>
                <w:color w:val="auto"/>
              </w:rPr>
            </w:pPr>
          </w:p>
        </w:tc>
      </w:tr>
      <w:tr>
        <w:trPr>
          <w:trHeight w:val="208"/>
        </w:trPr>
        <w:tc>
          <w:tcPr>
            <w:tcW w:w="1200" w:type="dxa"/>
            <w:vAlign w:val="bottom"/>
            <w:shd w:val="clear" w:color="auto" w:fill="CCEEFF"/>
          </w:tcPr>
          <w:p>
            <w:pPr>
              <w:spacing w:after="0"/>
              <w:rPr>
                <w:sz w:val="18"/>
                <w:szCs w:val="18"/>
                <w:color w:val="auto"/>
              </w:rPr>
            </w:pPr>
          </w:p>
        </w:tc>
        <w:tc>
          <w:tcPr>
            <w:tcW w:w="8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w:t>
            </w:r>
            <w:r>
              <w:rPr>
                <w:rFonts w:ascii="Times New Roman" w:cs="Times New Roman" w:eastAsia="Times New Roman" w:hAnsi="Times New Roman"/>
                <w:sz w:val="10"/>
                <w:szCs w:val="10"/>
                <w:color w:val="auto"/>
              </w:rPr>
              <w:t>onsolidation</w:t>
            </w:r>
            <w:r>
              <w:rPr>
                <w:rFonts w:ascii="Times New Roman" w:cs="Times New Roman" w:eastAsia="Times New Roman" w:hAnsi="Times New Roman"/>
                <w:sz w:val="16"/>
                <w:szCs w:val="16"/>
                <w:color w:val="auto"/>
              </w:rPr>
              <w:t>, M</w:t>
            </w:r>
            <w:r>
              <w:rPr>
                <w:rFonts w:ascii="Times New Roman" w:cs="Times New Roman" w:eastAsia="Times New Roman" w:hAnsi="Times New Roman"/>
                <w:sz w:val="10"/>
                <w:szCs w:val="10"/>
                <w:color w:val="auto"/>
              </w:rPr>
              <w:t>erger</w:t>
            </w:r>
            <w:r>
              <w:rPr>
                <w:rFonts w:ascii="Times New Roman" w:cs="Times New Roman" w:eastAsia="Times New Roman" w:hAnsi="Times New Roman"/>
                <w:sz w:val="16"/>
                <w:szCs w:val="16"/>
                <w:color w:val="auto"/>
              </w:rPr>
              <w:t>, S</w:t>
            </w:r>
            <w:r>
              <w:rPr>
                <w:rFonts w:ascii="Times New Roman" w:cs="Times New Roman" w:eastAsia="Times New Roman" w:hAnsi="Times New Roman"/>
                <w:sz w:val="10"/>
                <w:szCs w:val="10"/>
                <w:color w:val="auto"/>
              </w:rPr>
              <w:t>ale</w:t>
            </w:r>
            <w:r>
              <w:rPr>
                <w:rFonts w:ascii="Times New Roman" w:cs="Times New Roman" w:eastAsia="Times New Roman" w:hAnsi="Times New Roman"/>
                <w:sz w:val="16"/>
                <w:szCs w:val="16"/>
                <w:color w:val="auto"/>
              </w:rPr>
              <w:t>, C</w:t>
            </w:r>
            <w:r>
              <w:rPr>
                <w:rFonts w:ascii="Times New Roman" w:cs="Times New Roman" w:eastAsia="Times New Roman" w:hAnsi="Times New Roman"/>
                <w:sz w:val="10"/>
                <w:szCs w:val="10"/>
                <w:color w:val="auto"/>
              </w:rPr>
              <w:t>onveyance and</w:t>
            </w:r>
            <w:r>
              <w:rPr>
                <w:rFonts w:ascii="Times New Roman" w:cs="Times New Roman" w:eastAsia="Times New Roman" w:hAnsi="Times New Roman"/>
                <w:sz w:val="16"/>
                <w:szCs w:val="16"/>
                <w:color w:val="auto"/>
              </w:rPr>
              <w:t xml:space="preserve"> L</w:t>
            </w:r>
            <w:r>
              <w:rPr>
                <w:rFonts w:ascii="Times New Roman" w:cs="Times New Roman" w:eastAsia="Times New Roman" w:hAnsi="Times New Roman"/>
                <w:sz w:val="10"/>
                <w:szCs w:val="10"/>
                <w:color w:val="auto"/>
              </w:rPr>
              <w:t>ease</w:t>
            </w:r>
          </w:p>
        </w:tc>
        <w:tc>
          <w:tcPr>
            <w:tcW w:w="1240" w:type="dxa"/>
            <w:vAlign w:val="bottom"/>
            <w:shd w:val="clear" w:color="auto" w:fill="CCEEFF"/>
          </w:tcPr>
          <w:p>
            <w:pPr>
              <w:spacing w:after="0"/>
              <w:rPr>
                <w:sz w:val="18"/>
                <w:szCs w:val="18"/>
                <w:color w:val="auto"/>
              </w:rPr>
            </w:pP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11.01.</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Company May Consolidate, Etc. on Certain Terms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55</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11.02.</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Successor Corporation to Be Substituted</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r>
    </w:tbl>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50" w:right="31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4"/>
        </w:trPr>
        <w:tc>
          <w:tcPr>
            <w:tcW w:w="1200" w:type="dxa"/>
            <w:vAlign w:val="bottom"/>
            <w:tcBorders>
              <w:bottom w:val="single" w:sz="8" w:color="CCEEFF"/>
            </w:tcBorders>
          </w:tcPr>
          <w:p>
            <w:pPr>
              <w:spacing w:after="0"/>
              <w:rPr>
                <w:sz w:val="18"/>
                <w:szCs w:val="18"/>
                <w:color w:val="auto"/>
              </w:rPr>
            </w:pPr>
          </w:p>
        </w:tc>
        <w:tc>
          <w:tcPr>
            <w:tcW w:w="88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Page No</w:t>
            </w:r>
          </w:p>
        </w:tc>
      </w:tr>
      <w:tr>
        <w:trPr>
          <w:trHeight w:val="163"/>
        </w:trPr>
        <w:tc>
          <w:tcPr>
            <w:tcW w:w="1200" w:type="dxa"/>
            <w:vAlign w:val="bottom"/>
            <w:shd w:val="clear" w:color="auto" w:fill="CCEEFF"/>
          </w:tcPr>
          <w:p>
            <w:pPr>
              <w:spacing w:after="0"/>
              <w:rPr>
                <w:sz w:val="14"/>
                <w:szCs w:val="14"/>
                <w:color w:val="auto"/>
              </w:rPr>
            </w:pPr>
          </w:p>
        </w:tc>
        <w:tc>
          <w:tcPr>
            <w:tcW w:w="8820" w:type="dxa"/>
            <w:vAlign w:val="bottom"/>
            <w:shd w:val="clear" w:color="auto" w:fill="CCEEFF"/>
          </w:tcPr>
          <w:p>
            <w:pPr>
              <w:jc w:val="center"/>
              <w:spacing w:after="0" w:line="163" w:lineRule="exact"/>
              <w:rPr>
                <w:sz w:val="20"/>
                <w:szCs w:val="20"/>
                <w:color w:val="auto"/>
              </w:rPr>
            </w:pPr>
            <w:r>
              <w:rPr>
                <w:rFonts w:ascii="Times New Roman" w:cs="Times New Roman" w:eastAsia="Times New Roman" w:hAnsi="Times New Roman"/>
                <w:sz w:val="16"/>
                <w:szCs w:val="16"/>
                <w:color w:val="auto"/>
                <w:w w:val="98"/>
              </w:rPr>
              <w:t>ARTICLE 12</w:t>
            </w:r>
          </w:p>
        </w:tc>
        <w:tc>
          <w:tcPr>
            <w:tcW w:w="1240" w:type="dxa"/>
            <w:vAlign w:val="bottom"/>
            <w:shd w:val="clear" w:color="auto" w:fill="CCEEFF"/>
          </w:tcPr>
          <w:p>
            <w:pPr>
              <w:spacing w:after="0"/>
              <w:rPr>
                <w:sz w:val="14"/>
                <w:szCs w:val="14"/>
                <w:color w:val="auto"/>
              </w:rPr>
            </w:pPr>
          </w:p>
        </w:tc>
      </w:tr>
      <w:tr>
        <w:trPr>
          <w:trHeight w:val="208"/>
        </w:trPr>
        <w:tc>
          <w:tcPr>
            <w:tcW w:w="1200" w:type="dxa"/>
            <w:vAlign w:val="bottom"/>
            <w:shd w:val="clear" w:color="auto" w:fill="CCEEFF"/>
          </w:tcPr>
          <w:p>
            <w:pPr>
              <w:spacing w:after="0"/>
              <w:rPr>
                <w:sz w:val="18"/>
                <w:szCs w:val="18"/>
                <w:color w:val="auto"/>
              </w:rPr>
            </w:pPr>
          </w:p>
        </w:tc>
        <w:tc>
          <w:tcPr>
            <w:tcW w:w="8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w:t>
            </w:r>
            <w:r>
              <w:rPr>
                <w:rFonts w:ascii="Times New Roman" w:cs="Times New Roman" w:eastAsia="Times New Roman" w:hAnsi="Times New Roman"/>
                <w:sz w:val="10"/>
                <w:szCs w:val="10"/>
                <w:color w:val="auto"/>
              </w:rPr>
              <w:t>mmunity of</w:t>
            </w:r>
            <w:r>
              <w:rPr>
                <w:rFonts w:ascii="Times New Roman" w:cs="Times New Roman" w:eastAsia="Times New Roman" w:hAnsi="Times New Roman"/>
                <w:sz w:val="16"/>
                <w:szCs w:val="16"/>
                <w:color w:val="auto"/>
              </w:rPr>
              <w:t xml:space="preserve"> I</w:t>
            </w:r>
            <w:r>
              <w:rPr>
                <w:rFonts w:ascii="Times New Roman" w:cs="Times New Roman" w:eastAsia="Times New Roman" w:hAnsi="Times New Roman"/>
                <w:sz w:val="10"/>
                <w:szCs w:val="10"/>
                <w:color w:val="auto"/>
              </w:rPr>
              <w:t>ncorporators</w:t>
            </w:r>
            <w:r>
              <w:rPr>
                <w:rFonts w:ascii="Times New Roman" w:cs="Times New Roman" w:eastAsia="Times New Roman" w:hAnsi="Times New Roman"/>
                <w:sz w:val="16"/>
                <w:szCs w:val="16"/>
                <w:color w:val="auto"/>
              </w:rPr>
              <w:t>, S</w:t>
            </w:r>
            <w:r>
              <w:rPr>
                <w:rFonts w:ascii="Times New Roman" w:cs="Times New Roman" w:eastAsia="Times New Roman" w:hAnsi="Times New Roman"/>
                <w:sz w:val="10"/>
                <w:szCs w:val="10"/>
                <w:color w:val="auto"/>
              </w:rPr>
              <w:t>tockholders</w:t>
            </w:r>
            <w:r>
              <w:rPr>
                <w:rFonts w:ascii="Times New Roman" w:cs="Times New Roman" w:eastAsia="Times New Roman" w:hAnsi="Times New Roman"/>
                <w:sz w:val="16"/>
                <w:szCs w:val="16"/>
                <w:color w:val="auto"/>
              </w:rPr>
              <w:t>, O</w:t>
            </w:r>
            <w:r>
              <w:rPr>
                <w:rFonts w:ascii="Times New Roman" w:cs="Times New Roman" w:eastAsia="Times New Roman" w:hAnsi="Times New Roman"/>
                <w:sz w:val="10"/>
                <w:szCs w:val="10"/>
                <w:color w:val="auto"/>
              </w:rPr>
              <w:t>fficers and</w:t>
            </w:r>
            <w:r>
              <w:rPr>
                <w:rFonts w:ascii="Times New Roman" w:cs="Times New Roman" w:eastAsia="Times New Roman" w:hAnsi="Times New Roman"/>
                <w:sz w:val="16"/>
                <w:szCs w:val="16"/>
                <w:color w:val="auto"/>
              </w:rPr>
              <w:t xml:space="preserve"> D</w:t>
            </w:r>
            <w:r>
              <w:rPr>
                <w:rFonts w:ascii="Times New Roman" w:cs="Times New Roman" w:eastAsia="Times New Roman" w:hAnsi="Times New Roman"/>
                <w:sz w:val="10"/>
                <w:szCs w:val="10"/>
                <w:color w:val="auto"/>
              </w:rPr>
              <w:t>irectors</w:t>
            </w:r>
          </w:p>
        </w:tc>
        <w:tc>
          <w:tcPr>
            <w:tcW w:w="1240" w:type="dxa"/>
            <w:vAlign w:val="bottom"/>
            <w:shd w:val="clear" w:color="auto" w:fill="CCEEFF"/>
          </w:tcPr>
          <w:p>
            <w:pPr>
              <w:spacing w:after="0"/>
              <w:rPr>
                <w:sz w:val="18"/>
                <w:szCs w:val="18"/>
                <w:color w:val="auto"/>
              </w:rPr>
            </w:pP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12.01.</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Indenture and Notes Solely Corporate Obligations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r>
      <w:tr>
        <w:trPr>
          <w:trHeight w:val="175"/>
        </w:trPr>
        <w:tc>
          <w:tcPr>
            <w:tcW w:w="1200" w:type="dxa"/>
            <w:vAlign w:val="bottom"/>
            <w:shd w:val="clear" w:color="auto" w:fill="CCEEFF"/>
          </w:tcPr>
          <w:p>
            <w:pPr>
              <w:spacing w:after="0"/>
              <w:rPr>
                <w:sz w:val="15"/>
                <w:szCs w:val="15"/>
                <w:color w:val="auto"/>
              </w:rPr>
            </w:pPr>
          </w:p>
        </w:tc>
        <w:tc>
          <w:tcPr>
            <w:tcW w:w="88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8"/>
              </w:rPr>
              <w:t>ARTICLE 13</w:t>
            </w:r>
          </w:p>
        </w:tc>
        <w:tc>
          <w:tcPr>
            <w:tcW w:w="1240" w:type="dxa"/>
            <w:vAlign w:val="bottom"/>
            <w:shd w:val="clear" w:color="auto" w:fill="CCEEFF"/>
          </w:tcPr>
          <w:p>
            <w:pPr>
              <w:spacing w:after="0"/>
              <w:rPr>
                <w:sz w:val="15"/>
                <w:szCs w:val="15"/>
                <w:color w:val="auto"/>
              </w:rPr>
            </w:pPr>
          </w:p>
        </w:tc>
      </w:tr>
      <w:tr>
        <w:trPr>
          <w:trHeight w:val="208"/>
        </w:trPr>
        <w:tc>
          <w:tcPr>
            <w:tcW w:w="1200" w:type="dxa"/>
            <w:vAlign w:val="bottom"/>
            <w:shd w:val="clear" w:color="auto" w:fill="CCEEFF"/>
          </w:tcPr>
          <w:p>
            <w:pPr>
              <w:spacing w:after="0"/>
              <w:rPr>
                <w:sz w:val="18"/>
                <w:szCs w:val="18"/>
                <w:color w:val="auto"/>
              </w:rPr>
            </w:pPr>
          </w:p>
        </w:tc>
        <w:tc>
          <w:tcPr>
            <w:tcW w:w="8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[R</w:t>
            </w:r>
            <w:r>
              <w:rPr>
                <w:rFonts w:ascii="Times New Roman" w:cs="Times New Roman" w:eastAsia="Times New Roman" w:hAnsi="Times New Roman"/>
                <w:sz w:val="10"/>
                <w:szCs w:val="10"/>
                <w:color w:val="auto"/>
              </w:rPr>
              <w:t>eserved</w:t>
            </w:r>
            <w:r>
              <w:rPr>
                <w:rFonts w:ascii="Times New Roman" w:cs="Times New Roman" w:eastAsia="Times New Roman" w:hAnsi="Times New Roman"/>
                <w:sz w:val="16"/>
                <w:szCs w:val="16"/>
                <w:color w:val="auto"/>
              </w:rPr>
              <w:t>]</w:t>
            </w:r>
          </w:p>
        </w:tc>
        <w:tc>
          <w:tcPr>
            <w:tcW w:w="1240" w:type="dxa"/>
            <w:vAlign w:val="bottom"/>
            <w:shd w:val="clear" w:color="auto" w:fill="CCEEFF"/>
          </w:tcPr>
          <w:p>
            <w:pPr>
              <w:spacing w:after="0"/>
              <w:rPr>
                <w:sz w:val="18"/>
                <w:szCs w:val="18"/>
                <w:color w:val="auto"/>
              </w:rPr>
            </w:pPr>
          </w:p>
        </w:tc>
      </w:tr>
      <w:tr>
        <w:trPr>
          <w:trHeight w:val="175"/>
        </w:trPr>
        <w:tc>
          <w:tcPr>
            <w:tcW w:w="1200" w:type="dxa"/>
            <w:vAlign w:val="bottom"/>
          </w:tcPr>
          <w:p>
            <w:pPr>
              <w:spacing w:after="0"/>
              <w:rPr>
                <w:sz w:val="15"/>
                <w:szCs w:val="15"/>
                <w:color w:val="auto"/>
              </w:rPr>
            </w:pPr>
          </w:p>
        </w:tc>
        <w:tc>
          <w:tcPr>
            <w:tcW w:w="88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8"/>
              </w:rPr>
              <w:t>ARTICLE 14</w:t>
            </w:r>
          </w:p>
        </w:tc>
        <w:tc>
          <w:tcPr>
            <w:tcW w:w="1240" w:type="dxa"/>
            <w:vAlign w:val="bottom"/>
          </w:tcPr>
          <w:p>
            <w:pPr>
              <w:spacing w:after="0"/>
              <w:rPr>
                <w:sz w:val="15"/>
                <w:szCs w:val="15"/>
                <w:color w:val="auto"/>
              </w:rPr>
            </w:pPr>
          </w:p>
        </w:tc>
      </w:tr>
      <w:tr>
        <w:trPr>
          <w:trHeight w:val="208"/>
        </w:trPr>
        <w:tc>
          <w:tcPr>
            <w:tcW w:w="1200" w:type="dxa"/>
            <w:vAlign w:val="bottom"/>
          </w:tcPr>
          <w:p>
            <w:pPr>
              <w:spacing w:after="0"/>
              <w:rPr>
                <w:sz w:val="18"/>
                <w:szCs w:val="18"/>
                <w:color w:val="auto"/>
              </w:rPr>
            </w:pPr>
          </w:p>
        </w:tc>
        <w:tc>
          <w:tcPr>
            <w:tcW w:w="8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w:t>
            </w:r>
            <w:r>
              <w:rPr>
                <w:rFonts w:ascii="Times New Roman" w:cs="Times New Roman" w:eastAsia="Times New Roman" w:hAnsi="Times New Roman"/>
                <w:sz w:val="10"/>
                <w:szCs w:val="10"/>
                <w:color w:val="auto"/>
              </w:rPr>
              <w:t>onversion of</w:t>
            </w:r>
            <w:r>
              <w:rPr>
                <w:rFonts w:ascii="Times New Roman" w:cs="Times New Roman" w:eastAsia="Times New Roman" w:hAnsi="Times New Roman"/>
                <w:sz w:val="16"/>
                <w:szCs w:val="16"/>
                <w:color w:val="auto"/>
              </w:rPr>
              <w:t xml:space="preserve"> N</w:t>
            </w:r>
            <w:r>
              <w:rPr>
                <w:rFonts w:ascii="Times New Roman" w:cs="Times New Roman" w:eastAsia="Times New Roman" w:hAnsi="Times New Roman"/>
                <w:sz w:val="10"/>
                <w:szCs w:val="10"/>
                <w:color w:val="auto"/>
              </w:rPr>
              <w:t>otes</w:t>
            </w:r>
          </w:p>
        </w:tc>
        <w:tc>
          <w:tcPr>
            <w:tcW w:w="1240" w:type="dxa"/>
            <w:vAlign w:val="bottom"/>
          </w:tcPr>
          <w:p>
            <w:pPr>
              <w:spacing w:after="0"/>
              <w:rPr>
                <w:sz w:val="18"/>
                <w:szCs w:val="18"/>
                <w:color w:val="auto"/>
              </w:rPr>
            </w:pP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14.01.</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Conversion Privilege</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14.02.</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Conversion Procedure; Settlement Upon Conversion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57</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14.03.</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Company’s Mandatory Conversion Option</w:t>
            </w:r>
            <w:r>
              <w:rPr>
                <w:rFonts w:ascii="Times New Roman" w:cs="Times New Roman" w:eastAsia="Times New Roman" w:hAnsi="Times New Roman"/>
                <w:sz w:val="16"/>
                <w:szCs w:val="16"/>
                <w:color w:val="auto"/>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60</w:t>
            </w:r>
          </w:p>
        </w:tc>
      </w:tr>
      <w:tr>
        <w:trPr>
          <w:trHeight w:val="173"/>
        </w:trPr>
        <w:tc>
          <w:tcPr>
            <w:tcW w:w="120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Section 14.04.</w:t>
            </w:r>
          </w:p>
        </w:tc>
        <w:tc>
          <w:tcPr>
            <w:tcW w:w="8820" w:type="dxa"/>
            <w:vAlign w:val="bottom"/>
          </w:tcPr>
          <w:p>
            <w:pPr>
              <w:ind w:left="280"/>
              <w:spacing w:after="0" w:line="173" w:lineRule="exact"/>
              <w:rPr>
                <w:sz w:val="20"/>
                <w:szCs w:val="20"/>
                <w:color w:val="auto"/>
              </w:rPr>
            </w:pPr>
            <w:r>
              <w:rPr>
                <w:rFonts w:ascii="Times New Roman" w:cs="Times New Roman" w:eastAsia="Times New Roman" w:hAnsi="Times New Roman"/>
                <w:sz w:val="16"/>
                <w:szCs w:val="16"/>
                <w:i w:val="1"/>
                <w:iCs w:val="1"/>
                <w:color w:val="auto"/>
              </w:rPr>
              <w:t>Increased Conversion Rate Applicable to Certain Notes Surrendered in Connection with Make-Whole Fundamental Changes or</w:t>
            </w:r>
          </w:p>
        </w:tc>
        <w:tc>
          <w:tcPr>
            <w:tcW w:w="1240" w:type="dxa"/>
            <w:vAlign w:val="bottom"/>
          </w:tcPr>
          <w:p>
            <w:pPr>
              <w:spacing w:after="0"/>
              <w:rPr>
                <w:sz w:val="15"/>
                <w:szCs w:val="15"/>
                <w:color w:val="auto"/>
              </w:rPr>
            </w:pPr>
          </w:p>
        </w:tc>
      </w:tr>
      <w:tr>
        <w:trPr>
          <w:trHeight w:val="210"/>
        </w:trPr>
        <w:tc>
          <w:tcPr>
            <w:tcW w:w="1200" w:type="dxa"/>
            <w:vAlign w:val="bottom"/>
          </w:tcPr>
          <w:p>
            <w:pPr>
              <w:spacing w:after="0"/>
              <w:rPr>
                <w:sz w:val="18"/>
                <w:szCs w:val="18"/>
                <w:color w:val="auto"/>
              </w:rPr>
            </w:pP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during a Redemption Period</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61</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14.05.</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Adjustment of Conversion Rate</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63</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14.06.</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Adjustments of Prices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70</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14.07.</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Shares to Be Fully Paid</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70</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14.08.</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Effect of Recapitalizations, Reclassifications and Changes of the Common Stock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70</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14.09.</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Certain Covenants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71</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14.10.</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Responsibility of Trustee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72</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14.11.</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Notice to Holders Prior to Certain Actions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72</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14.12.</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Stockholder Rights Plans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72</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14.13.</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Exchange in Lieu of Conversion</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73</w:t>
            </w:r>
          </w:p>
        </w:tc>
      </w:tr>
      <w:tr>
        <w:trPr>
          <w:trHeight w:val="175"/>
        </w:trPr>
        <w:tc>
          <w:tcPr>
            <w:tcW w:w="1200" w:type="dxa"/>
            <w:vAlign w:val="bottom"/>
          </w:tcPr>
          <w:p>
            <w:pPr>
              <w:spacing w:after="0"/>
              <w:rPr>
                <w:sz w:val="15"/>
                <w:szCs w:val="15"/>
                <w:color w:val="auto"/>
              </w:rPr>
            </w:pPr>
          </w:p>
        </w:tc>
        <w:tc>
          <w:tcPr>
            <w:tcW w:w="88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8"/>
              </w:rPr>
              <w:t>ARTICLE 15</w:t>
            </w:r>
          </w:p>
        </w:tc>
        <w:tc>
          <w:tcPr>
            <w:tcW w:w="1240" w:type="dxa"/>
            <w:vAlign w:val="bottom"/>
          </w:tcPr>
          <w:p>
            <w:pPr>
              <w:spacing w:after="0"/>
              <w:rPr>
                <w:sz w:val="15"/>
                <w:szCs w:val="15"/>
                <w:color w:val="auto"/>
              </w:rPr>
            </w:pPr>
          </w:p>
        </w:tc>
      </w:tr>
      <w:tr>
        <w:trPr>
          <w:trHeight w:val="208"/>
        </w:trPr>
        <w:tc>
          <w:tcPr>
            <w:tcW w:w="1200" w:type="dxa"/>
            <w:vAlign w:val="bottom"/>
          </w:tcPr>
          <w:p>
            <w:pPr>
              <w:spacing w:after="0"/>
              <w:rPr>
                <w:sz w:val="18"/>
                <w:szCs w:val="18"/>
                <w:color w:val="auto"/>
              </w:rPr>
            </w:pPr>
          </w:p>
        </w:tc>
        <w:tc>
          <w:tcPr>
            <w:tcW w:w="8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w:t>
            </w:r>
            <w:r>
              <w:rPr>
                <w:rFonts w:ascii="Times New Roman" w:cs="Times New Roman" w:eastAsia="Times New Roman" w:hAnsi="Times New Roman"/>
                <w:sz w:val="10"/>
                <w:szCs w:val="10"/>
                <w:color w:val="auto"/>
              </w:rPr>
              <w:t>epurchase of</w:t>
            </w:r>
            <w:r>
              <w:rPr>
                <w:rFonts w:ascii="Times New Roman" w:cs="Times New Roman" w:eastAsia="Times New Roman" w:hAnsi="Times New Roman"/>
                <w:sz w:val="16"/>
                <w:szCs w:val="16"/>
                <w:color w:val="auto"/>
              </w:rPr>
              <w:t xml:space="preserve"> N</w:t>
            </w:r>
            <w:r>
              <w:rPr>
                <w:rFonts w:ascii="Times New Roman" w:cs="Times New Roman" w:eastAsia="Times New Roman" w:hAnsi="Times New Roman"/>
                <w:sz w:val="10"/>
                <w:szCs w:val="10"/>
                <w:color w:val="auto"/>
              </w:rPr>
              <w:t>otes at</w:t>
            </w:r>
            <w:r>
              <w:rPr>
                <w:rFonts w:ascii="Times New Roman" w:cs="Times New Roman" w:eastAsia="Times New Roman" w:hAnsi="Times New Roman"/>
                <w:sz w:val="16"/>
                <w:szCs w:val="16"/>
                <w:color w:val="auto"/>
              </w:rPr>
              <w:t xml:space="preserve"> O</w:t>
            </w:r>
            <w:r>
              <w:rPr>
                <w:rFonts w:ascii="Times New Roman" w:cs="Times New Roman" w:eastAsia="Times New Roman" w:hAnsi="Times New Roman"/>
                <w:sz w:val="10"/>
                <w:szCs w:val="10"/>
                <w:color w:val="auto"/>
              </w:rPr>
              <w:t>ption of</w:t>
            </w:r>
            <w:r>
              <w:rPr>
                <w:rFonts w:ascii="Times New Roman" w:cs="Times New Roman" w:eastAsia="Times New Roman" w:hAnsi="Times New Roman"/>
                <w:sz w:val="16"/>
                <w:szCs w:val="16"/>
                <w:color w:val="auto"/>
              </w:rPr>
              <w:t xml:space="preserve"> H</w:t>
            </w:r>
            <w:r>
              <w:rPr>
                <w:rFonts w:ascii="Times New Roman" w:cs="Times New Roman" w:eastAsia="Times New Roman" w:hAnsi="Times New Roman"/>
                <w:sz w:val="10"/>
                <w:szCs w:val="10"/>
                <w:color w:val="auto"/>
              </w:rPr>
              <w:t>olders</w:t>
            </w:r>
          </w:p>
        </w:tc>
        <w:tc>
          <w:tcPr>
            <w:tcW w:w="1240" w:type="dxa"/>
            <w:vAlign w:val="bottom"/>
          </w:tcPr>
          <w:p>
            <w:pPr>
              <w:spacing w:after="0"/>
              <w:rPr>
                <w:sz w:val="18"/>
                <w:szCs w:val="18"/>
                <w:color w:val="auto"/>
              </w:rPr>
            </w:pP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15.01.</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[Intentionally Omitted]</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73</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15.02.</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Repurchase at Option of Holders Upon a Fundamental Change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73</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15.03.</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Withdrawal of Fundamental Change Repurchase Notice</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75</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15.04.</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Deposit of Fundamental Change Repurchase Price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75</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15.05.</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Covenant to Comply with Applicable Laws Upon Repurchase of Notes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76</w:t>
            </w:r>
          </w:p>
        </w:tc>
      </w:tr>
      <w:tr>
        <w:trPr>
          <w:trHeight w:val="175"/>
        </w:trPr>
        <w:tc>
          <w:tcPr>
            <w:tcW w:w="1200" w:type="dxa"/>
            <w:vAlign w:val="bottom"/>
          </w:tcPr>
          <w:p>
            <w:pPr>
              <w:spacing w:after="0"/>
              <w:rPr>
                <w:sz w:val="15"/>
                <w:szCs w:val="15"/>
                <w:color w:val="auto"/>
              </w:rPr>
            </w:pPr>
          </w:p>
        </w:tc>
        <w:tc>
          <w:tcPr>
            <w:tcW w:w="88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8"/>
              </w:rPr>
              <w:t>ARTICLE 16</w:t>
            </w:r>
          </w:p>
        </w:tc>
        <w:tc>
          <w:tcPr>
            <w:tcW w:w="1240" w:type="dxa"/>
            <w:vAlign w:val="bottom"/>
          </w:tcPr>
          <w:p>
            <w:pPr>
              <w:spacing w:after="0"/>
              <w:rPr>
                <w:sz w:val="15"/>
                <w:szCs w:val="15"/>
                <w:color w:val="auto"/>
              </w:rPr>
            </w:pPr>
          </w:p>
        </w:tc>
      </w:tr>
      <w:tr>
        <w:trPr>
          <w:trHeight w:val="208"/>
        </w:trPr>
        <w:tc>
          <w:tcPr>
            <w:tcW w:w="1200" w:type="dxa"/>
            <w:vAlign w:val="bottom"/>
          </w:tcPr>
          <w:p>
            <w:pPr>
              <w:spacing w:after="0"/>
              <w:rPr>
                <w:sz w:val="18"/>
                <w:szCs w:val="18"/>
                <w:color w:val="auto"/>
              </w:rPr>
            </w:pPr>
          </w:p>
        </w:tc>
        <w:tc>
          <w:tcPr>
            <w:tcW w:w="8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w:t>
            </w:r>
            <w:r>
              <w:rPr>
                <w:rFonts w:ascii="Times New Roman" w:cs="Times New Roman" w:eastAsia="Times New Roman" w:hAnsi="Times New Roman"/>
                <w:sz w:val="10"/>
                <w:szCs w:val="10"/>
                <w:color w:val="auto"/>
              </w:rPr>
              <w:t>ptional</w:t>
            </w:r>
            <w:r>
              <w:rPr>
                <w:rFonts w:ascii="Times New Roman" w:cs="Times New Roman" w:eastAsia="Times New Roman" w:hAnsi="Times New Roman"/>
                <w:sz w:val="16"/>
                <w:szCs w:val="16"/>
                <w:color w:val="auto"/>
              </w:rPr>
              <w:t xml:space="preserve"> R</w:t>
            </w:r>
            <w:r>
              <w:rPr>
                <w:rFonts w:ascii="Times New Roman" w:cs="Times New Roman" w:eastAsia="Times New Roman" w:hAnsi="Times New Roman"/>
                <w:sz w:val="10"/>
                <w:szCs w:val="10"/>
                <w:color w:val="auto"/>
              </w:rPr>
              <w:t>edemption</w:t>
            </w:r>
          </w:p>
        </w:tc>
        <w:tc>
          <w:tcPr>
            <w:tcW w:w="1240" w:type="dxa"/>
            <w:vAlign w:val="bottom"/>
          </w:tcPr>
          <w:p>
            <w:pPr>
              <w:spacing w:after="0"/>
              <w:rPr>
                <w:sz w:val="18"/>
                <w:szCs w:val="18"/>
                <w:color w:val="auto"/>
              </w:rPr>
            </w:pP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16.01.</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Optional Redemption</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76</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16.02.</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Notice of Optional Redemption; Selection of Notes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76</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16.03.</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Payment of Notes Called for Redemption</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78</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16.04.</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Restrictions on Redemption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78</w:t>
            </w:r>
          </w:p>
        </w:tc>
      </w:tr>
      <w:tr>
        <w:trPr>
          <w:trHeight w:val="175"/>
        </w:trPr>
        <w:tc>
          <w:tcPr>
            <w:tcW w:w="1200" w:type="dxa"/>
            <w:vAlign w:val="bottom"/>
            <w:shd w:val="clear" w:color="auto" w:fill="CCEEFF"/>
          </w:tcPr>
          <w:p>
            <w:pPr>
              <w:spacing w:after="0"/>
              <w:rPr>
                <w:sz w:val="15"/>
                <w:szCs w:val="15"/>
                <w:color w:val="auto"/>
              </w:rPr>
            </w:pPr>
          </w:p>
        </w:tc>
        <w:tc>
          <w:tcPr>
            <w:tcW w:w="88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8"/>
              </w:rPr>
              <w:t>ARTICLE 17</w:t>
            </w:r>
          </w:p>
        </w:tc>
        <w:tc>
          <w:tcPr>
            <w:tcW w:w="1240" w:type="dxa"/>
            <w:vAlign w:val="bottom"/>
            <w:shd w:val="clear" w:color="auto" w:fill="CCEEFF"/>
          </w:tcPr>
          <w:p>
            <w:pPr>
              <w:spacing w:after="0"/>
              <w:rPr>
                <w:sz w:val="15"/>
                <w:szCs w:val="15"/>
                <w:color w:val="auto"/>
              </w:rPr>
            </w:pPr>
          </w:p>
        </w:tc>
      </w:tr>
      <w:tr>
        <w:trPr>
          <w:trHeight w:val="208"/>
        </w:trPr>
        <w:tc>
          <w:tcPr>
            <w:tcW w:w="1200" w:type="dxa"/>
            <w:vAlign w:val="bottom"/>
            <w:shd w:val="clear" w:color="auto" w:fill="CCEEFF"/>
          </w:tcPr>
          <w:p>
            <w:pPr>
              <w:spacing w:after="0"/>
              <w:rPr>
                <w:sz w:val="18"/>
                <w:szCs w:val="18"/>
                <w:color w:val="auto"/>
              </w:rPr>
            </w:pPr>
          </w:p>
        </w:tc>
        <w:tc>
          <w:tcPr>
            <w:tcW w:w="8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G</w:t>
            </w:r>
            <w:r>
              <w:rPr>
                <w:rFonts w:ascii="Times New Roman" w:cs="Times New Roman" w:eastAsia="Times New Roman" w:hAnsi="Times New Roman"/>
                <w:sz w:val="10"/>
                <w:szCs w:val="10"/>
                <w:color w:val="auto"/>
              </w:rPr>
              <w:t>uarantee</w:t>
            </w:r>
          </w:p>
        </w:tc>
        <w:tc>
          <w:tcPr>
            <w:tcW w:w="1240" w:type="dxa"/>
            <w:vAlign w:val="bottom"/>
            <w:shd w:val="clear" w:color="auto" w:fill="CCEEFF"/>
          </w:tcPr>
          <w:p>
            <w:pPr>
              <w:spacing w:after="0"/>
              <w:rPr>
                <w:sz w:val="18"/>
                <w:szCs w:val="18"/>
                <w:color w:val="auto"/>
              </w:rPr>
            </w:pP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17.01.</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Guarantee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78</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17.02.</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Limitation on Guarantor Liability</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79</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17.03.</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Release of Guarantees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79</w:t>
            </w:r>
          </w:p>
        </w:tc>
      </w:tr>
      <w:tr>
        <w:trPr>
          <w:trHeight w:val="175"/>
        </w:trPr>
        <w:tc>
          <w:tcPr>
            <w:tcW w:w="1200" w:type="dxa"/>
            <w:vAlign w:val="bottom"/>
            <w:shd w:val="clear" w:color="auto" w:fill="CCEEFF"/>
          </w:tcPr>
          <w:p>
            <w:pPr>
              <w:spacing w:after="0"/>
              <w:rPr>
                <w:sz w:val="15"/>
                <w:szCs w:val="15"/>
                <w:color w:val="auto"/>
              </w:rPr>
            </w:pPr>
          </w:p>
        </w:tc>
        <w:tc>
          <w:tcPr>
            <w:tcW w:w="88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8"/>
              </w:rPr>
              <w:t>ARTICLE 18</w:t>
            </w:r>
          </w:p>
        </w:tc>
        <w:tc>
          <w:tcPr>
            <w:tcW w:w="1240" w:type="dxa"/>
            <w:vAlign w:val="bottom"/>
            <w:shd w:val="clear" w:color="auto" w:fill="CCEEFF"/>
          </w:tcPr>
          <w:p>
            <w:pPr>
              <w:spacing w:after="0"/>
              <w:rPr>
                <w:sz w:val="15"/>
                <w:szCs w:val="15"/>
                <w:color w:val="auto"/>
              </w:rPr>
            </w:pPr>
          </w:p>
        </w:tc>
      </w:tr>
      <w:tr>
        <w:trPr>
          <w:trHeight w:val="208"/>
        </w:trPr>
        <w:tc>
          <w:tcPr>
            <w:tcW w:w="1200" w:type="dxa"/>
            <w:vAlign w:val="bottom"/>
            <w:shd w:val="clear" w:color="auto" w:fill="CCEEFF"/>
          </w:tcPr>
          <w:p>
            <w:pPr>
              <w:spacing w:after="0"/>
              <w:rPr>
                <w:sz w:val="18"/>
                <w:szCs w:val="18"/>
                <w:color w:val="auto"/>
              </w:rPr>
            </w:pPr>
          </w:p>
        </w:tc>
        <w:tc>
          <w:tcPr>
            <w:tcW w:w="8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w:t>
            </w:r>
            <w:r>
              <w:rPr>
                <w:rFonts w:ascii="Times New Roman" w:cs="Times New Roman" w:eastAsia="Times New Roman" w:hAnsi="Times New Roman"/>
                <w:sz w:val="10"/>
                <w:szCs w:val="10"/>
                <w:color w:val="auto"/>
              </w:rPr>
              <w:t>iscellaneous</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0"/>
                <w:szCs w:val="10"/>
                <w:color w:val="auto"/>
              </w:rPr>
              <w:t>rovisions</w:t>
            </w:r>
          </w:p>
        </w:tc>
        <w:tc>
          <w:tcPr>
            <w:tcW w:w="1240" w:type="dxa"/>
            <w:vAlign w:val="bottom"/>
            <w:shd w:val="clear" w:color="auto" w:fill="CCEEFF"/>
          </w:tcPr>
          <w:p>
            <w:pPr>
              <w:spacing w:after="0"/>
              <w:rPr>
                <w:sz w:val="18"/>
                <w:szCs w:val="18"/>
                <w:color w:val="auto"/>
              </w:rPr>
            </w:pP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18.01.</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Provisions Binding on Company’s Successors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79</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18.02.</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Official Acts by Successor Corporation</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79</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18.03.</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Addresses for Notices, Etc</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80</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18.04.</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Governing Law; Jurisdiction</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80</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18.05.</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Evidence of Compliance with Conditions Precedent; Certificates and Opinions of Counsel to Trustee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80</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18.06.</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Legal Holidays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81</w:t>
            </w:r>
          </w:p>
        </w:tc>
      </w:tr>
    </w:tbl>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6" w:right="3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4"/>
        </w:trPr>
        <w:tc>
          <w:tcPr>
            <w:tcW w:w="1200" w:type="dxa"/>
            <w:vAlign w:val="bottom"/>
            <w:tcBorders>
              <w:bottom w:val="single" w:sz="8" w:color="CCEEFF"/>
            </w:tcBorders>
          </w:tcPr>
          <w:p>
            <w:pPr>
              <w:spacing w:after="0"/>
              <w:rPr>
                <w:sz w:val="18"/>
                <w:szCs w:val="18"/>
                <w:color w:val="auto"/>
              </w:rPr>
            </w:pPr>
          </w:p>
        </w:tc>
        <w:tc>
          <w:tcPr>
            <w:tcW w:w="88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Page No</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18.07.</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No Security Interest Created</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81</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18.08.</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Benefits of Indenture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81</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18.09.</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Table of Contents, Headings, Etc</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81</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18.10.</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Authenticating Agent</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81</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18.11.</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Execution in Counterparts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82</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18.12.</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Severability</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82</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18.13.</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Waiver of Jury Trial</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82</w:t>
            </w:r>
          </w:p>
        </w:tc>
      </w:tr>
      <w:tr>
        <w:trPr>
          <w:trHeight w:val="19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18.14.</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Force Majeure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82</w:t>
            </w:r>
          </w:p>
        </w:tc>
      </w:tr>
      <w:tr>
        <w:trPr>
          <w:trHeight w:val="19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18.15.</w:t>
            </w: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Calculations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83</w:t>
            </w:r>
          </w:p>
        </w:tc>
      </w:tr>
      <w:tr>
        <w:trPr>
          <w:trHeight w:val="210"/>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Section 18.16.</w:t>
            </w:r>
          </w:p>
        </w:tc>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USA PATRIOT Act</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83</w:t>
            </w:r>
          </w:p>
        </w:tc>
      </w:tr>
    </w:tbl>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680" w:type="dxa"/>
            <w:vAlign w:val="bottom"/>
          </w:tcPr>
          <w:p>
            <w:pPr>
              <w:jc w:val="center"/>
              <w:ind w:right="3520"/>
              <w:spacing w:after="0"/>
              <w:rPr>
                <w:sz w:val="20"/>
                <w:szCs w:val="20"/>
                <w:color w:val="auto"/>
              </w:rPr>
            </w:pPr>
            <w:r>
              <w:rPr>
                <w:rFonts w:ascii="Times New Roman" w:cs="Times New Roman" w:eastAsia="Times New Roman" w:hAnsi="Times New Roman"/>
                <w:sz w:val="16"/>
                <w:szCs w:val="16"/>
                <w:b w:val="1"/>
                <w:bCs w:val="1"/>
                <w:color w:val="auto"/>
                <w:w w:val="99"/>
              </w:rPr>
              <w:t>EXHIBIT</w:t>
            </w:r>
          </w:p>
        </w:tc>
      </w:tr>
      <w:tr>
        <w:trPr>
          <w:trHeight w:val="191"/>
        </w:trPr>
        <w:tc>
          <w:tcPr>
            <w:tcW w:w="8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7680" w:type="dxa"/>
            <w:vAlign w:val="bottom"/>
          </w:tcPr>
          <w:p>
            <w:pPr>
              <w:spacing w:after="0"/>
              <w:rPr>
                <w:sz w:val="16"/>
                <w:szCs w:val="16"/>
                <w:color w:val="auto"/>
              </w:rPr>
            </w:pPr>
          </w:p>
        </w:tc>
      </w:tr>
      <w:tr>
        <w:trPr>
          <w:trHeight w:val="191"/>
        </w:trPr>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Exhibit A</w:t>
            </w:r>
          </w:p>
        </w:tc>
        <w:tc>
          <w:tcPr>
            <w:tcW w:w="2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Form of Note</w:t>
            </w:r>
          </w:p>
        </w:tc>
        <w:tc>
          <w:tcPr>
            <w:tcW w:w="768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85</w:t>
            </w:r>
          </w:p>
        </w:tc>
      </w:tr>
      <w:tr>
        <w:trPr>
          <w:trHeight w:val="577"/>
        </w:trPr>
        <w:tc>
          <w:tcPr>
            <w:tcW w:w="8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jc w:val="center"/>
              <w:ind w:right="3520"/>
              <w:spacing w:after="0"/>
              <w:rPr>
                <w:sz w:val="20"/>
                <w:szCs w:val="20"/>
                <w:color w:val="auto"/>
              </w:rPr>
            </w:pPr>
            <w:r>
              <w:rPr>
                <w:rFonts w:ascii="Times New Roman" w:cs="Times New Roman" w:eastAsia="Times New Roman" w:hAnsi="Times New Roman"/>
                <w:sz w:val="16"/>
                <w:szCs w:val="16"/>
                <w:color w:val="auto"/>
                <w:w w:val="95"/>
              </w:rPr>
              <w:t>iv</w:t>
            </w:r>
          </w:p>
        </w:tc>
      </w:tr>
    </w:tbl>
    <w:p>
      <w:pPr>
        <w:sectPr>
          <w:pgSz w:w="11900" w:h="16838" w:orient="portrait"/>
          <w:cols w:equalWidth="0" w:num="1">
            <w:col w:w="11260"/>
          </w:cols>
          <w:pgMar w:left="320" w:top="826" w:right="319" w:bottom="1440" w:gutter="0" w:footer="0" w:header="0"/>
        </w:sectPr>
      </w:pPr>
    </w:p>
    <w:bookmarkStart w:id="20" w:name="page21"/>
    <w:bookmarkEnd w:id="20"/>
    <w:p>
      <w:pPr>
        <w:jc w:val="both"/>
        <w:ind w:right="20" w:firstLine="382"/>
        <w:spacing w:after="0" w:line="283" w:lineRule="auto"/>
        <w:rPr>
          <w:sz w:val="20"/>
          <w:szCs w:val="20"/>
          <w:color w:val="auto"/>
        </w:rPr>
      </w:pPr>
      <w:r>
        <w:rPr>
          <w:rFonts w:ascii="Times New Roman" w:cs="Times New Roman" w:eastAsia="Times New Roman" w:hAnsi="Times New Roman"/>
          <w:sz w:val="16"/>
          <w:szCs w:val="16"/>
          <w:color w:val="auto"/>
        </w:rPr>
        <w:t>INDENTURE dated as of [ ● ], 2022 between [ ● ], a Delaware corporation, as issuer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as more fully set forth in Section 1.01) and U.S. BANK NATIONAL ASSOCIATION, as trustee (the “</w:t>
      </w:r>
      <w:r>
        <w:rPr>
          <w:rFonts w:ascii="Times New Roman" w:cs="Times New Roman" w:eastAsia="Times New Roman" w:hAnsi="Times New Roman"/>
          <w:sz w:val="16"/>
          <w:szCs w:val="16"/>
          <w:b w:val="1"/>
          <w:bCs w:val="1"/>
          <w:color w:val="auto"/>
        </w:rPr>
        <w:t>Trustee</w:t>
      </w:r>
      <w:r>
        <w:rPr>
          <w:rFonts w:ascii="Times New Roman" w:cs="Times New Roman" w:eastAsia="Times New Roman" w:hAnsi="Times New Roman"/>
          <w:sz w:val="16"/>
          <w:szCs w:val="16"/>
          <w:color w:val="auto"/>
        </w:rPr>
        <w:t>,” as more fully set forth in Section 1.01).</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 I T N E S S E T H:</w:t>
      </w:r>
    </w:p>
    <w:p>
      <w:pPr>
        <w:spacing w:after="0" w:line="198"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WHEREAS, for its lawful corporate purposes, the Company has duly authorized the issuance of its 15.0% Cash + 5.0% PIK Convertible Senior Notes due 2026 (the “</w:t>
      </w:r>
      <w:r>
        <w:rPr>
          <w:rFonts w:ascii="Times New Roman" w:cs="Times New Roman" w:eastAsia="Times New Roman" w:hAnsi="Times New Roman"/>
          <w:sz w:val="16"/>
          <w:szCs w:val="16"/>
          <w:b w:val="1"/>
          <w:bCs w:val="1"/>
          <w:color w:val="auto"/>
        </w:rPr>
        <w:t>Notes</w:t>
      </w:r>
      <w:r>
        <w:rPr>
          <w:rFonts w:ascii="Times New Roman" w:cs="Times New Roman" w:eastAsia="Times New Roman" w:hAnsi="Times New Roman"/>
          <w:sz w:val="16"/>
          <w:szCs w:val="16"/>
          <w:color w:val="auto"/>
        </w:rPr>
        <w:t>”), initially in an aggregate principal amount not to exceed $25,000,000, and in order to provide the terms and conditions upon which the Notes are to be authenticated, issued and delivered, the Company has duly authorized the execution and delivery of this Indenture; and</w:t>
      </w:r>
    </w:p>
    <w:p>
      <w:pPr>
        <w:spacing w:after="0" w:line="155"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WHEREAS, the Form of Note, the certificate of authentication to be borne by each Note, the Form of Notice of Conversion, the Form of Fundamental Change Repurchase Notice and the Form of Assignment and Transfer to be borne by the Notes are to be substantially in the forms herein provided; and</w:t>
      </w:r>
    </w:p>
    <w:p>
      <w:pPr>
        <w:spacing w:after="0" w:line="144" w:lineRule="exact"/>
        <w:rPr>
          <w:sz w:val="20"/>
          <w:szCs w:val="20"/>
          <w:color w:val="auto"/>
        </w:rPr>
      </w:pPr>
    </w:p>
    <w:p>
      <w:pPr>
        <w:jc w:val="both"/>
        <w:ind w:right="20" w:firstLine="382"/>
        <w:spacing w:after="0" w:line="265" w:lineRule="auto"/>
        <w:rPr>
          <w:sz w:val="20"/>
          <w:szCs w:val="20"/>
          <w:color w:val="auto"/>
        </w:rPr>
      </w:pPr>
      <w:r>
        <w:rPr>
          <w:rFonts w:ascii="Times New Roman" w:cs="Times New Roman" w:eastAsia="Times New Roman" w:hAnsi="Times New Roman"/>
          <w:sz w:val="16"/>
          <w:szCs w:val="16"/>
          <w:color w:val="auto"/>
        </w:rPr>
        <w:t>WHEREAS, all acts and things necessary to make the Notes, when executed by the Company and authenticated and delivered by the Trustee or a duly authorized authenticating agent, as in this Indenture provided, the valid, binding and legal obligations of the Company, and this Indenture a valid agreement according to its terms, have been done and performed, and the execution of this Indenture and the issuance hereunder of the Notes have in all respects been duly authorized.</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NOW, THEREFORE, THIS INDENTURE WITNESSETH:</w:t>
      </w:r>
    </w:p>
    <w:p>
      <w:pPr>
        <w:spacing w:after="0" w:line="198"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That in order to declare the terms and conditions upon which the Notes are, and are to be, authenticated, issued and delivered, and in consideration of the premises and of the purchase and acceptance of the Notes by the Holders thereof, the Company covenants and agrees with the Trustee for the equal and proportionate benefit of the respective Holders from time to time of the Notes (except as otherwise provided below),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1</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w:t>
      </w:r>
      <w:r>
        <w:rPr>
          <w:rFonts w:ascii="Times New Roman" w:cs="Times New Roman" w:eastAsia="Times New Roman" w:hAnsi="Times New Roman"/>
          <w:sz w:val="10"/>
          <w:szCs w:val="10"/>
          <w:color w:val="auto"/>
        </w:rPr>
        <w:t>efinitions</w:t>
      </w:r>
    </w:p>
    <w:p>
      <w:pPr>
        <w:spacing w:after="0" w:line="180" w:lineRule="exact"/>
        <w:rPr>
          <w:sz w:val="20"/>
          <w:szCs w:val="20"/>
          <w:color w:val="auto"/>
        </w:rPr>
      </w:pPr>
    </w:p>
    <w:p>
      <w:pPr>
        <w:jc w:val="both"/>
        <w:ind w:firstLine="382"/>
        <w:spacing w:after="0" w:line="260" w:lineRule="auto"/>
        <w:rPr>
          <w:sz w:val="20"/>
          <w:szCs w:val="20"/>
          <w:color w:val="auto"/>
        </w:rPr>
      </w:pPr>
      <w:r>
        <w:rPr>
          <w:rFonts w:ascii="Times New Roman" w:cs="Times New Roman" w:eastAsia="Times New Roman" w:hAnsi="Times New Roman"/>
          <w:sz w:val="16"/>
          <w:szCs w:val="16"/>
          <w:color w:val="auto"/>
        </w:rPr>
        <w:t xml:space="preserve">Section 1.01. </w:t>
      </w:r>
      <w:r>
        <w:rPr>
          <w:rFonts w:ascii="Times New Roman" w:cs="Times New Roman" w:eastAsia="Times New Roman" w:hAnsi="Times New Roman"/>
          <w:sz w:val="16"/>
          <w:szCs w:val="16"/>
          <w:i w:val="1"/>
          <w:iCs w:val="1"/>
          <w:color w:val="auto"/>
        </w:rPr>
        <w:t>Definitions.</w:t>
      </w:r>
      <w:r>
        <w:rPr>
          <w:rFonts w:ascii="Times New Roman" w:cs="Times New Roman" w:eastAsia="Times New Roman" w:hAnsi="Times New Roman"/>
          <w:sz w:val="16"/>
          <w:szCs w:val="16"/>
          <w:color w:val="auto"/>
        </w:rPr>
        <w:t xml:space="preserve"> The terms defined in this Section 1.01 (except as herein otherwise expressly provided or unless the context otherwise requires) for all purposes of this Indenture and of any indenture supplemental hereto shall have the respective meanings specified in this Section 1.01. The words “herein,” “hereof,” “hereunder” and words of similar import refer to this Indenture as a whole and not to any particular Article, Section or other subdivision. The terms defined in this Article include the plural as well as the singular.</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1% Provision</w:t>
      </w:r>
      <w:r>
        <w:rPr>
          <w:rFonts w:ascii="Times New Roman" w:cs="Times New Roman" w:eastAsia="Times New Roman" w:hAnsi="Times New Roman"/>
          <w:sz w:val="16"/>
          <w:szCs w:val="16"/>
          <w:color w:val="auto"/>
        </w:rPr>
        <w:t>” shall have the meaning specified in Section 14.04(l).</w:t>
      </w:r>
    </w:p>
    <w:p>
      <w:pPr>
        <w:spacing w:after="0" w:line="198"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30-Day ADTV</w:t>
      </w:r>
      <w:r>
        <w:rPr>
          <w:rFonts w:ascii="Times New Roman" w:cs="Times New Roman" w:eastAsia="Times New Roman" w:hAnsi="Times New Roman"/>
          <w:sz w:val="16"/>
          <w:szCs w:val="16"/>
          <w:color w:val="auto"/>
        </w:rPr>
        <w:t>” means, as of any date and with respect to any shares of Common Stock, an amount equal to the arithmetic average of the products, for each Trading Day in the 30 Trading Day period ending on, and including, the Trading Day immediately preceding such date, of (i) the daily trading volume in such shares of Common Stock on the applicable exchange for such Trading Day and (ii) the Daily VWAP for such Trading Day; provided that in the case of calculating the amount in this clause (ii) with respect to any shares of Common Stock, in respect of any Trading Day occurring on or subsequent to the Ex-Dividend Date for such dividend or distribution, such amount shall be increased by an amount of cash in U.S. dollars per share of Common Stock distributed, or to be distributed, in such dividend or distribution, net of any applicable withholding taxes, as determined by the Conversion Agent, unless such dividend or distribution does not occur, in which case such amount shall be reduced to the amount that would then be in effect if such dividend or distribution had not been declared.</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Additional Interest</w:t>
      </w:r>
      <w:r>
        <w:rPr>
          <w:rFonts w:ascii="Times New Roman" w:cs="Times New Roman" w:eastAsia="Times New Roman" w:hAnsi="Times New Roman"/>
          <w:sz w:val="16"/>
          <w:szCs w:val="16"/>
          <w:color w:val="auto"/>
        </w:rPr>
        <w:t>” means all amounts, if any, payable pursuant to Section 4.06(d) and Section 6.03, as applicable.</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Additional Shares</w:t>
      </w:r>
      <w:r>
        <w:rPr>
          <w:rFonts w:ascii="Times New Roman" w:cs="Times New Roman" w:eastAsia="Times New Roman" w:hAnsi="Times New Roman"/>
          <w:sz w:val="16"/>
          <w:szCs w:val="16"/>
          <w:color w:val="auto"/>
        </w:rPr>
        <w:t>” shall have the meaning specified in Section 14.03(a).</w:t>
      </w:r>
    </w:p>
    <w:p>
      <w:pPr>
        <w:spacing w:after="0" w:line="198" w:lineRule="exact"/>
        <w:rPr>
          <w:sz w:val="20"/>
          <w:szCs w:val="20"/>
          <w:color w:val="auto"/>
        </w:rPr>
      </w:pPr>
    </w:p>
    <w:p>
      <w:pPr>
        <w:jc w:val="both"/>
        <w:ind w:firstLine="382"/>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Additional Warrants</w:t>
      </w:r>
      <w:r>
        <w:rPr>
          <w:rFonts w:ascii="Times New Roman" w:cs="Times New Roman" w:eastAsia="Times New Roman" w:hAnsi="Times New Roman"/>
          <w:sz w:val="16"/>
          <w:szCs w:val="16"/>
          <w:color w:val="auto"/>
        </w:rPr>
        <w:t>” shall mean warrants to purchase a number of shares of Common Stock equal to 50% of the number of shares of Common Stock into which the Notes redeemed pursuant to Section 16.01 were convertible on the Trading Day immediately prior to the Redemption Date. The Additional Warrants shall be identical to the Warrants (as such term is defined in the Amended and Restated Subscription Agreement dated [●], 2022 by and between the Company and Lake Vineyard Fund LP and Silver Rock Empire Fund LP—Series 2022) except that the exercise period of the Additional Warrants shall terminate on the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370840</wp:posOffset>
            </wp:positionV>
            <wp:extent cx="7148195"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1" w:name="page22"/>
    <w:bookmarkEnd w:id="21"/>
    <w:p>
      <w:pPr>
        <w:jc w:val="both"/>
        <w:ind w:left="4" w:firstLine="382"/>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Acquired Indebtedness</w:t>
      </w:r>
      <w:r>
        <w:rPr>
          <w:rFonts w:ascii="Times New Roman" w:cs="Times New Roman" w:eastAsia="Times New Roman" w:hAnsi="Times New Roman"/>
          <w:sz w:val="16"/>
          <w:szCs w:val="16"/>
          <w:color w:val="auto"/>
        </w:rPr>
        <w:t>” means Indebtedness of a Person or any of its Subsidiaries existing at the time such Person becomes a Subsidiary of the Company or at the time it merges or consolidates with or into the Company or any of its Subsidiaries or assumed in connection with the acquisition of assets from such Person and in each case whether or not incurred by such Person in connection with, or in anticipation or contemplation of, such Person becoming a Subsidiary of the Company or such acquisition, merger or consolidation.</w:t>
      </w:r>
    </w:p>
    <w:p>
      <w:pPr>
        <w:spacing w:after="0" w:line="159" w:lineRule="exact"/>
        <w:rPr>
          <w:sz w:val="20"/>
          <w:szCs w:val="20"/>
          <w:color w:val="auto"/>
        </w:rPr>
      </w:pPr>
    </w:p>
    <w:p>
      <w:pPr>
        <w:jc w:val="both"/>
        <w:ind w:left="4" w:firstLine="382"/>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Affiliate</w:t>
      </w:r>
      <w:r>
        <w:rPr>
          <w:rFonts w:ascii="Times New Roman" w:cs="Times New Roman" w:eastAsia="Times New Roman" w:hAnsi="Times New Roman"/>
          <w:sz w:val="16"/>
          <w:szCs w:val="16"/>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 Notwithstanding anything to the contrary herein, the determination of whether one Person is an “</w:t>
      </w:r>
      <w:r>
        <w:rPr>
          <w:rFonts w:ascii="Times New Roman" w:cs="Times New Roman" w:eastAsia="Times New Roman" w:hAnsi="Times New Roman"/>
          <w:sz w:val="16"/>
          <w:szCs w:val="16"/>
          <w:b w:val="1"/>
          <w:bCs w:val="1"/>
          <w:color w:val="auto"/>
        </w:rPr>
        <w:t>Affiliate</w:t>
      </w:r>
      <w:r>
        <w:rPr>
          <w:rFonts w:ascii="Times New Roman" w:cs="Times New Roman" w:eastAsia="Times New Roman" w:hAnsi="Times New Roman"/>
          <w:sz w:val="16"/>
          <w:szCs w:val="16"/>
          <w:color w:val="auto"/>
        </w:rPr>
        <w:t>” of another Person for purposes of this Indenture shall be made based on the facts at the time such determination is made or required to be made, as the case may be, hereunder.</w:t>
      </w:r>
    </w:p>
    <w:p>
      <w:pPr>
        <w:spacing w:after="0" w:line="162" w:lineRule="exact"/>
        <w:rPr>
          <w:sz w:val="20"/>
          <w:szCs w:val="20"/>
          <w:color w:val="auto"/>
        </w:rPr>
      </w:pPr>
    </w:p>
    <w:p>
      <w:pPr>
        <w:jc w:val="both"/>
        <w:ind w:left="4" w:right="20" w:firstLine="382"/>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Applicable Premium</w:t>
      </w:r>
      <w:r>
        <w:rPr>
          <w:rFonts w:ascii="Times New Roman" w:cs="Times New Roman" w:eastAsia="Times New Roman" w:hAnsi="Times New Roman"/>
          <w:sz w:val="16"/>
          <w:szCs w:val="16"/>
          <w:color w:val="auto"/>
        </w:rPr>
        <w:t>” means the present value at such Redemption Date of all required remaining scheduled interest payments (calculated, for the avoidance of doubt, including PIK Interest compounding upon each Interest Payment Date) due on such Note through the Maturity Date (but excluding accrued and unpaid interest to the</w:t>
      </w:r>
    </w:p>
    <w:p>
      <w:pPr>
        <w:spacing w:after="0" w:line="1" w:lineRule="exact"/>
        <w:rPr>
          <w:sz w:val="20"/>
          <w:szCs w:val="20"/>
          <w:color w:val="auto"/>
        </w:rPr>
      </w:pPr>
    </w:p>
    <w:p>
      <w:pPr>
        <w:jc w:val="both"/>
        <w:ind w:left="4" w:right="20"/>
        <w:spacing w:after="0" w:line="207" w:lineRule="auto"/>
        <w:rPr>
          <w:sz w:val="20"/>
          <w:szCs w:val="20"/>
          <w:color w:val="auto"/>
        </w:rPr>
      </w:pPr>
      <w:r>
        <w:rPr>
          <w:rFonts w:ascii="Times New Roman" w:cs="Times New Roman" w:eastAsia="Times New Roman" w:hAnsi="Times New Roman"/>
          <w:sz w:val="16"/>
          <w:szCs w:val="16"/>
          <w:color w:val="auto"/>
        </w:rPr>
        <w:t xml:space="preserve">Redemption Date), computed using a discount rate equal to the Treasury Rate;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with respect to a Note at any Redemption Date occurring before [●], 2025,</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6"/>
          <w:szCs w:val="16"/>
          <w:color w:val="auto"/>
        </w:rPr>
        <w:t xml:space="preserve"> such Applicable Premium shall also include the Additional Warrants.</w:t>
      </w:r>
    </w:p>
    <w:p>
      <w:pPr>
        <w:spacing w:after="0" w:line="174"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Asset Sale</w:t>
      </w:r>
      <w:r>
        <w:rPr>
          <w:rFonts w:ascii="Times New Roman" w:cs="Times New Roman" w:eastAsia="Times New Roman" w:hAnsi="Times New Roman"/>
          <w:sz w:val="16"/>
          <w:szCs w:val="16"/>
          <w:color w:val="auto"/>
        </w:rPr>
        <w:t>” means:</w:t>
      </w:r>
    </w:p>
    <w:p>
      <w:pPr>
        <w:spacing w:after="0" w:line="200" w:lineRule="exact"/>
        <w:rPr>
          <w:sz w:val="20"/>
          <w:szCs w:val="20"/>
          <w:color w:val="auto"/>
        </w:rPr>
      </w:pPr>
    </w:p>
    <w:p>
      <w:pPr>
        <w:ind w:left="4" w:firstLine="378"/>
        <w:spacing w:after="0" w:line="280" w:lineRule="auto"/>
        <w:tabs>
          <w:tab w:leader="none" w:pos="622"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sale, lease, conveyance or other disposition of any assets or rights; provided that the sale, lease, conveyance or other disposition of all or substantially all of the assets of the Company and its Subsidiaries, taken as a whole, will be governed by Article 11 and/or Article 15 and not by the provisions of the Asset Sale covenant; and</w:t>
      </w:r>
    </w:p>
    <w:p>
      <w:pPr>
        <w:spacing w:after="0" w:line="144" w:lineRule="exact"/>
        <w:rPr>
          <w:rFonts w:ascii="Times New Roman" w:cs="Times New Roman" w:eastAsia="Times New Roman" w:hAnsi="Times New Roman"/>
          <w:sz w:val="16"/>
          <w:szCs w:val="16"/>
          <w:color w:val="auto"/>
        </w:rPr>
      </w:pPr>
    </w:p>
    <w:p>
      <w:pPr>
        <w:ind w:left="604" w:hanging="222"/>
        <w:spacing w:after="0"/>
        <w:tabs>
          <w:tab w:leader="none" w:pos="604"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issuance of Equity Interests in any of the Company’s Subsidiaries or the sale of Equity Interests in any of its Subsidiaries.</w:t>
      </w:r>
    </w:p>
    <w:p>
      <w:pPr>
        <w:spacing w:after="0" w:line="198"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6"/>
          <w:szCs w:val="16"/>
          <w:color w:val="auto"/>
        </w:rPr>
        <w:t>Notwithstanding the preceding, none of the following items will be deemed to be an Asset Sale:</w:t>
      </w:r>
    </w:p>
    <w:p>
      <w:pPr>
        <w:spacing w:after="0" w:line="198" w:lineRule="exact"/>
        <w:rPr>
          <w:sz w:val="20"/>
          <w:szCs w:val="20"/>
          <w:color w:val="auto"/>
        </w:rPr>
      </w:pPr>
    </w:p>
    <w:p>
      <w:pPr>
        <w:ind w:left="604" w:hanging="222"/>
        <w:spacing w:after="0"/>
        <w:tabs>
          <w:tab w:leader="none" w:pos="604"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single transaction or series of related transactions that involves assets having a Fair Market Value of less than $1.0 million at such time;</w:t>
      </w:r>
    </w:p>
    <w:p>
      <w:pPr>
        <w:spacing w:after="0" w:line="198" w:lineRule="exact"/>
        <w:rPr>
          <w:rFonts w:ascii="Times New Roman" w:cs="Times New Roman" w:eastAsia="Times New Roman" w:hAnsi="Times New Roman"/>
          <w:sz w:val="16"/>
          <w:szCs w:val="16"/>
          <w:color w:val="auto"/>
        </w:rPr>
      </w:pPr>
    </w:p>
    <w:p>
      <w:pPr>
        <w:ind w:left="604" w:hanging="222"/>
        <w:spacing w:after="0"/>
        <w:tabs>
          <w:tab w:leader="none" w:pos="604"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transfer of assets (including Equity Interests of Subsidiaries) between or among the Company and its Subsidiaries;</w:t>
      </w:r>
    </w:p>
    <w:p>
      <w:pPr>
        <w:spacing w:after="0" w:line="198" w:lineRule="exact"/>
        <w:rPr>
          <w:rFonts w:ascii="Times New Roman" w:cs="Times New Roman" w:eastAsia="Times New Roman" w:hAnsi="Times New Roman"/>
          <w:sz w:val="16"/>
          <w:szCs w:val="16"/>
          <w:color w:val="auto"/>
        </w:rPr>
      </w:pPr>
    </w:p>
    <w:p>
      <w:pPr>
        <w:ind w:left="604" w:hanging="222"/>
        <w:spacing w:after="0"/>
        <w:tabs>
          <w:tab w:leader="none" w:pos="604"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issuance of Equity Interests by a Subsidiary of the Company to the Company or to another Subsidiary of the Company;</w:t>
      </w:r>
    </w:p>
    <w:p>
      <w:pPr>
        <w:spacing w:after="0" w:line="198" w:lineRule="exact"/>
        <w:rPr>
          <w:rFonts w:ascii="Times New Roman" w:cs="Times New Roman" w:eastAsia="Times New Roman" w:hAnsi="Times New Roman"/>
          <w:sz w:val="16"/>
          <w:szCs w:val="16"/>
          <w:color w:val="auto"/>
        </w:rPr>
      </w:pPr>
    </w:p>
    <w:p>
      <w:pPr>
        <w:jc w:val="both"/>
        <w:ind w:left="4" w:right="20" w:firstLine="378"/>
        <w:spacing w:after="0" w:line="259" w:lineRule="auto"/>
        <w:tabs>
          <w:tab w:leader="none" w:pos="624"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sale, abandonment, disposition, lease or sublease of products, inventory, equipment, services, accounts receivable or other assets or property (including, but not limited to, real property), or the granting of any option or other right to purchase, lease or otherwise acquire such assets, in each case, in the ordinary course of business and any sale or other disposition of assets that are damaged, worn out, obsolete or otherwise unsuitable for use or unusable by the Company or its Subsidiaries in connection with the conduct of their business as determined in good faith by the Company’s executive officers;</w:t>
      </w:r>
    </w:p>
    <w:p>
      <w:pPr>
        <w:spacing w:after="0" w:line="161" w:lineRule="exact"/>
        <w:rPr>
          <w:rFonts w:ascii="Times New Roman" w:cs="Times New Roman" w:eastAsia="Times New Roman" w:hAnsi="Times New Roman"/>
          <w:sz w:val="16"/>
          <w:szCs w:val="16"/>
          <w:color w:val="auto"/>
        </w:rPr>
      </w:pPr>
    </w:p>
    <w:p>
      <w:pPr>
        <w:ind w:left="604" w:hanging="222"/>
        <w:spacing w:after="0"/>
        <w:tabs>
          <w:tab w:leader="none" w:pos="604"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sale or other disposition of cash or Cash Equivalents;</w:t>
      </w:r>
    </w:p>
    <w:p>
      <w:pPr>
        <w:spacing w:after="0" w:line="198" w:lineRule="exact"/>
        <w:rPr>
          <w:rFonts w:ascii="Times New Roman" w:cs="Times New Roman" w:eastAsia="Times New Roman" w:hAnsi="Times New Roman"/>
          <w:sz w:val="16"/>
          <w:szCs w:val="16"/>
          <w:color w:val="auto"/>
        </w:rPr>
      </w:pPr>
    </w:p>
    <w:p>
      <w:pPr>
        <w:ind w:left="604" w:hanging="222"/>
        <w:spacing w:after="0"/>
        <w:tabs>
          <w:tab w:leader="none" w:pos="604"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Restricted Payment that does not violate Section 4.10 of this Indenture or a Permitted Investment;</w:t>
      </w:r>
    </w:p>
    <w:p>
      <w:pPr>
        <w:spacing w:after="0" w:line="198" w:lineRule="exact"/>
        <w:rPr>
          <w:rFonts w:ascii="Times New Roman" w:cs="Times New Roman" w:eastAsia="Times New Roman" w:hAnsi="Times New Roman"/>
          <w:sz w:val="16"/>
          <w:szCs w:val="16"/>
          <w:color w:val="auto"/>
        </w:rPr>
      </w:pPr>
    </w:p>
    <w:p>
      <w:pPr>
        <w:ind w:left="644" w:hanging="262"/>
        <w:spacing w:after="0"/>
        <w:tabs>
          <w:tab w:leader="none" w:pos="644"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sale or disposition deemed to occur in connection with the granting or creating of a Permitted Lien;</w:t>
      </w:r>
    </w:p>
    <w:p>
      <w:pPr>
        <w:spacing w:after="0" w:line="198" w:lineRule="exact"/>
        <w:rPr>
          <w:rFonts w:ascii="Times New Roman" w:cs="Times New Roman" w:eastAsia="Times New Roman" w:hAnsi="Times New Roman"/>
          <w:sz w:val="16"/>
          <w:szCs w:val="16"/>
          <w:color w:val="auto"/>
        </w:rPr>
      </w:pPr>
    </w:p>
    <w:p>
      <w:pPr>
        <w:ind w:left="604" w:hanging="222"/>
        <w:spacing w:after="0"/>
        <w:tabs>
          <w:tab w:leader="none" w:pos="604"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licensing of patents, trademarks, copyrights, and other intellectual property rights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1790700"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214" w:lineRule="exact"/>
        <w:rPr>
          <w:sz w:val="20"/>
          <w:szCs w:val="20"/>
          <w:color w:val="auto"/>
        </w:rPr>
      </w:pPr>
    </w:p>
    <w:p>
      <w:pPr>
        <w:ind w:left="284" w:hanging="284"/>
        <w:spacing w:after="0"/>
        <w:tabs>
          <w:tab w:leader="none" w:pos="284"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NTD: Insert date that is the third anniversary of issuance.</w:t>
      </w:r>
    </w:p>
    <w:p>
      <w:pPr>
        <w:spacing w:after="0" w:line="3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22" w:name="page23"/>
    <w:bookmarkEnd w:id="22"/>
    <w:p>
      <w:pPr>
        <w:ind w:left="600" w:hanging="222"/>
        <w:spacing w:after="0"/>
        <w:tabs>
          <w:tab w:leader="none" w:pos="6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involuntary loss, damage or destruction of property;</w:t>
      </w:r>
    </w:p>
    <w:p>
      <w:pPr>
        <w:spacing w:after="0" w:line="198" w:lineRule="exact"/>
        <w:rPr>
          <w:rFonts w:ascii="Times New Roman" w:cs="Times New Roman" w:eastAsia="Times New Roman" w:hAnsi="Times New Roman"/>
          <w:sz w:val="16"/>
          <w:szCs w:val="16"/>
          <w:color w:val="auto"/>
        </w:rPr>
      </w:pPr>
    </w:p>
    <w:p>
      <w:pPr>
        <w:ind w:left="680" w:hanging="302"/>
        <w:spacing w:after="0"/>
        <w:tabs>
          <w:tab w:leader="none" w:pos="6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involuntary condemnation, seizure or taking, by exercise of the power of eminent domain or otherwise, or confiscation or requisition of use of property; and</w:t>
      </w:r>
    </w:p>
    <w:p>
      <w:pPr>
        <w:spacing w:after="0" w:line="198" w:lineRule="exact"/>
        <w:rPr>
          <w:rFonts w:ascii="Times New Roman" w:cs="Times New Roman" w:eastAsia="Times New Roman" w:hAnsi="Times New Roman"/>
          <w:sz w:val="16"/>
          <w:szCs w:val="16"/>
          <w:color w:val="auto"/>
        </w:rPr>
      </w:pPr>
    </w:p>
    <w:p>
      <w:pPr>
        <w:ind w:firstLine="378"/>
        <w:spacing w:after="0" w:line="280" w:lineRule="auto"/>
        <w:tabs>
          <w:tab w:leader="none" w:pos="682"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lapse of registered patents, trademarks and other intellectual property of the Company and its Subsidiaries to the extent not economically desirable in the conduct of their business and so long as such lapse does not materially interfere with the business of the Company and its Subsidiaries.</w:t>
      </w:r>
    </w:p>
    <w:p>
      <w:pPr>
        <w:spacing w:after="0" w:line="14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Board of Directors</w:t>
      </w:r>
      <w:r>
        <w:rPr>
          <w:rFonts w:ascii="Times New Roman" w:cs="Times New Roman" w:eastAsia="Times New Roman" w:hAnsi="Times New Roman"/>
          <w:sz w:val="16"/>
          <w:szCs w:val="16"/>
          <w:color w:val="auto"/>
        </w:rPr>
        <w:t>” means the board of directors of the Company or a committee of such board duly authorized to act for it hereunder.</w:t>
      </w:r>
    </w:p>
    <w:p>
      <w:pPr>
        <w:spacing w:after="0" w:line="198" w:lineRule="exact"/>
        <w:rPr>
          <w:sz w:val="20"/>
          <w:szCs w:val="20"/>
          <w:color w:val="auto"/>
        </w:rPr>
      </w:pPr>
    </w:p>
    <w:p>
      <w:pPr>
        <w:jc w:val="both"/>
        <w:ind w:right="20"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Board Resolution</w:t>
      </w:r>
      <w:r>
        <w:rPr>
          <w:rFonts w:ascii="Times New Roman" w:cs="Times New Roman" w:eastAsia="Times New Roman" w:hAnsi="Times New Roman"/>
          <w:sz w:val="16"/>
          <w:szCs w:val="16"/>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40" w:lineRule="exact"/>
        <w:rPr>
          <w:sz w:val="20"/>
          <w:szCs w:val="20"/>
          <w:color w:val="auto"/>
        </w:rPr>
      </w:pPr>
    </w:p>
    <w:p>
      <w:pPr>
        <w:jc w:val="both"/>
        <w:ind w:firstLine="382"/>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Business Day</w:t>
      </w:r>
      <w:r>
        <w:rPr>
          <w:rFonts w:ascii="Times New Roman" w:cs="Times New Roman" w:eastAsia="Times New Roman" w:hAnsi="Times New Roman"/>
          <w:sz w:val="16"/>
          <w:szCs w:val="16"/>
          <w:color w:val="auto"/>
        </w:rPr>
        <w:t>” means, with respect to any Note, any day other than a Saturday, a Sunday or a day on which the Federal Reserve Bank of New York is authorized or required by law or executive order to close or be closed. However, solely for purposes of Section 18.06, a day on which the applicable place of payment is authorized or required by law or executive order to close or be closed will be deemed not to be a “Business Day.”</w:t>
      </w:r>
    </w:p>
    <w:p>
      <w:pPr>
        <w:spacing w:after="0" w:line="153" w:lineRule="exact"/>
        <w:rPr>
          <w:sz w:val="20"/>
          <w:szCs w:val="20"/>
          <w:color w:val="auto"/>
        </w:rPr>
      </w:pPr>
    </w:p>
    <w:p>
      <w:pPr>
        <w:jc w:val="both"/>
        <w:ind w:right="20" w:firstLine="382"/>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Capital Stock</w:t>
      </w:r>
      <w:r>
        <w:rPr>
          <w:rFonts w:ascii="Times New Roman" w:cs="Times New Roman" w:eastAsia="Times New Roman" w:hAnsi="Times New Roman"/>
          <w:sz w:val="16"/>
          <w:szCs w:val="16"/>
          <w:color w:val="auto"/>
        </w:rPr>
        <w:t>” means, for any entity, any and all shares, interests, rights to purchase, warrants, options, participations or other equivalents of or interests in (however designated) stock issued by that entity, but shall not include any debt securities convertible or exchangeable for any securities otherwise constituting Capital Stock pursuant to this definition until so converted or exchanged.</w:t>
      </w:r>
    </w:p>
    <w:p>
      <w:pPr>
        <w:spacing w:after="0" w:line="153" w:lineRule="exact"/>
        <w:rPr>
          <w:sz w:val="20"/>
          <w:szCs w:val="20"/>
          <w:color w:val="auto"/>
        </w:rPr>
      </w:pPr>
    </w:p>
    <w:p>
      <w:pPr>
        <w:jc w:val="both"/>
        <w:ind w:firstLine="382"/>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Capitalized Lease Obligation</w:t>
      </w:r>
      <w:r>
        <w:rPr>
          <w:rFonts w:ascii="Times New Roman" w:cs="Times New Roman" w:eastAsia="Times New Roman" w:hAnsi="Times New Roman"/>
          <w:sz w:val="16"/>
          <w:szCs w:val="16"/>
          <w:color w:val="auto"/>
        </w:rPr>
        <w:t>” means, as to any Person, the obligations of such Person under a lease that are required to be classified and accounted for as capital lease obligations under GAAP and, for purposes of this definition, the amount of such obligations at any date shall be the capitalized amount of such obligations at such date, determined in accordance with GAAP.</w:t>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Cash Covenant Reversion Date</w:t>
      </w:r>
      <w:r>
        <w:rPr>
          <w:rFonts w:ascii="Times New Roman" w:cs="Times New Roman" w:eastAsia="Times New Roman" w:hAnsi="Times New Roman"/>
          <w:sz w:val="16"/>
          <w:szCs w:val="16"/>
          <w:color w:val="auto"/>
        </w:rPr>
        <w:t>” shall have the meaning specified in Section 4.19(e).</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Cash Covenant Suspension Date</w:t>
      </w:r>
      <w:r>
        <w:rPr>
          <w:rFonts w:ascii="Times New Roman" w:cs="Times New Roman" w:eastAsia="Times New Roman" w:hAnsi="Times New Roman"/>
          <w:sz w:val="16"/>
          <w:szCs w:val="16"/>
          <w:color w:val="auto"/>
        </w:rPr>
        <w:t>” shall have the meaning specified in Section 4.19(c).</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Cash Covenant Suspension Event</w:t>
      </w:r>
      <w:r>
        <w:rPr>
          <w:rFonts w:ascii="Times New Roman" w:cs="Times New Roman" w:eastAsia="Times New Roman" w:hAnsi="Times New Roman"/>
          <w:sz w:val="16"/>
          <w:szCs w:val="16"/>
          <w:color w:val="auto"/>
        </w:rPr>
        <w:t>” shall have the meaning specified in Section 4.19(c).</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Cash Equivalents</w:t>
      </w:r>
      <w:r>
        <w:rPr>
          <w:rFonts w:ascii="Times New Roman" w:cs="Times New Roman" w:eastAsia="Times New Roman" w:hAnsi="Times New Roman"/>
          <w:sz w:val="16"/>
          <w:szCs w:val="16"/>
          <w:color w:val="auto"/>
        </w:rPr>
        <w:t>” means:</w:t>
      </w:r>
    </w:p>
    <w:p>
      <w:pPr>
        <w:spacing w:after="0" w:line="200" w:lineRule="exact"/>
        <w:rPr>
          <w:sz w:val="20"/>
          <w:szCs w:val="20"/>
          <w:color w:val="auto"/>
        </w:rPr>
      </w:pPr>
    </w:p>
    <w:p>
      <w:pPr>
        <w:ind w:right="20" w:firstLine="378"/>
        <w:spacing w:after="0" w:line="280" w:lineRule="auto"/>
        <w:tabs>
          <w:tab w:leader="none" w:pos="613"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marketable direct obligations issued by, or unconditionally guaranteed by, the United States Government or issued by any agency thereof and backed by the full faith and credit of the United States, in each case maturing within one year from the date of acquisition thereof;</w:t>
      </w:r>
    </w:p>
    <w:p>
      <w:pPr>
        <w:spacing w:after="0" w:line="144" w:lineRule="exact"/>
        <w:rPr>
          <w:rFonts w:ascii="Times New Roman" w:cs="Times New Roman" w:eastAsia="Times New Roman" w:hAnsi="Times New Roman"/>
          <w:sz w:val="16"/>
          <w:szCs w:val="16"/>
          <w:color w:val="auto"/>
        </w:rPr>
      </w:pPr>
    </w:p>
    <w:p>
      <w:pPr>
        <w:jc w:val="both"/>
        <w:ind w:right="20" w:firstLine="378"/>
        <w:spacing w:after="0" w:line="265" w:lineRule="auto"/>
        <w:tabs>
          <w:tab w:leader="none" w:pos="625"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marketable direct obligations issued or fully guaranteed by any state of the United States of America or any political subdivision of any such state or any public instrumentality thereof, maturing within one year from the date of acquisition thereof and, at the time of acquisition, having one of the two highest ratings obtainable from either S&amp;P or Moody’s;</w:t>
      </w:r>
    </w:p>
    <w:p>
      <w:pPr>
        <w:spacing w:after="0" w:line="155" w:lineRule="exact"/>
        <w:rPr>
          <w:rFonts w:ascii="Times New Roman" w:cs="Times New Roman" w:eastAsia="Times New Roman" w:hAnsi="Times New Roman"/>
          <w:sz w:val="16"/>
          <w:szCs w:val="16"/>
          <w:color w:val="auto"/>
        </w:rPr>
      </w:pPr>
    </w:p>
    <w:p>
      <w:pPr>
        <w:ind w:right="20" w:firstLine="378"/>
        <w:spacing w:after="0" w:line="280" w:lineRule="auto"/>
        <w:tabs>
          <w:tab w:leader="none" w:pos="609"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commercial paper maturing no more than 270 days from the date of creation thereof and, at the time of acquisition, having a rating of at least A-2 from S&amp;P or at least P-2 from Moody’s;</w:t>
      </w:r>
    </w:p>
    <w:p>
      <w:pPr>
        <w:spacing w:after="0" w:line="144" w:lineRule="exact"/>
        <w:rPr>
          <w:rFonts w:ascii="Times New Roman" w:cs="Times New Roman" w:eastAsia="Times New Roman" w:hAnsi="Times New Roman"/>
          <w:sz w:val="16"/>
          <w:szCs w:val="16"/>
          <w:color w:val="auto"/>
        </w:rPr>
      </w:pPr>
    </w:p>
    <w:p>
      <w:pPr>
        <w:ind w:right="20" w:firstLine="378"/>
        <w:spacing w:after="0" w:line="280" w:lineRule="auto"/>
        <w:tabs>
          <w:tab w:leader="none" w:pos="613"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any foreign Subsidiary of the Company, such local currencies held by it from time to time in the ordinary course of business and the foreign equivalent of Cash Equivalents described in clause (2) above;</w:t>
      </w:r>
    </w:p>
    <w:p>
      <w:pPr>
        <w:spacing w:after="0" w:line="144" w:lineRule="exact"/>
        <w:rPr>
          <w:rFonts w:ascii="Times New Roman" w:cs="Times New Roman" w:eastAsia="Times New Roman" w:hAnsi="Times New Roman"/>
          <w:sz w:val="16"/>
          <w:szCs w:val="16"/>
          <w:color w:val="auto"/>
        </w:rPr>
      </w:pPr>
    </w:p>
    <w:p>
      <w:pPr>
        <w:jc w:val="both"/>
        <w:ind w:firstLine="378"/>
        <w:spacing w:after="0" w:line="265" w:lineRule="auto"/>
        <w:tabs>
          <w:tab w:leader="none" w:pos="611"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demand or time deposit accounts with commercial banks that satisfy the criteria described in clause (6) below or any other commercial bank organized under the laws of the United States of America, any state thereof, the District of Columbia, Canada or any province or territory thereof; provided that the full amount maintained with any such other bank is insured by the Federal Deposit Insurance Corporation or the Canadian Deposit Insurance Corporation, as applicable;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3" w:name="page24"/>
    <w:bookmarkEnd w:id="23"/>
    <w:p>
      <w:pPr>
        <w:jc w:val="both"/>
        <w:ind w:firstLine="378"/>
        <w:spacing w:after="0" w:line="257" w:lineRule="auto"/>
        <w:tabs>
          <w:tab w:leader="none" w:pos="608"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obligations (including, but not limited to, overnight bank deposits, demand or time deposits, bankers’ acceptances and certificates of deposit) issued or guaranteed by a depository institution or trust company organized under the laws of the United States of America, any state thereof, the District of Columbia, Canada or any province or territory thereof or any United States branch of a foreign bank or any member of the European Union; provided that (A) such instrument has a final maturity not more than one year from the date of purchase thereof by the Company or any Subsidiary of the Company and (B) such depository institution or trust company has at the date of acquisition thereof combined capital and surplus in excess of $500.0 million;</w:t>
      </w:r>
    </w:p>
    <w:p>
      <w:pPr>
        <w:spacing w:after="0" w:line="162" w:lineRule="exact"/>
        <w:rPr>
          <w:rFonts w:ascii="Times New Roman" w:cs="Times New Roman" w:eastAsia="Times New Roman" w:hAnsi="Times New Roman"/>
          <w:sz w:val="16"/>
          <w:szCs w:val="16"/>
          <w:color w:val="auto"/>
        </w:rPr>
      </w:pPr>
    </w:p>
    <w:p>
      <w:pPr>
        <w:ind w:right="20" w:firstLine="378"/>
        <w:spacing w:after="0" w:line="280" w:lineRule="auto"/>
        <w:tabs>
          <w:tab w:leader="none" w:pos="623"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debt securities with maturities of six months or less from the date of acquisition backed by standby letters of credit issued by any commercial bank satisfying the criteria described in clause (6) above;</w:t>
      </w:r>
    </w:p>
    <w:p>
      <w:pPr>
        <w:spacing w:after="0" w:line="144" w:lineRule="exact"/>
        <w:rPr>
          <w:rFonts w:ascii="Times New Roman" w:cs="Times New Roman" w:eastAsia="Times New Roman" w:hAnsi="Times New Roman"/>
          <w:sz w:val="16"/>
          <w:szCs w:val="16"/>
          <w:color w:val="auto"/>
        </w:rPr>
      </w:pPr>
    </w:p>
    <w:p>
      <w:pPr>
        <w:ind w:right="20" w:firstLine="378"/>
        <w:spacing w:after="0" w:line="280" w:lineRule="auto"/>
        <w:tabs>
          <w:tab w:leader="none" w:pos="612"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repurchase obligations with a term of not more than seven days for underlying securities of the types described in clauses (1), (2) and (6) above entered into with any bank meeting the qualifications specified in clause (6) above; and</w:t>
      </w:r>
    </w:p>
    <w:p>
      <w:pPr>
        <w:spacing w:after="0" w:line="144" w:lineRule="exact"/>
        <w:rPr>
          <w:rFonts w:ascii="Times New Roman" w:cs="Times New Roman" w:eastAsia="Times New Roman" w:hAnsi="Times New Roman"/>
          <w:sz w:val="16"/>
          <w:szCs w:val="16"/>
          <w:color w:val="auto"/>
        </w:rPr>
      </w:pPr>
    </w:p>
    <w:p>
      <w:pPr>
        <w:ind w:left="600" w:hanging="222"/>
        <w:spacing w:after="0"/>
        <w:tabs>
          <w:tab w:leader="none" w:pos="6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investments in money market funds which invest substantially all their assets in securities of the types described in clauses (1) through (7) above.</w:t>
      </w:r>
    </w:p>
    <w:p>
      <w:pPr>
        <w:spacing w:after="0" w:line="196" w:lineRule="exact"/>
        <w:rPr>
          <w:sz w:val="20"/>
          <w:szCs w:val="20"/>
          <w:color w:val="auto"/>
        </w:rPr>
      </w:pPr>
    </w:p>
    <w:p>
      <w:pPr>
        <w:jc w:val="both"/>
        <w:ind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Cash Interest</w:t>
      </w:r>
      <w:r>
        <w:rPr>
          <w:rFonts w:ascii="Times New Roman" w:cs="Times New Roman" w:eastAsia="Times New Roman" w:hAnsi="Times New Roman"/>
          <w:sz w:val="16"/>
          <w:szCs w:val="16"/>
          <w:color w:val="auto"/>
        </w:rPr>
        <w:t>” means the portion of an installment of interest due on an Interest Payment Date in respect of Notes that is payable in cash, in each case as provided in the Notes.</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Cash Settlement</w:t>
      </w:r>
      <w:r>
        <w:rPr>
          <w:rFonts w:ascii="Times New Roman" w:cs="Times New Roman" w:eastAsia="Times New Roman" w:hAnsi="Times New Roman"/>
          <w:sz w:val="16"/>
          <w:szCs w:val="16"/>
          <w:color w:val="auto"/>
        </w:rPr>
        <w:t>” shall have the meaning specified in Section 14.02(a)(i).</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Certificate of Designations</w:t>
      </w:r>
      <w:r>
        <w:rPr>
          <w:rFonts w:ascii="Times New Roman" w:cs="Times New Roman" w:eastAsia="Times New Roman" w:hAnsi="Times New Roman"/>
          <w:sz w:val="16"/>
          <w:szCs w:val="16"/>
          <w:color w:val="auto"/>
        </w:rPr>
        <w:t>” means the certificate of designations of the Company in effect on the date hereof, as amended from time to time.</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Clause A Distribution</w:t>
      </w:r>
      <w:r>
        <w:rPr>
          <w:rFonts w:ascii="Times New Roman" w:cs="Times New Roman" w:eastAsia="Times New Roman" w:hAnsi="Times New Roman"/>
          <w:sz w:val="16"/>
          <w:szCs w:val="16"/>
          <w:color w:val="auto"/>
        </w:rPr>
        <w:t>” shall have the meaning specified in Section 14.04(c).</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Clause B Distribution</w:t>
      </w:r>
      <w:r>
        <w:rPr>
          <w:rFonts w:ascii="Times New Roman" w:cs="Times New Roman" w:eastAsia="Times New Roman" w:hAnsi="Times New Roman"/>
          <w:sz w:val="16"/>
          <w:szCs w:val="16"/>
          <w:color w:val="auto"/>
        </w:rPr>
        <w:t>” shall have the meaning specified in Section 14.04(c).</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Clause C Distribution</w:t>
      </w:r>
      <w:r>
        <w:rPr>
          <w:rFonts w:ascii="Times New Roman" w:cs="Times New Roman" w:eastAsia="Times New Roman" w:hAnsi="Times New Roman"/>
          <w:sz w:val="16"/>
          <w:szCs w:val="16"/>
          <w:color w:val="auto"/>
        </w:rPr>
        <w:t>” shall have the meaning specified in Section 14.04(c).</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close of business</w:t>
      </w:r>
      <w:r>
        <w:rPr>
          <w:rFonts w:ascii="Times New Roman" w:cs="Times New Roman" w:eastAsia="Times New Roman" w:hAnsi="Times New Roman"/>
          <w:sz w:val="16"/>
          <w:szCs w:val="16"/>
          <w:color w:val="auto"/>
        </w:rPr>
        <w:t>” means 5:00 p.m. (New York City time).</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Combination Settlement</w:t>
      </w:r>
      <w:r>
        <w:rPr>
          <w:rFonts w:ascii="Times New Roman" w:cs="Times New Roman" w:eastAsia="Times New Roman" w:hAnsi="Times New Roman"/>
          <w:sz w:val="16"/>
          <w:szCs w:val="16"/>
          <w:color w:val="auto"/>
        </w:rPr>
        <w:t>” shall have the meaning specified in Section 14.02(a)(i).</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Commission</w:t>
      </w:r>
      <w:r>
        <w:rPr>
          <w:rFonts w:ascii="Times New Roman" w:cs="Times New Roman" w:eastAsia="Times New Roman" w:hAnsi="Times New Roman"/>
          <w:sz w:val="16"/>
          <w:szCs w:val="16"/>
          <w:color w:val="auto"/>
        </w:rPr>
        <w:t>” means the U.S. Securities and Exchange Commission.</w:t>
      </w:r>
    </w:p>
    <w:p>
      <w:pPr>
        <w:spacing w:after="0" w:line="198" w:lineRule="exact"/>
        <w:rPr>
          <w:sz w:val="20"/>
          <w:szCs w:val="20"/>
          <w:color w:val="auto"/>
        </w:rPr>
      </w:pPr>
    </w:p>
    <w:p>
      <w:pPr>
        <w:jc w:val="both"/>
        <w:ind w:firstLine="382"/>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Common Equity</w:t>
      </w:r>
      <w:r>
        <w:rPr>
          <w:rFonts w:ascii="Times New Roman" w:cs="Times New Roman" w:eastAsia="Times New Roman" w:hAnsi="Times New Roman"/>
          <w:sz w:val="16"/>
          <w:szCs w:val="16"/>
          <w:color w:val="auto"/>
        </w:rPr>
        <w:t>” of any Person means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Common Stock</w:t>
      </w:r>
      <w:r>
        <w:rPr>
          <w:rFonts w:ascii="Times New Roman" w:cs="Times New Roman" w:eastAsia="Times New Roman" w:hAnsi="Times New Roman"/>
          <w:sz w:val="16"/>
          <w:szCs w:val="16"/>
          <w:color w:val="auto"/>
        </w:rPr>
        <w:t>” means the voting common stock of the Company, par value $0.0001 per share, at the date of this Indenture, subject to Section 14.07.</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shall have the meaning specified in the first paragraph of this Indenture, and subject to the provisions of Article 11, shall include its successors and assigns.</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 Order</w:t>
      </w:r>
      <w:r>
        <w:rPr>
          <w:rFonts w:ascii="Times New Roman" w:cs="Times New Roman" w:eastAsia="Times New Roman" w:hAnsi="Times New Roman"/>
          <w:sz w:val="16"/>
          <w:szCs w:val="16"/>
          <w:color w:val="auto"/>
        </w:rPr>
        <w:t>” means a written order of the Company signed by any of its Officers and delivered to the Trustee.</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Conversion Agent</w:t>
      </w:r>
      <w:r>
        <w:rPr>
          <w:rFonts w:ascii="Times New Roman" w:cs="Times New Roman" w:eastAsia="Times New Roman" w:hAnsi="Times New Roman"/>
          <w:sz w:val="16"/>
          <w:szCs w:val="16"/>
          <w:color w:val="auto"/>
        </w:rPr>
        <w:t>” shall have the meaning specified in Section 4.02.</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Conversion Consideration</w:t>
      </w:r>
      <w:r>
        <w:rPr>
          <w:rFonts w:ascii="Times New Roman" w:cs="Times New Roman" w:eastAsia="Times New Roman" w:hAnsi="Times New Roman"/>
          <w:sz w:val="16"/>
          <w:szCs w:val="16"/>
          <w:color w:val="auto"/>
        </w:rPr>
        <w:t>” shall have the meaning specified in Section 14.12(a).</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Conversion Date</w:t>
      </w:r>
      <w:r>
        <w:rPr>
          <w:rFonts w:ascii="Times New Roman" w:cs="Times New Roman" w:eastAsia="Times New Roman" w:hAnsi="Times New Roman"/>
          <w:sz w:val="16"/>
          <w:szCs w:val="16"/>
          <w:color w:val="auto"/>
        </w:rPr>
        <w:t>” shall have the meaning specified in Section 14.02(c).</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Conversion Obligation</w:t>
      </w:r>
      <w:r>
        <w:rPr>
          <w:rFonts w:ascii="Times New Roman" w:cs="Times New Roman" w:eastAsia="Times New Roman" w:hAnsi="Times New Roman"/>
          <w:sz w:val="16"/>
          <w:szCs w:val="16"/>
          <w:color w:val="auto"/>
        </w:rPr>
        <w:t>” shall have the meaning specified in Section 14.01(a).</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Conversion Price</w:t>
      </w:r>
      <w:r>
        <w:rPr>
          <w:rFonts w:ascii="Times New Roman" w:cs="Times New Roman" w:eastAsia="Times New Roman" w:hAnsi="Times New Roman"/>
          <w:sz w:val="16"/>
          <w:szCs w:val="16"/>
          <w:color w:val="auto"/>
        </w:rPr>
        <w:t xml:space="preserve">” means as of any time, $1,000, </w:t>
      </w:r>
      <w:r>
        <w:rPr>
          <w:rFonts w:ascii="Times New Roman" w:cs="Times New Roman" w:eastAsia="Times New Roman" w:hAnsi="Times New Roman"/>
          <w:sz w:val="16"/>
          <w:szCs w:val="16"/>
          <w:i w:val="1"/>
          <w:iCs w:val="1"/>
          <w:color w:val="auto"/>
        </w:rPr>
        <w:t>divided by</w:t>
      </w:r>
      <w:r>
        <w:rPr>
          <w:rFonts w:ascii="Times New Roman" w:cs="Times New Roman" w:eastAsia="Times New Roman" w:hAnsi="Times New Roman"/>
          <w:sz w:val="16"/>
          <w:szCs w:val="16"/>
          <w:color w:val="auto"/>
        </w:rPr>
        <w:t xml:space="preserve"> the Conversion Rate as of such time.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4" w:name="page25"/>
    <w:bookmarkEnd w:id="24"/>
    <w:p>
      <w:pPr>
        <w:ind w:left="38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Conversion Rate</w:t>
      </w:r>
      <w:r>
        <w:rPr>
          <w:rFonts w:ascii="Times New Roman" w:cs="Times New Roman" w:eastAsia="Times New Roman" w:hAnsi="Times New Roman"/>
          <w:sz w:val="16"/>
          <w:szCs w:val="16"/>
          <w:color w:val="auto"/>
        </w:rPr>
        <w:t>” shall have the meaning specified in Section 14.01(a).</w:t>
      </w:r>
    </w:p>
    <w:p>
      <w:pPr>
        <w:spacing w:after="0" w:line="198" w:lineRule="exact"/>
        <w:rPr>
          <w:sz w:val="20"/>
          <w:szCs w:val="20"/>
          <w:color w:val="auto"/>
        </w:rPr>
      </w:pPr>
    </w:p>
    <w:p>
      <w:pPr>
        <w:jc w:val="both"/>
        <w:ind w:left="4" w:right="20" w:firstLine="382"/>
        <w:spacing w:after="0" w:line="23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Corporate Trust Office</w:t>
      </w:r>
      <w:r>
        <w:rPr>
          <w:rFonts w:ascii="Times New Roman" w:cs="Times New Roman" w:eastAsia="Times New Roman" w:hAnsi="Times New Roman"/>
          <w:sz w:val="16"/>
          <w:szCs w:val="16"/>
          <w:color w:val="auto"/>
        </w:rPr>
        <w:t>” means the designated office of the Trustee at which at any time this Indenture shall be administered, which office at the date hereof is located at U.S. Bank National Association, [●]</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6"/>
          <w:szCs w:val="16"/>
          <w:color w:val="auto"/>
        </w:rPr>
        <w:t xml:space="preserve"> Attention: [●], or such other address as the Trustee may designate from time to time by notice to the Holders and the Company, or the designated corporate trust office of any successor trustee (or such other address as such successor trustee may designate from time to time by notice to the Holders and the Company).</w:t>
      </w:r>
    </w:p>
    <w:p>
      <w:pPr>
        <w:spacing w:after="0" w:line="173" w:lineRule="exact"/>
        <w:rPr>
          <w:sz w:val="20"/>
          <w:szCs w:val="20"/>
          <w:color w:val="auto"/>
        </w:rPr>
      </w:pPr>
    </w:p>
    <w:p>
      <w:pPr>
        <w:jc w:val="both"/>
        <w:ind w:left="4" w:firstLine="382"/>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Credit Facility</w:t>
      </w:r>
      <w:r>
        <w:rPr>
          <w:rFonts w:ascii="Times New Roman" w:cs="Times New Roman" w:eastAsia="Times New Roman" w:hAnsi="Times New Roman"/>
          <w:sz w:val="16"/>
          <w:szCs w:val="16"/>
          <w:color w:val="auto"/>
        </w:rPr>
        <w:t>” means any credit or debt facilities, commercial paper facilities or other debt instruments, indentures or agreements, in each case providing for revolving credit loans, term loans, receivables financings, letters of credit or other Indebtedness, in each case, including all agreements, instruments and documents executed and delivered pursuant to or in connection with any of the foregoing, including but not limited to any notes and letters of credit issued pursuant thereto and any guarantee and collateral agreement, patent and trademark security agreement, mortgages or letter of credit applications and other guarantees, pledge agreements, security agreements and collateral documents, in each case as the same may be amended, supplemented, waived or otherwise modified from time to time, or refunded, refinanced, restructured, replaced, renewed, repaid, increased or extended from time to time (whether in whole or in part, whether with the original banks, lenders or institutions or other banks, lenders or institutions or otherwise, and whether provided under any original Credit Facility or one or more other credit agreements, indentures, financing agreements or other Credit Facilities or otherwise). Without limiting the generality of the foregoing, the term “Credit Facility” shall include any (i) agreement changing the maturity of any Indebtedness incurred thereunder or contemplated thereby, (ii) agreement adding Subsidiaries as additional borrowers or guarantors thereunder, (iii) agreement increasing the amount of Indebtedness incurred thereunder or available to be borrowed thereunder, (iv) Hedging Agreement or other similar agreement or arrangement with respect thereto or (v) agreement otherwise altering the terms and conditions thereof.</w:t>
      </w:r>
    </w:p>
    <w:p>
      <w:pPr>
        <w:spacing w:after="0" w:line="169"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Custodian</w:t>
      </w:r>
      <w:r>
        <w:rPr>
          <w:rFonts w:ascii="Times New Roman" w:cs="Times New Roman" w:eastAsia="Times New Roman" w:hAnsi="Times New Roman"/>
          <w:sz w:val="16"/>
          <w:szCs w:val="16"/>
          <w:color w:val="auto"/>
        </w:rPr>
        <w:t>” means the Trustee, as custodian for The Depository Trust Company, with respect to the Global Notes, or any successor entity thereto.</w:t>
      </w:r>
    </w:p>
    <w:p>
      <w:pPr>
        <w:spacing w:after="0" w:line="204" w:lineRule="exact"/>
        <w:rPr>
          <w:sz w:val="20"/>
          <w:szCs w:val="20"/>
          <w:color w:val="auto"/>
        </w:rPr>
      </w:pPr>
    </w:p>
    <w:p>
      <w:pPr>
        <w:jc w:val="both"/>
        <w:ind w:left="4" w:right="20" w:firstLine="382"/>
        <w:spacing w:after="0" w:line="21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Daily Conversion Value</w:t>
      </w:r>
      <w:r>
        <w:rPr>
          <w:rFonts w:ascii="Times New Roman" w:cs="Times New Roman" w:eastAsia="Times New Roman" w:hAnsi="Times New Roman"/>
          <w:sz w:val="16"/>
          <w:szCs w:val="16"/>
          <w:color w:val="auto"/>
        </w:rPr>
        <w:t>” means, for each of the 30 consecutive Trading Days during the Observation Period, 1/30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of the product of (a) the Conversion Rate on such Trading Day and (b) the Daily VWAP for such Trading Day.</w:t>
      </w:r>
    </w:p>
    <w:p>
      <w:pPr>
        <w:spacing w:after="0" w:line="173"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Daily Measurement Value</w:t>
      </w:r>
      <w:r>
        <w:rPr>
          <w:rFonts w:ascii="Times New Roman" w:cs="Times New Roman" w:eastAsia="Times New Roman" w:hAnsi="Times New Roman"/>
          <w:sz w:val="16"/>
          <w:szCs w:val="16"/>
          <w:color w:val="auto"/>
        </w:rPr>
        <w:t xml:space="preserve">” means the Specified Dollar Amount (if any), </w:t>
      </w:r>
      <w:r>
        <w:rPr>
          <w:rFonts w:ascii="Times New Roman" w:cs="Times New Roman" w:eastAsia="Times New Roman" w:hAnsi="Times New Roman"/>
          <w:sz w:val="16"/>
          <w:szCs w:val="16"/>
          <w:i w:val="1"/>
          <w:iCs w:val="1"/>
          <w:color w:val="auto"/>
        </w:rPr>
        <w:t>divided by</w:t>
      </w:r>
      <w:r>
        <w:rPr>
          <w:rFonts w:ascii="Times New Roman" w:cs="Times New Roman" w:eastAsia="Times New Roman" w:hAnsi="Times New Roman"/>
          <w:sz w:val="16"/>
          <w:szCs w:val="16"/>
          <w:color w:val="auto"/>
        </w:rPr>
        <w:t xml:space="preserve"> 30.</w:t>
      </w:r>
    </w:p>
    <w:p>
      <w:pPr>
        <w:spacing w:after="0" w:line="198"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Daily Settlement Amount</w:t>
      </w:r>
      <w:r>
        <w:rPr>
          <w:rFonts w:ascii="Times New Roman" w:cs="Times New Roman" w:eastAsia="Times New Roman" w:hAnsi="Times New Roman"/>
          <w:sz w:val="16"/>
          <w:szCs w:val="16"/>
          <w:color w:val="auto"/>
        </w:rPr>
        <w:t>,” for each of the 30 consecutive Trading Days during the Observation Period, shall consist of:</w:t>
      </w:r>
    </w:p>
    <w:p>
      <w:pPr>
        <w:spacing w:after="0" w:line="200" w:lineRule="exact"/>
        <w:rPr>
          <w:sz w:val="20"/>
          <w:szCs w:val="20"/>
          <w:color w:val="auto"/>
        </w:rPr>
      </w:pPr>
    </w:p>
    <w:p>
      <w:pPr>
        <w:ind w:left="604" w:hanging="222"/>
        <w:spacing w:after="0"/>
        <w:tabs>
          <w:tab w:leader="none" w:pos="604"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in an amount equal to the lesser of (i) the Daily Measurement Value and (ii) the Daily Conversion Value on such Trading Day; and</w:t>
      </w:r>
    </w:p>
    <w:p>
      <w:pPr>
        <w:spacing w:after="0" w:line="198" w:lineRule="exact"/>
        <w:rPr>
          <w:rFonts w:ascii="Times New Roman" w:cs="Times New Roman" w:eastAsia="Times New Roman" w:hAnsi="Times New Roman"/>
          <w:sz w:val="16"/>
          <w:szCs w:val="16"/>
          <w:color w:val="auto"/>
        </w:rPr>
      </w:pPr>
    </w:p>
    <w:p>
      <w:pPr>
        <w:ind w:left="4" w:right="20" w:firstLine="378"/>
        <w:spacing w:after="0" w:line="280" w:lineRule="auto"/>
        <w:tabs>
          <w:tab w:leader="none" w:pos="612"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Daily Conversion Value on such Trading Day exceeds the Daily Measurement Value, a number of shares of Common Stock equal to (i) the difference between the Daily Conversion Value and the Daily Measurement Value, </w:t>
      </w:r>
      <w:r>
        <w:rPr>
          <w:rFonts w:ascii="Times New Roman" w:cs="Times New Roman" w:eastAsia="Times New Roman" w:hAnsi="Times New Roman"/>
          <w:sz w:val="16"/>
          <w:szCs w:val="16"/>
          <w:i w:val="1"/>
          <w:iCs w:val="1"/>
          <w:color w:val="auto"/>
        </w:rPr>
        <w:t>divided by</w:t>
      </w:r>
      <w:r>
        <w:rPr>
          <w:rFonts w:ascii="Times New Roman" w:cs="Times New Roman" w:eastAsia="Times New Roman" w:hAnsi="Times New Roman"/>
          <w:sz w:val="16"/>
          <w:szCs w:val="16"/>
          <w:color w:val="auto"/>
        </w:rPr>
        <w:t xml:space="preserve"> (ii) the Daily VWAP for such Trading Day.</w:t>
      </w:r>
    </w:p>
    <w:p>
      <w:pPr>
        <w:spacing w:after="0" w:line="142" w:lineRule="exact"/>
        <w:rPr>
          <w:sz w:val="20"/>
          <w:szCs w:val="20"/>
          <w:color w:val="auto"/>
        </w:rPr>
      </w:pPr>
    </w:p>
    <w:p>
      <w:pPr>
        <w:jc w:val="both"/>
        <w:ind w:left="4" w:firstLine="382"/>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Daily VWAP</w:t>
      </w:r>
      <w:r>
        <w:rPr>
          <w:rFonts w:ascii="Times New Roman" w:cs="Times New Roman" w:eastAsia="Times New Roman" w:hAnsi="Times New Roman"/>
          <w:sz w:val="16"/>
          <w:szCs w:val="16"/>
          <w:color w:val="auto"/>
        </w:rPr>
        <w:t>” means, for each of the 30 consecutive Trading Days during the relevant Observation Period, the per share volume-weighted average price as displayed under the heading “Bloomberg VWAP” on Bloomberg page “[●]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the Common Stock on such Trading Day reasonably determined, using a volume-weighted average method, by a nationally recognized independent investment banking firm retained for this purpose by the Company). The “</w:t>
      </w:r>
      <w:r>
        <w:rPr>
          <w:rFonts w:ascii="Times New Roman" w:cs="Times New Roman" w:eastAsia="Times New Roman" w:hAnsi="Times New Roman"/>
          <w:sz w:val="16"/>
          <w:szCs w:val="16"/>
          <w:b w:val="1"/>
          <w:bCs w:val="1"/>
          <w:color w:val="auto"/>
        </w:rPr>
        <w:t>Daily VWAP</w:t>
      </w:r>
      <w:r>
        <w:rPr>
          <w:rFonts w:ascii="Times New Roman" w:cs="Times New Roman" w:eastAsia="Times New Roman" w:hAnsi="Times New Roman"/>
          <w:sz w:val="16"/>
          <w:szCs w:val="16"/>
          <w:color w:val="auto"/>
        </w:rPr>
        <w:t>” shall be determined without regard to after-hours trading or any other trading outside of the regular trading session trading hours.</w:t>
      </w:r>
    </w:p>
    <w:p>
      <w:pPr>
        <w:spacing w:after="0" w:line="161"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Default</w:t>
      </w:r>
      <w:r>
        <w:rPr>
          <w:rFonts w:ascii="Times New Roman" w:cs="Times New Roman" w:eastAsia="Times New Roman" w:hAnsi="Times New Roman"/>
          <w:sz w:val="16"/>
          <w:szCs w:val="16"/>
          <w:color w:val="auto"/>
        </w:rPr>
        <w:t>” means any event that is, or after notice or passage of time, or both, would be, an Event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1790700"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216" w:lineRule="exact"/>
        <w:rPr>
          <w:sz w:val="20"/>
          <w:szCs w:val="20"/>
          <w:color w:val="auto"/>
        </w:rPr>
      </w:pPr>
    </w:p>
    <w:p>
      <w:pPr>
        <w:ind w:left="284" w:hanging="284"/>
        <w:spacing w:after="0"/>
        <w:tabs>
          <w:tab w:leader="none" w:pos="284"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NTD: Trustee to provide.</w:t>
      </w:r>
    </w:p>
    <w:p>
      <w:pPr>
        <w:spacing w:after="0" w:line="3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25" w:name="page26"/>
    <w:bookmarkEnd w:id="25"/>
    <w:p>
      <w:pPr>
        <w:jc w:val="both"/>
        <w:ind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Defaulted Amounts</w:t>
      </w:r>
      <w:r>
        <w:rPr>
          <w:rFonts w:ascii="Times New Roman" w:cs="Times New Roman" w:eastAsia="Times New Roman" w:hAnsi="Times New Roman"/>
          <w:sz w:val="16"/>
          <w:szCs w:val="16"/>
          <w:color w:val="auto"/>
        </w:rPr>
        <w:t>” means any amounts on any Note (including, without limitation, the Redemption Price, the Fundamental Change Repurchase Price, principal and interest) that are payable but are not punctually paid or duly provided for.</w:t>
      </w:r>
    </w:p>
    <w:p>
      <w:pPr>
        <w:spacing w:after="0" w:line="140" w:lineRule="exact"/>
        <w:rPr>
          <w:sz w:val="20"/>
          <w:szCs w:val="20"/>
          <w:color w:val="auto"/>
        </w:rPr>
      </w:pPr>
    </w:p>
    <w:p>
      <w:pPr>
        <w:jc w:val="both"/>
        <w:ind w:firstLine="382"/>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Default Settlement Method</w:t>
      </w:r>
      <w:r>
        <w:rPr>
          <w:rFonts w:ascii="Times New Roman" w:cs="Times New Roman" w:eastAsia="Times New Roman" w:hAnsi="Times New Roman"/>
          <w:sz w:val="16"/>
          <w:szCs w:val="16"/>
          <w:color w:val="auto"/>
        </w:rPr>
        <w:t xml:space="preserve">” means, initially, Combination Settlement with a Specified Dollar Amount of $1,000 per $1,000 principal amount of Notes;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the Company may, from time to time, change the Default Settlement Method by sending written notice of the new Default Settlement Method to the Holders, the Trustee and the Conversion Agent (if other than the Trustee); and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xml:space="preserve"> that the Company may, by notice to all Holders, the Trustee and the Conversion Agent (if other than the Trustee), irrevocably fix the Settlement Method (to any Settlement Method that it is then permitted to elect), that will apply to all Note conversions with a Conversion Date that is on or after the date the Company sends such notice. Notwithstanding the foregoing, no such change in the Default Settlement Method or irrevocable election will affect any Settlement Method theretofore elected (or deemed to be elected) with respect to any Note pursuant to </w:t>
      </w:r>
      <w:r>
        <w:rPr>
          <w:rFonts w:ascii="Times New Roman" w:cs="Times New Roman" w:eastAsia="Times New Roman" w:hAnsi="Times New Roman"/>
          <w:sz w:val="16"/>
          <w:szCs w:val="16"/>
          <w:u w:val="single" w:color="auto"/>
          <w:color w:val="auto"/>
        </w:rPr>
        <w:t>Section 14.02</w:t>
      </w:r>
      <w:r>
        <w:rPr>
          <w:rFonts w:ascii="Times New Roman" w:cs="Times New Roman" w:eastAsia="Times New Roman" w:hAnsi="Times New Roman"/>
          <w:sz w:val="16"/>
          <w:szCs w:val="16"/>
          <w:color w:val="auto"/>
        </w:rPr>
        <w:t xml:space="preserve">. Concurrently with sending written notice to all Holders, the Trustee and the Conversion Agent (if other than the Trustee) of a change in the Default Settlement Method or an election to irrevocably fix the Settlement Method, the Company shall promptly issue a report on Form 8-K or press release, which the Company shall post on its website, announcing that it has made such change to the Default Settlement Method or elected to irrevocably fix the Settlement Method, as the case may be. For the avoidance of doubt, such an irrevocable election, if made, will be effective without the need to amend this Indenture or the Notes, including pursuant to </w:t>
      </w:r>
      <w:r>
        <w:rPr>
          <w:rFonts w:ascii="Times New Roman" w:cs="Times New Roman" w:eastAsia="Times New Roman" w:hAnsi="Times New Roman"/>
          <w:sz w:val="16"/>
          <w:szCs w:val="16"/>
          <w:u w:val="single" w:color="auto"/>
          <w:color w:val="auto"/>
        </w:rPr>
        <w:t>Section 10.01(i)</w:t>
      </w:r>
      <w:r>
        <w:rPr>
          <w:rFonts w:ascii="Times New Roman" w:cs="Times New Roman" w:eastAsia="Times New Roman" w:hAnsi="Times New Roman"/>
          <w:sz w:val="16"/>
          <w:szCs w:val="16"/>
          <w:color w:val="auto"/>
        </w:rPr>
        <w:t>. However, the Company may nonetheless choose to execute such an amendment at its option.</w:t>
      </w:r>
    </w:p>
    <w:p>
      <w:pPr>
        <w:spacing w:after="0" w:line="169" w:lineRule="exact"/>
        <w:rPr>
          <w:sz w:val="20"/>
          <w:szCs w:val="20"/>
          <w:color w:val="auto"/>
        </w:rPr>
      </w:pPr>
    </w:p>
    <w:p>
      <w:pPr>
        <w:jc w:val="both"/>
        <w:ind w:right="20"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Depositary</w:t>
      </w:r>
      <w:r>
        <w:rPr>
          <w:rFonts w:ascii="Times New Roman" w:cs="Times New Roman" w:eastAsia="Times New Roman" w:hAnsi="Times New Roman"/>
          <w:sz w:val="16"/>
          <w:szCs w:val="16"/>
          <w:color w:val="auto"/>
        </w:rPr>
        <w:t>” means, with respect to each Global Note, the Person specified in Section 2.05(c) as the Depositary with respect to such Notes, until a successor shall have been appointed and become such pursuant to the applicable provisions of this Indenture, and thereafter, “</w:t>
      </w:r>
      <w:r>
        <w:rPr>
          <w:rFonts w:ascii="Times New Roman" w:cs="Times New Roman" w:eastAsia="Times New Roman" w:hAnsi="Times New Roman"/>
          <w:sz w:val="16"/>
          <w:szCs w:val="16"/>
          <w:b w:val="1"/>
          <w:bCs w:val="1"/>
          <w:color w:val="auto"/>
        </w:rPr>
        <w:t>Depositary</w:t>
      </w:r>
      <w:r>
        <w:rPr>
          <w:rFonts w:ascii="Times New Roman" w:cs="Times New Roman" w:eastAsia="Times New Roman" w:hAnsi="Times New Roman"/>
          <w:sz w:val="16"/>
          <w:szCs w:val="16"/>
          <w:color w:val="auto"/>
        </w:rPr>
        <w:t>” shall mean or include such successor.</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Designated Financial Institution</w:t>
      </w:r>
      <w:r>
        <w:rPr>
          <w:rFonts w:ascii="Times New Roman" w:cs="Times New Roman" w:eastAsia="Times New Roman" w:hAnsi="Times New Roman"/>
          <w:sz w:val="16"/>
          <w:szCs w:val="16"/>
          <w:color w:val="auto"/>
        </w:rPr>
        <w:t>” shall have the meaning specified in Section 14.12(a).</w:t>
      </w:r>
    </w:p>
    <w:p>
      <w:pPr>
        <w:spacing w:after="0" w:line="198"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Disqualified Capital Stock</w:t>
      </w:r>
      <w:r>
        <w:rPr>
          <w:rFonts w:ascii="Times New Roman" w:cs="Times New Roman" w:eastAsia="Times New Roman" w:hAnsi="Times New Roman"/>
          <w:sz w:val="16"/>
          <w:szCs w:val="16"/>
          <w:color w:val="auto"/>
        </w:rPr>
        <w:t xml:space="preserve">” means that portion of any Capital Stock which, by its terms (or by the terms of any security into which it is convertible or for which it is exchangeable at the option of the holder thereof) or upon the happening of any event, matures or is mandatorily redeemable (other than solely for Capital Stock in such Person that does not constitute Disqualified Capital Stock and cash in lieu of fractional shares of such Capital Stock), pursuant to a sinking fund obligation or otherwise, or is redeemable (other than solely for Capital Stock in such Person that does not constitute Disqualified Capital Stock and cash in lieu of fractional shares of such Capital Stock) at the sole option of the holder thereof, on or prior to the final maturity date of the Notes;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the Capital Stock in any Person is issued pursuant to any plan for the benefit of employees of the Company or any Subsidiary or by any such plan to such employees, such Capital Stock shall not constitute Disqualified Capital Stock solely because it may be required to be repurchased by the Company or any Subsidiary in order to satisfy applicable statutory or regulatory obligations of such Person.</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Distributed Property</w:t>
      </w:r>
      <w:r>
        <w:rPr>
          <w:rFonts w:ascii="Times New Roman" w:cs="Times New Roman" w:eastAsia="Times New Roman" w:hAnsi="Times New Roman"/>
          <w:sz w:val="16"/>
          <w:szCs w:val="16"/>
          <w:color w:val="auto"/>
        </w:rPr>
        <w:t>” shall have the meaning specified in Section 14.04(c).</w:t>
      </w:r>
    </w:p>
    <w:p>
      <w:pPr>
        <w:spacing w:after="0" w:line="198" w:lineRule="exact"/>
        <w:rPr>
          <w:sz w:val="20"/>
          <w:szCs w:val="20"/>
          <w:color w:val="auto"/>
        </w:rPr>
      </w:pPr>
    </w:p>
    <w:p>
      <w:pPr>
        <w:jc w:val="both"/>
        <w:ind w:right="20" w:firstLine="382"/>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Domestic Subsidiary</w:t>
      </w:r>
      <w:r>
        <w:rPr>
          <w:rFonts w:ascii="Times New Roman" w:cs="Times New Roman" w:eastAsia="Times New Roman" w:hAnsi="Times New Roman"/>
          <w:sz w:val="16"/>
          <w:szCs w:val="16"/>
          <w:color w:val="auto"/>
        </w:rPr>
        <w:t>” means any Subsidiary of the Company that is organized under the laws of the United States of America or any state thereof or the District of Columbia and any Subsidiary of such Domestic Subsidiary (including, for the avoidance of doubt, any Subsidiary of the Company which is organized and existing under the laws of Puerto Rico or any other territory of the United States of America).</w:t>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EBITDA</w:t>
      </w:r>
      <w:r>
        <w:rPr>
          <w:rFonts w:ascii="Times New Roman" w:cs="Times New Roman" w:eastAsia="Times New Roman" w:hAnsi="Times New Roman"/>
          <w:sz w:val="16"/>
          <w:szCs w:val="16"/>
          <w:color w:val="auto"/>
        </w:rPr>
        <w:t>” means earnings before interest, taxes, depreciation and amortization.</w:t>
      </w:r>
    </w:p>
    <w:p>
      <w:pPr>
        <w:spacing w:after="0" w:line="198" w:lineRule="exact"/>
        <w:rPr>
          <w:sz w:val="20"/>
          <w:szCs w:val="20"/>
          <w:color w:val="auto"/>
        </w:rPr>
      </w:pPr>
    </w:p>
    <w:p>
      <w:pPr>
        <w:jc w:val="both"/>
        <w:ind w:right="20" w:firstLine="382"/>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Effective Date</w:t>
      </w:r>
      <w:r>
        <w:rPr>
          <w:rFonts w:ascii="Times New Roman" w:cs="Times New Roman" w:eastAsia="Times New Roman" w:hAnsi="Times New Roman"/>
          <w:sz w:val="16"/>
          <w:szCs w:val="16"/>
          <w:color w:val="auto"/>
        </w:rPr>
        <w:t>” shall have the meaning specified in Section 14.03(c), except that, as used in Section 14.04 and Section 14.05, “</w:t>
      </w:r>
      <w:r>
        <w:rPr>
          <w:rFonts w:ascii="Times New Roman" w:cs="Times New Roman" w:eastAsia="Times New Roman" w:hAnsi="Times New Roman"/>
          <w:sz w:val="16"/>
          <w:szCs w:val="16"/>
          <w:b w:val="1"/>
          <w:bCs w:val="1"/>
          <w:color w:val="auto"/>
        </w:rPr>
        <w:t>Effective Date</w:t>
      </w:r>
      <w:r>
        <w:rPr>
          <w:rFonts w:ascii="Times New Roman" w:cs="Times New Roman" w:eastAsia="Times New Roman" w:hAnsi="Times New Roman"/>
          <w:sz w:val="16"/>
          <w:szCs w:val="16"/>
          <w:color w:val="auto"/>
        </w:rPr>
        <w:t>” means the first date on which shares of the Common Stock trade on the applicable exchange or in the applicable market, regular way, reflecting the relevant share split or share combination, as applicable. For the avoidance of doubt, any alternative trading convention on the applicable exchange or market in respect of shares of Common Stock under a separate ticker symbol or CUSIP number will not be considered “regular way” for this purpose.</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Eligible Market</w:t>
      </w:r>
      <w:r>
        <w:rPr>
          <w:rFonts w:ascii="Times New Roman" w:cs="Times New Roman" w:eastAsia="Times New Roman" w:hAnsi="Times New Roman"/>
          <w:sz w:val="16"/>
          <w:szCs w:val="16"/>
          <w:color w:val="auto"/>
        </w:rPr>
        <w:t>” means The New York Stock Exchange or The Nasdaq Stock Market.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6" w:name="page27"/>
    <w:bookmarkEnd w:id="26"/>
    <w:p>
      <w:pPr>
        <w:jc w:val="both"/>
        <w:ind w:firstLine="382"/>
        <w:spacing w:after="0" w:line="25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Equity Conditions</w:t>
      </w:r>
      <w:r>
        <w:rPr>
          <w:rFonts w:ascii="Times New Roman" w:cs="Times New Roman" w:eastAsia="Times New Roman" w:hAnsi="Times New Roman"/>
          <w:sz w:val="16"/>
          <w:szCs w:val="16"/>
          <w:color w:val="auto"/>
        </w:rPr>
        <w:t>” means, with respect to a given date of determination: (i) on each day during the period beginning 30 days prior to such applicable date of determination and ending on and including such applicable date of determination (the “</w:t>
      </w:r>
      <w:r>
        <w:rPr>
          <w:rFonts w:ascii="Times New Roman" w:cs="Times New Roman" w:eastAsia="Times New Roman" w:hAnsi="Times New Roman"/>
          <w:sz w:val="16"/>
          <w:szCs w:val="16"/>
          <w:b w:val="1"/>
          <w:bCs w:val="1"/>
          <w:color w:val="auto"/>
        </w:rPr>
        <w:t>Equity Conditions Measuring Period</w:t>
      </w:r>
      <w:r>
        <w:rPr>
          <w:rFonts w:ascii="Times New Roman" w:cs="Times New Roman" w:eastAsia="Times New Roman" w:hAnsi="Times New Roman"/>
          <w:sz w:val="16"/>
          <w:szCs w:val="16"/>
          <w:color w:val="auto"/>
        </w:rPr>
        <w:t>”) either (x) one or more registration statements filed with the Commission shall be effective and the prospectus contained therein shall be available on such applicable date of determination (with, for the avoidance of doubt, any shares of Common Stock previously sold pursuant to such prospectus deemed unavailable) for the resale of all shares of Common Stock to be issued in connection with the event requiring this determination (without regard to any limitations on conversion set forth herein) (a “</w:t>
      </w:r>
      <w:r>
        <w:rPr>
          <w:rFonts w:ascii="Times New Roman" w:cs="Times New Roman" w:eastAsia="Times New Roman" w:hAnsi="Times New Roman"/>
          <w:sz w:val="16"/>
          <w:szCs w:val="16"/>
          <w:b w:val="1"/>
          <w:bCs w:val="1"/>
          <w:color w:val="auto"/>
        </w:rPr>
        <w:t>Required Minimum Securities Amount</w:t>
      </w:r>
      <w:r>
        <w:rPr>
          <w:rFonts w:ascii="Times New Roman" w:cs="Times New Roman" w:eastAsia="Times New Roman" w:hAnsi="Times New Roman"/>
          <w:sz w:val="16"/>
          <w:szCs w:val="16"/>
          <w:color w:val="auto"/>
        </w:rPr>
        <w:t xml:space="preserve">”) or (y) all shares of Common Stock issuable upon conversion of the applicable Notes shall be eligible for sale pursuant to Rule 144 of the Securities Act, and the Company is then current with its required filings with the Commission; (ii) on each day during the Equity Conditions Measuring Period, the Common Stock (including all shares of Common Stock issued or issuable upon conversion of the Notes) is listed or designated for quotation (as applicable) on an Eligible Market and shall not have been suspended from trading on an Eligible Market (other than suspensions of not more than two days and occurring prior to the applicable date of determination due to business announcements by the Company) nor shall delisting or suspension by an Eligible Market have been threatened (with a reasonable prospect of delisting occurring after giving effect to all applicable notice, appeal, compliance and hearing periods) or reasonably likely to occur or pending as evidenced by (A) a writing by such Eligible Market or (B) the Company falling below the minimum listing maintenance requirements of the Eligible Market on which the Common Stock is then listed or designated for quotation, as applicable; (iii) during the Equity Conditions Measuring Period, the Company shall have delivered all shares of Common Stock issuable upon conversion of the Notes on a timely basis in accordance herewith and to the extent required hereby and to the extent required by any other Transaction Document; (iv) any shares of Common Stock to be issued in connection with the event requiring determination (or issuable upon conversion of the portion of the Notes being redeemed in the event requiring this determination (without regards to any limitations on conversion set forth herein)) may be issued in full without violating the rules or regulations of the Eligible Market on which the Common Stock is then listed or designated for quotation (as applicable); (v) on each day during the Equity Conditions Measuring Period, no public announcement of a pending, proposed or intended Fundamental Change shall have occurred which has not been abandoned, terminated or consummated; (vi) the Company shall have no knowledge of any fact that would reasonably be expected to cause (1) any registration statement filed with the Commission to not be effective or the prospectus contained therein to not be available, in each case, for the resale of the applicable Required Minimum Securities Amount of all shares of Common Stock issuable upon conversion of the applicable Notes in accordance with the terms of the Subscription Agreement or (2) any shares of Common Stock issuable upon conversion of the applicable Notes to not be eligible for sale pursuant to Rule 144, (vii) on each Trading Day during the Equity Conditions Measuring Period there shall not have occurred any Volume Failure as of such applicable date of determination; (viii) on the applicable date of determination all shares of Common Stock to be issued in connection with the event requiring this determination (or issuable upon conversion of the portion of this Note being redeemed in the event requiring this determination (without regards to any limitations on conversion set forth herein)) may be issued in full from the authorized and available shares of Common Stock of the Company; (ix) on each day during the Equity Conditions Measuring Period, there shall not have occurred and there shall not exist an Event of Default or an event that with the passage of time or giving of notice would constitute an Event of Default; (x) the shares of Common Stock issuable pursuant to the event requiring the satisfaction of the Equity Conditions are duly authorized and will be listed and eligible upon issuance for trading on an Eligible Market; (xi) no Holder shall be in possession of any material, non-public information provided to any of them by the Company, any of its Subsidiaries or any of their respective affiliates, employees, officers, representatives, agents or the like;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however that the foregoing shall not apply to information provided to any individual serving as a member of the board of directors or as a board observer in the course of such individual’s status as a director or board observer; or (xii) the Company shall not have failed to make any payment due pursuant to any Transaction Document which failure remains incurred as of the Mandatory Conversion Date.</w:t>
      </w:r>
    </w:p>
    <w:p>
      <w:pPr>
        <w:spacing w:after="0" w:line="177" w:lineRule="exact"/>
        <w:rPr>
          <w:sz w:val="20"/>
          <w:szCs w:val="20"/>
          <w:color w:val="auto"/>
        </w:rPr>
      </w:pPr>
    </w:p>
    <w:p>
      <w:pPr>
        <w:jc w:val="both"/>
        <w:ind w:right="20"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Equity Conditions Failure</w:t>
      </w:r>
      <w:r>
        <w:rPr>
          <w:rFonts w:ascii="Times New Roman" w:cs="Times New Roman" w:eastAsia="Times New Roman" w:hAnsi="Times New Roman"/>
          <w:sz w:val="16"/>
          <w:szCs w:val="16"/>
          <w:color w:val="auto"/>
        </w:rPr>
        <w:t>” means, with respect to any date of determination, the Equity Conditions have not been satisfied (or waived in writing by the applicable Holder).</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Equity Conditions Measuring Period</w:t>
      </w:r>
      <w:r>
        <w:rPr>
          <w:rFonts w:ascii="Times New Roman" w:cs="Times New Roman" w:eastAsia="Times New Roman" w:hAnsi="Times New Roman"/>
          <w:sz w:val="16"/>
          <w:szCs w:val="16"/>
          <w:color w:val="auto"/>
        </w:rPr>
        <w:t>” shall have the meaning specified in the definition of “</w:t>
      </w:r>
      <w:r>
        <w:rPr>
          <w:rFonts w:ascii="Times New Roman" w:cs="Times New Roman" w:eastAsia="Times New Roman" w:hAnsi="Times New Roman"/>
          <w:sz w:val="16"/>
          <w:szCs w:val="16"/>
          <w:b w:val="1"/>
          <w:bCs w:val="1"/>
          <w:color w:val="auto"/>
        </w:rPr>
        <w:t>Equity Conditions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Equity Interests</w:t>
      </w:r>
      <w:r>
        <w:rPr>
          <w:rFonts w:ascii="Times New Roman" w:cs="Times New Roman" w:eastAsia="Times New Roman" w:hAnsi="Times New Roman"/>
          <w:sz w:val="16"/>
          <w:szCs w:val="16"/>
          <w:color w:val="auto"/>
        </w:rPr>
        <w:t>” means Capital Stock and all warrants, options or other rights to acquire Capital Stock (but excluding any debt security that is convertible into, or exchangeable for Capital Stock).</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7" w:name="page28"/>
    <w:bookmarkEnd w:id="27"/>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Event of Default</w:t>
      </w:r>
      <w:r>
        <w:rPr>
          <w:rFonts w:ascii="Times New Roman" w:cs="Times New Roman" w:eastAsia="Times New Roman" w:hAnsi="Times New Roman"/>
          <w:sz w:val="16"/>
          <w:szCs w:val="16"/>
          <w:color w:val="auto"/>
        </w:rPr>
        <w:t>” shall have the meaning specified in Section 6.01.</w:t>
      </w:r>
    </w:p>
    <w:p>
      <w:pPr>
        <w:spacing w:after="0" w:line="198" w:lineRule="exact"/>
        <w:rPr>
          <w:sz w:val="20"/>
          <w:szCs w:val="20"/>
          <w:color w:val="auto"/>
        </w:rPr>
      </w:pPr>
    </w:p>
    <w:p>
      <w:pPr>
        <w:jc w:val="both"/>
        <w:ind w:firstLine="382"/>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Ex-Dividend Date</w:t>
      </w:r>
      <w:r>
        <w:rPr>
          <w:rFonts w:ascii="Times New Roman" w:cs="Times New Roman" w:eastAsia="Times New Roman" w:hAnsi="Times New Roman"/>
          <w:sz w:val="16"/>
          <w:szCs w:val="16"/>
          <w:color w:val="auto"/>
        </w:rPr>
        <w:t>” means the first date on which shares of the Common Stock trade on the applicable exchange or in the applicable market, regular way, without the right to receive the issuance, dividend or distribution in question, from the Company or, if applicable, from the seller of Common Stock on such exchange or market (in the form of due bills or otherwise) as determined by such exchange or market.</w:t>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Exchange Act</w:t>
      </w:r>
      <w:r>
        <w:rPr>
          <w:rFonts w:ascii="Times New Roman" w:cs="Times New Roman" w:eastAsia="Times New Roman" w:hAnsi="Times New Roman"/>
          <w:sz w:val="16"/>
          <w:szCs w:val="16"/>
          <w:color w:val="auto"/>
        </w:rPr>
        <w:t>” means the Securities Exchange Act of 1934, as amended, and the rules and regulations promulgated thereunder.</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Exchange Election</w:t>
      </w:r>
      <w:r>
        <w:rPr>
          <w:rFonts w:ascii="Times New Roman" w:cs="Times New Roman" w:eastAsia="Times New Roman" w:hAnsi="Times New Roman"/>
          <w:sz w:val="16"/>
          <w:szCs w:val="16"/>
          <w:color w:val="auto"/>
        </w:rPr>
        <w:t>” shall have the meaning specified in Section 14.12(a).</w:t>
      </w:r>
    </w:p>
    <w:p>
      <w:pPr>
        <w:spacing w:after="0" w:line="198" w:lineRule="exact"/>
        <w:rPr>
          <w:sz w:val="20"/>
          <w:szCs w:val="20"/>
          <w:color w:val="auto"/>
        </w:rPr>
      </w:pPr>
    </w:p>
    <w:p>
      <w:pPr>
        <w:jc w:val="both"/>
        <w:ind w:firstLine="382"/>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Fair Market Value</w:t>
      </w:r>
      <w:r>
        <w:rPr>
          <w:rFonts w:ascii="Times New Roman" w:cs="Times New Roman" w:eastAsia="Times New Roman" w:hAnsi="Times New Roman"/>
          <w:sz w:val="16"/>
          <w:szCs w:val="16"/>
          <w:color w:val="auto"/>
        </w:rPr>
        <w:t xml:space="preserve">” value of such asset or liability as determined by senior management in good faith;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except as otherwise provided in this Indenture, if the fair market value exceeds $1.0 million, such determination shall be made by the Board of Directors of the Company or an authorized committee thereof in good faith (including as to the value of all non-cash assets and liabilities).</w:t>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Form of Assignment and Transfer</w:t>
      </w:r>
      <w:r>
        <w:rPr>
          <w:rFonts w:ascii="Times New Roman" w:cs="Times New Roman" w:eastAsia="Times New Roman" w:hAnsi="Times New Roman"/>
          <w:sz w:val="16"/>
          <w:szCs w:val="16"/>
          <w:color w:val="auto"/>
        </w:rPr>
        <w:t>” means the “Form of Assignment and Transfer” attached as Attachment 3 to the Form of Note attached hereto as Exhibit A.</w:t>
      </w:r>
    </w:p>
    <w:p>
      <w:pPr>
        <w:spacing w:after="0" w:line="198" w:lineRule="exact"/>
        <w:rPr>
          <w:sz w:val="20"/>
          <w:szCs w:val="20"/>
          <w:color w:val="auto"/>
        </w:rPr>
      </w:pPr>
    </w:p>
    <w:p>
      <w:pPr>
        <w:jc w:val="both"/>
        <w:ind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Form of Fundamental Change Repurchase Notice</w:t>
      </w:r>
      <w:r>
        <w:rPr>
          <w:rFonts w:ascii="Times New Roman" w:cs="Times New Roman" w:eastAsia="Times New Roman" w:hAnsi="Times New Roman"/>
          <w:sz w:val="16"/>
          <w:szCs w:val="16"/>
          <w:color w:val="auto"/>
        </w:rPr>
        <w:t>” means the “Form of Fundamental Change Repurchase Notice” attached as Attachment 2 to the Form of Note attached hereto as Exhibit A.</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Form of Note</w:t>
      </w:r>
      <w:r>
        <w:rPr>
          <w:rFonts w:ascii="Times New Roman" w:cs="Times New Roman" w:eastAsia="Times New Roman" w:hAnsi="Times New Roman"/>
          <w:sz w:val="16"/>
          <w:szCs w:val="16"/>
          <w:color w:val="auto"/>
        </w:rPr>
        <w:t>” means the “Form of Note” attached hereto as Exhibit A.</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Form of Notice of Conversion</w:t>
      </w:r>
      <w:r>
        <w:rPr>
          <w:rFonts w:ascii="Times New Roman" w:cs="Times New Roman" w:eastAsia="Times New Roman" w:hAnsi="Times New Roman"/>
          <w:sz w:val="16"/>
          <w:szCs w:val="16"/>
          <w:color w:val="auto"/>
        </w:rPr>
        <w:t>” means the “Form of Notice of Conversion” attached as Attachment 1 to the Form of Note attached hereto as Exhibit A.</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Fundamental Change</w:t>
      </w:r>
      <w:r>
        <w:rPr>
          <w:rFonts w:ascii="Times New Roman" w:cs="Times New Roman" w:eastAsia="Times New Roman" w:hAnsi="Times New Roman"/>
          <w:sz w:val="16"/>
          <w:szCs w:val="16"/>
          <w:color w:val="auto"/>
        </w:rPr>
        <w:t>” shall be deemed to have occurred at the time after the Notes are originally issued if any of the following occurs:</w:t>
      </w:r>
    </w:p>
    <w:p>
      <w:pPr>
        <w:spacing w:after="0" w:line="200" w:lineRule="exact"/>
        <w:rPr>
          <w:sz w:val="20"/>
          <w:szCs w:val="20"/>
          <w:color w:val="auto"/>
        </w:rPr>
      </w:pPr>
    </w:p>
    <w:p>
      <w:pPr>
        <w:jc w:val="both"/>
        <w:ind w:left="380" w:firstLine="380"/>
        <w:spacing w:after="0" w:line="253" w:lineRule="auto"/>
        <w:tabs>
          <w:tab w:leader="none" w:pos="1026"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“person” or “group” within the meaning of Section 13(d) of the Exchange Act, other than the Company, its direct or indirect Wholly Owned Subsidiaries and the employee benefit plans of the Company and its Wholly Owned Subsidiaries, has become the direct or indirect “beneficial owner,” as defined in Rule 13d-3 under the Exchange Act, of Common Stock of the Company representing more than 50% of the voting power of the Common Stock of the Company and has filed a Schedule TO (or any successor schedule, form or report) or any schedule, form or report under the Exchange Act that discloses such fact, unless such beneficial ownership arises solely as a result of a revocable proxy delivered in response to a public proxy or consent solicitation made pursuant to the applicable rules and regulations under the Exchange Act and is not also then reportable on Schedule 13D or Schedule 13G (or any successor schedule) under the Exchange Act;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 person or group shall be deemed to be the beneficial owner of any securities tendered pursuant to a tender or exchange offer made by or on behalf of such person or group until such tendered securities are accepted for purchase or exchange under such offer;</w:t>
      </w:r>
    </w:p>
    <w:p>
      <w:pPr>
        <w:spacing w:after="0" w:line="169" w:lineRule="exact"/>
        <w:rPr>
          <w:rFonts w:ascii="Times New Roman" w:cs="Times New Roman" w:eastAsia="Times New Roman" w:hAnsi="Times New Roman"/>
          <w:sz w:val="16"/>
          <w:szCs w:val="16"/>
          <w:color w:val="auto"/>
        </w:rPr>
      </w:pPr>
    </w:p>
    <w:p>
      <w:pPr>
        <w:jc w:val="both"/>
        <w:ind w:left="380" w:firstLine="380"/>
        <w:spacing w:after="0" w:line="252" w:lineRule="auto"/>
        <w:tabs>
          <w:tab w:leader="none" w:pos="10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consummation of (A) any recapitalization, reclassification or change of the Common Stock (other than a change to par value or from par value to no par value or changes resulting from a subdivision or combination) as a result of which the Common Stock would be converted into, or exchanged for, stock, other securities, other property or assets; (B) any share exchange, consolidation or merger of the Company pursuant to which the Common Stock will be converted into cash, securities or other property or assets; or (C) any sale, lease or other transfer in one transaction or a series of transactions of all or substantially all of the consolidated assets of the Company and its Subsidiaries, taken as a whole, to any Person other than one or more of the Company’s direct or indirect Wholly Owned Subsidiaries;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neither (i) a transaction described in clause (A) or clause (B) in which the holders of all classes of the Company’s Common Equity immediately prior to such transaction own, directly or indirectly, more than 50% of all classes of Common Equity of the continuing or surviving corporation or transferee or the direct or indirect parent thereof immediately after such transaction in substantially the same proportions (relative to each other) as such ownership immediately prior to such transaction nor (ii) any merger of the Company solely for the purpose of change its jurisdiction of incorporation that results in a reclassification, conversion or exchange of outstanding shares of Common Stock solely into shares of common stock of the surviving entity shall, in each case, be a Fundamental Change pursuant to this clause (b);</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28" w:name="page29"/>
    <w:bookmarkEnd w:id="28"/>
    <w:p>
      <w:pPr>
        <w:ind w:left="1020" w:hanging="260"/>
        <w:spacing w:after="0"/>
        <w:tabs>
          <w:tab w:leader="none" w:pos="10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stockholders of the Company approve any plan or proposal for the liquidation or dissolution of the Company; or</w:t>
      </w:r>
    </w:p>
    <w:p>
      <w:pPr>
        <w:spacing w:after="0" w:line="198" w:lineRule="exact"/>
        <w:rPr>
          <w:rFonts w:ascii="Times New Roman" w:cs="Times New Roman" w:eastAsia="Times New Roman" w:hAnsi="Times New Roman"/>
          <w:sz w:val="16"/>
          <w:szCs w:val="16"/>
          <w:color w:val="auto"/>
        </w:rPr>
      </w:pPr>
    </w:p>
    <w:p>
      <w:pPr>
        <w:ind w:left="380" w:right="20" w:firstLine="380"/>
        <w:spacing w:after="0" w:line="280" w:lineRule="auto"/>
        <w:tabs>
          <w:tab w:leader="none" w:pos="99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Common Stock (or other common stock underlying the Notes) ceases to be listed or quoted on any Eligible Market and is not listed or quoted on an Eligible Market within one Trading Day of such cessation;</w:t>
      </w:r>
    </w:p>
    <w:p>
      <w:pPr>
        <w:spacing w:after="0" w:line="14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however</w:t>
      </w:r>
      <w:r>
        <w:rPr>
          <w:rFonts w:ascii="Times New Roman" w:cs="Times New Roman" w:eastAsia="Times New Roman" w:hAnsi="Times New Roman"/>
          <w:sz w:val="16"/>
          <w:szCs w:val="16"/>
          <w:color w:val="auto"/>
        </w:rPr>
        <w:t>, that a transaction or transactions described in clause (a) or clause (b) above shall not constitute a Fundamental Change, if at least 90% of the consideration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received or to be received by the common stockholders of the Company, excluding cash payments for fractional shares and cash payments made in respect of dissenters’ appraisal rights, in connection with such transaction or transactions consists of shares of common stock that are listed or quoted on any Eligible Market or will be so listed or quoted when issued or exchanged in connection with such transaction or transactions and as a result of such transaction or transactions such consideration, excluding cash payments for fractional shares and cash payments made in respect of dissenters’ appraisal rights (subject to the provisions of Section 14.02(a), Section 14.04 and Section 14.03) becomes Reference Property for the Notes. If any transaction in which the Common Stock is replaced by the securities of another entity occurs, following completion of any related Make-Whole Fundamental Change Period (or, in the case of a transaction that would have been a Fundamental Change or a Make-Whole Fundamental Change but for the proviso immediately following clause (d) of this definition, following the effective date of such transaction) references to the Company in this definition shall instead be references to such other entity.</w:t>
      </w:r>
    </w:p>
    <w:p>
      <w:pPr>
        <w:spacing w:after="0" w:line="168"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For purposes of this definition, any transaction that constitutes a Fundamental Change pursuant to both clause (a) and clause (b) of this definition (without regard to the proviso in clause (2)) shall be deemed a Fundamental Change solely under clause (2) of such definition (subject to such proviso).</w:t>
      </w:r>
    </w:p>
    <w:p>
      <w:pPr>
        <w:spacing w:after="0" w:line="14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Fundamental Change Company Notice</w:t>
      </w:r>
      <w:r>
        <w:rPr>
          <w:rFonts w:ascii="Times New Roman" w:cs="Times New Roman" w:eastAsia="Times New Roman" w:hAnsi="Times New Roman"/>
          <w:sz w:val="16"/>
          <w:szCs w:val="16"/>
          <w:color w:val="auto"/>
        </w:rPr>
        <w:t>” shall have the meaning specified in Section 15.02(c).</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Fundamental Change Repurchase Date</w:t>
      </w:r>
      <w:r>
        <w:rPr>
          <w:rFonts w:ascii="Times New Roman" w:cs="Times New Roman" w:eastAsia="Times New Roman" w:hAnsi="Times New Roman"/>
          <w:sz w:val="16"/>
          <w:szCs w:val="16"/>
          <w:color w:val="auto"/>
        </w:rPr>
        <w:t>” shall have the meaning specified in Section 15.02(a).</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Fundamental Change Repurchase Notice</w:t>
      </w:r>
      <w:r>
        <w:rPr>
          <w:rFonts w:ascii="Times New Roman" w:cs="Times New Roman" w:eastAsia="Times New Roman" w:hAnsi="Times New Roman"/>
          <w:sz w:val="16"/>
          <w:szCs w:val="16"/>
          <w:color w:val="auto"/>
        </w:rPr>
        <w:t>” shall have the meaning specified in Section 15.02(b)(i).</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Fundamental Change Repurchase Price</w:t>
      </w:r>
      <w:r>
        <w:rPr>
          <w:rFonts w:ascii="Times New Roman" w:cs="Times New Roman" w:eastAsia="Times New Roman" w:hAnsi="Times New Roman"/>
          <w:sz w:val="16"/>
          <w:szCs w:val="16"/>
          <w:color w:val="auto"/>
        </w:rPr>
        <w:t>” shall have the meaning specified in Section 15.02(a).</w:t>
      </w:r>
    </w:p>
    <w:p>
      <w:pPr>
        <w:spacing w:after="0" w:line="198"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6"/>
          <w:szCs w:val="16"/>
          <w:color w:val="auto"/>
        </w:rPr>
        <w:t>The terms “</w:t>
      </w:r>
      <w:r>
        <w:rPr>
          <w:rFonts w:ascii="Times New Roman" w:cs="Times New Roman" w:eastAsia="Times New Roman" w:hAnsi="Times New Roman"/>
          <w:sz w:val="16"/>
          <w:szCs w:val="16"/>
          <w:b w:val="1"/>
          <w:bCs w:val="1"/>
          <w:color w:val="auto"/>
        </w:rPr>
        <w:t>given</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mailed</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notify,</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delivered</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sent</w:t>
      </w:r>
      <w:r>
        <w:rPr>
          <w:rFonts w:ascii="Times New Roman" w:cs="Times New Roman" w:eastAsia="Times New Roman" w:hAnsi="Times New Roman"/>
          <w:sz w:val="16"/>
          <w:szCs w:val="16"/>
          <w:color w:val="auto"/>
        </w:rPr>
        <w:t>” with respect to any notice to be given to a Holder pursuant to this Indenture, including in circumstances pursuant to which such notice must be “written,” shall mean notice (x) given to the Depositary (or its designee) pursuant to the standing instructions from the Depositary or its designee, including by electronic mail in accordance with accepted practices or procedures at the Depositary (in the case of a Global Note) or (y) mailed to such Holder by first class mail, postage prepaid, at its address as it appears on the Note Register (in the case of a Physical Note), in each case, in accordance with Section 18.03. Notice so “given” shall be deemed to include any notice to be “mailed” or “delivered,” as applicable, under this Indenture.</w:t>
      </w:r>
    </w:p>
    <w:p>
      <w:pPr>
        <w:spacing w:after="0" w:line="162" w:lineRule="exact"/>
        <w:rPr>
          <w:sz w:val="20"/>
          <w:szCs w:val="20"/>
          <w:color w:val="auto"/>
        </w:rPr>
      </w:pPr>
    </w:p>
    <w:p>
      <w:pPr>
        <w:jc w:val="both"/>
        <w:ind w:firstLine="382"/>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GAAP</w:t>
      </w:r>
      <w:r>
        <w:rPr>
          <w:rFonts w:ascii="Times New Roman" w:cs="Times New Roman" w:eastAsia="Times New Roman" w:hAnsi="Times New Roman"/>
          <w:sz w:val="16"/>
          <w:szCs w:val="16"/>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which are in effect as of the Issue Date.</w:t>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Global Note</w:t>
      </w:r>
      <w:r>
        <w:rPr>
          <w:rFonts w:ascii="Times New Roman" w:cs="Times New Roman" w:eastAsia="Times New Roman" w:hAnsi="Times New Roman"/>
          <w:sz w:val="16"/>
          <w:szCs w:val="16"/>
          <w:color w:val="auto"/>
        </w:rPr>
        <w:t>” shall have the meaning specified in Section 2.05(b).</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Guarantee</w:t>
      </w:r>
      <w:r>
        <w:rPr>
          <w:rFonts w:ascii="Times New Roman" w:cs="Times New Roman" w:eastAsia="Times New Roman" w:hAnsi="Times New Roman"/>
          <w:sz w:val="16"/>
          <w:szCs w:val="16"/>
          <w:color w:val="auto"/>
        </w:rPr>
        <w:t>” means a guarantee by a Guarantor of the Company’s obligations under this Indenture.</w:t>
      </w:r>
    </w:p>
    <w:p>
      <w:pPr>
        <w:spacing w:after="0" w:line="198" w:lineRule="exact"/>
        <w:rPr>
          <w:sz w:val="20"/>
          <w:szCs w:val="20"/>
          <w:color w:val="auto"/>
        </w:rPr>
      </w:pPr>
    </w:p>
    <w:p>
      <w:pPr>
        <w:jc w:val="both"/>
        <w:ind w:right="20" w:firstLine="382"/>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Guarantor</w:t>
      </w:r>
      <w:r>
        <w:rPr>
          <w:rFonts w:ascii="Times New Roman" w:cs="Times New Roman" w:eastAsia="Times New Roman" w:hAnsi="Times New Roman"/>
          <w:sz w:val="16"/>
          <w:szCs w:val="16"/>
          <w:color w:val="auto"/>
        </w:rPr>
        <w:t>” means each Domestic Subsidiary of the Company that is a guarantor of the Notes, including any Person that is required after the Issue Date to execute a Guarantee of the Notes pursuant to Section 4.14; provided that any Person constituting a Guarantor as described above shall cease to constitute a Guarantor when its respective Guarantee is released in accordance with the terms of this Indenture. On the Issue Date, each Domestic Subsidiary of the Company shall be a Guarantor.</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9" w:name="page30"/>
    <w:bookmarkEnd w:id="29"/>
    <w:p>
      <w:pPr>
        <w:jc w:val="both"/>
        <w:ind w:firstLine="382"/>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Hedging Agreement</w:t>
      </w:r>
      <w:r>
        <w:rPr>
          <w:rFonts w:ascii="Times New Roman" w:cs="Times New Roman" w:eastAsia="Times New Roman" w:hAnsi="Times New Roman"/>
          <w:sz w:val="16"/>
          <w:szCs w:val="16"/>
          <w:color w:val="auto"/>
        </w:rPr>
        <w:t>” means any rate swap agreement, forward rate agreement, commodity swap, commodity option, interest rate option, forward foreign exchange agreement, spot foreign exchange agreement, rate cap agreement, rate floor agreement, rate collar agreement, currency swap agreement, cross-currency rate swap agreement, currency option and any other similar agreement entered into for the purposes of hedging risks of currency, interest, or commodity price fluctuations or similar matters, or any indemnity agreements and arrangements entered into in connection therewith, in each case, as the same may be amended, restated, supplemented, or otherwise modified from time to time.</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Hedging Obligations</w:t>
      </w:r>
      <w:r>
        <w:rPr>
          <w:rFonts w:ascii="Times New Roman" w:cs="Times New Roman" w:eastAsia="Times New Roman" w:hAnsi="Times New Roman"/>
          <w:sz w:val="16"/>
          <w:szCs w:val="16"/>
          <w:color w:val="auto"/>
        </w:rPr>
        <w:t>” means, with respect to any Person, the obligations of such Person under a Hedging Agreement.</w:t>
      </w:r>
    </w:p>
    <w:p>
      <w:pPr>
        <w:spacing w:after="0" w:line="198" w:lineRule="exact"/>
        <w:rPr>
          <w:sz w:val="20"/>
          <w:szCs w:val="20"/>
          <w:color w:val="auto"/>
        </w:rPr>
      </w:pPr>
    </w:p>
    <w:p>
      <w:pPr>
        <w:jc w:val="both"/>
        <w:ind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Holder</w:t>
      </w:r>
      <w:r>
        <w:rPr>
          <w:rFonts w:ascii="Times New Roman" w:cs="Times New Roman" w:eastAsia="Times New Roman" w:hAnsi="Times New Roman"/>
          <w:sz w:val="16"/>
          <w:szCs w:val="16"/>
          <w:color w:val="auto"/>
        </w:rPr>
        <w:t>,” as applied to any Note, or other similar terms (but excluding the term “beneficial holder”), means any Person in whose name at the time a particular Note is registered on the Note Register.</w:t>
      </w:r>
    </w:p>
    <w:p>
      <w:pPr>
        <w:spacing w:after="0" w:line="140" w:lineRule="exact"/>
        <w:rPr>
          <w:sz w:val="20"/>
          <w:szCs w:val="20"/>
          <w:color w:val="auto"/>
        </w:rPr>
      </w:pPr>
    </w:p>
    <w:p>
      <w:pPr>
        <w:jc w:val="both"/>
        <w:ind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Horizon Revolving Credit Facility</w:t>
      </w:r>
      <w:r>
        <w:rPr>
          <w:rFonts w:ascii="Times New Roman" w:cs="Times New Roman" w:eastAsia="Times New Roman" w:hAnsi="Times New Roman"/>
          <w:sz w:val="16"/>
          <w:szCs w:val="16"/>
          <w:color w:val="auto"/>
        </w:rPr>
        <w:t>” means the senior secured facility under the Venture Loan and Security Agreement, dated as of March 5, 2021, by and between Horizon Technology Finance Corporation, as lender and collateral agent, and E la Carte, Inc., a Delaware corporation.</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Indebtedness</w:t>
      </w:r>
      <w:r>
        <w:rPr>
          <w:rFonts w:ascii="Times New Roman" w:cs="Times New Roman" w:eastAsia="Times New Roman" w:hAnsi="Times New Roman"/>
          <w:sz w:val="16"/>
          <w:szCs w:val="16"/>
          <w:color w:val="auto"/>
        </w:rPr>
        <w:t>” means, with respect to any Person on any date of determination (without duplication):</w:t>
      </w:r>
    </w:p>
    <w:p>
      <w:pPr>
        <w:spacing w:after="0" w:line="200" w:lineRule="exact"/>
        <w:rPr>
          <w:sz w:val="20"/>
          <w:szCs w:val="20"/>
          <w:color w:val="auto"/>
        </w:rPr>
      </w:pPr>
    </w:p>
    <w:p>
      <w:pPr>
        <w:ind w:left="640" w:hanging="262"/>
        <w:spacing w:after="0"/>
        <w:tabs>
          <w:tab w:leader="none" w:pos="6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principal of indebtedness of such Person for borrowed money;</w:t>
      </w:r>
    </w:p>
    <w:p>
      <w:pPr>
        <w:spacing w:after="0" w:line="198" w:lineRule="exact"/>
        <w:rPr>
          <w:rFonts w:ascii="Times New Roman" w:cs="Times New Roman" w:eastAsia="Times New Roman" w:hAnsi="Times New Roman"/>
          <w:sz w:val="16"/>
          <w:szCs w:val="16"/>
          <w:color w:val="auto"/>
        </w:rPr>
      </w:pPr>
    </w:p>
    <w:p>
      <w:pPr>
        <w:ind w:left="640" w:hanging="262"/>
        <w:spacing w:after="0"/>
        <w:tabs>
          <w:tab w:leader="none" w:pos="6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principal of obligations of such Person evidenced by bonds, debentures, notes or other similar instruments;</w:t>
      </w:r>
    </w:p>
    <w:p>
      <w:pPr>
        <w:spacing w:after="0" w:line="198" w:lineRule="exact"/>
        <w:rPr>
          <w:rFonts w:ascii="Times New Roman" w:cs="Times New Roman" w:eastAsia="Times New Roman" w:hAnsi="Times New Roman"/>
          <w:sz w:val="16"/>
          <w:szCs w:val="16"/>
          <w:color w:val="auto"/>
        </w:rPr>
      </w:pPr>
    </w:p>
    <w:p>
      <w:pPr>
        <w:jc w:val="both"/>
        <w:ind w:firstLine="378"/>
        <w:spacing w:after="0" w:line="259" w:lineRule="auto"/>
        <w:tabs>
          <w:tab w:leader="none" w:pos="657"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reimbursement obligations of such Person in respect of letters of credit, bankers’ acceptances or other similar instruments (the amount of such obligations being equal at any time to the aggregate then undrawn and unexpired amount of such letters of credit or other instruments plus the aggregate amount of drawings thereunder that have not been reimbursed) (except to the extent such reimbursement obligations relate to trade payables and accounts payable and such obligations are satisfied within 30 days of Incurrence);</w:t>
      </w:r>
    </w:p>
    <w:p>
      <w:pPr>
        <w:spacing w:after="0" w:line="161" w:lineRule="exact"/>
        <w:rPr>
          <w:rFonts w:ascii="Times New Roman" w:cs="Times New Roman" w:eastAsia="Times New Roman" w:hAnsi="Times New Roman"/>
          <w:sz w:val="16"/>
          <w:szCs w:val="16"/>
          <w:color w:val="auto"/>
        </w:rPr>
      </w:pPr>
    </w:p>
    <w:p>
      <w:pPr>
        <w:ind w:right="20" w:firstLine="378"/>
        <w:spacing w:after="0" w:line="280" w:lineRule="auto"/>
        <w:tabs>
          <w:tab w:leader="none" w:pos="656"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principal component of all obligations of such Person to pay the deferred and unpaid purchase price of property (except trade payables or similar obligations to trade creditors), which purchase price is due more than one year after the date of placing such property in service or taking final delivery and title thereto;</w:t>
      </w:r>
    </w:p>
    <w:p>
      <w:pPr>
        <w:spacing w:after="0" w:line="144" w:lineRule="exact"/>
        <w:rPr>
          <w:rFonts w:ascii="Times New Roman" w:cs="Times New Roman" w:eastAsia="Times New Roman" w:hAnsi="Times New Roman"/>
          <w:sz w:val="16"/>
          <w:szCs w:val="16"/>
          <w:color w:val="auto"/>
        </w:rPr>
      </w:pPr>
    </w:p>
    <w:p>
      <w:pPr>
        <w:ind w:left="640" w:hanging="262"/>
        <w:spacing w:after="0"/>
        <w:tabs>
          <w:tab w:leader="none" w:pos="6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Capitalized Lease Obligations of such Person;</w:t>
      </w:r>
    </w:p>
    <w:p>
      <w:pPr>
        <w:spacing w:after="0" w:line="198" w:lineRule="exact"/>
        <w:rPr>
          <w:rFonts w:ascii="Times New Roman" w:cs="Times New Roman" w:eastAsia="Times New Roman" w:hAnsi="Times New Roman"/>
          <w:sz w:val="16"/>
          <w:szCs w:val="16"/>
          <w:color w:val="auto"/>
        </w:rPr>
      </w:pPr>
    </w:p>
    <w:p>
      <w:pPr>
        <w:ind w:right="20" w:firstLine="378"/>
        <w:spacing w:after="0" w:line="280" w:lineRule="auto"/>
        <w:tabs>
          <w:tab w:leader="none" w:pos="651"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principal component of all obligations, or liquidation preference, of such Person with respect to any Disqualified Capital Stock or, with respect to any Subsidiary, any Preferred Stock (but excluding, in each case, any accrued dividends);</w:t>
      </w:r>
    </w:p>
    <w:p>
      <w:pPr>
        <w:spacing w:after="0" w:line="144" w:lineRule="exact"/>
        <w:rPr>
          <w:rFonts w:ascii="Times New Roman" w:cs="Times New Roman" w:eastAsia="Times New Roman" w:hAnsi="Times New Roman"/>
          <w:sz w:val="16"/>
          <w:szCs w:val="16"/>
          <w:color w:val="auto"/>
        </w:rPr>
      </w:pPr>
    </w:p>
    <w:p>
      <w:pPr>
        <w:jc w:val="both"/>
        <w:ind w:right="20" w:firstLine="378"/>
        <w:spacing w:after="0" w:line="265" w:lineRule="auto"/>
        <w:tabs>
          <w:tab w:leader="none" w:pos="658"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principal component of all Indebtedness of other Persons secured by a Lien on any asset of such Person, whether or not such Indebtedness is assumed by such Person; provided, however, that the amount of such Indebtedness will be the lesser of (a) the fair market value of such asset at such date of determination (as determined in good faith by the Company) and (b) the amount of such Indebtedness of such other Persons;</w:t>
      </w:r>
    </w:p>
    <w:p>
      <w:pPr>
        <w:spacing w:after="0" w:line="155" w:lineRule="exact"/>
        <w:rPr>
          <w:rFonts w:ascii="Times New Roman" w:cs="Times New Roman" w:eastAsia="Times New Roman" w:hAnsi="Times New Roman"/>
          <w:sz w:val="16"/>
          <w:szCs w:val="16"/>
          <w:color w:val="auto"/>
        </w:rPr>
      </w:pPr>
    </w:p>
    <w:p>
      <w:pPr>
        <w:ind w:right="20" w:firstLine="378"/>
        <w:spacing w:after="0" w:line="280" w:lineRule="auto"/>
        <w:tabs>
          <w:tab w:leader="none" w:pos="659"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guarantees by such Person of the principal component of Indebtedness of the type referred to in clauses (1), (2), (3), (4), (5) and (9) of other Persons to the extent guaranteed by such Person;</w:t>
      </w:r>
    </w:p>
    <w:p>
      <w:pPr>
        <w:spacing w:after="0" w:line="144" w:lineRule="exact"/>
        <w:rPr>
          <w:rFonts w:ascii="Times New Roman" w:cs="Times New Roman" w:eastAsia="Times New Roman" w:hAnsi="Times New Roman"/>
          <w:sz w:val="16"/>
          <w:szCs w:val="16"/>
          <w:color w:val="auto"/>
        </w:rPr>
      </w:pPr>
    </w:p>
    <w:p>
      <w:pPr>
        <w:jc w:val="both"/>
        <w:ind w:right="20" w:firstLine="378"/>
        <w:spacing w:after="0" w:line="265" w:lineRule="auto"/>
        <w:tabs>
          <w:tab w:leader="none" w:pos="656"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not otherwise included in this definition, net obligations of such Person under Hedging Obligations (the amount of any such obligations to be equal at any time to the net payments under such agreement or arrangement giving rise to such obligation that would be payable by such Person at the termination of such agreement or arrangement);</w:t>
      </w:r>
    </w:p>
    <w:p>
      <w:pPr>
        <w:spacing w:after="0" w:line="155"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with respect to clauses (1), (2), (4) and (5) above, if and to the extent that any of the foregoing Indebtedness (other than letters of credit and Hedging Obligations) would appear as a liability upon a balance sheet (excluding the footnotes thereto) of such Person prepared in accordance with GAAP.</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30" w:name="page31"/>
    <w:bookmarkEnd w:id="30"/>
    <w:p>
      <w:pPr>
        <w:jc w:val="both"/>
        <w:ind w:left="4" w:firstLine="382"/>
        <w:spacing w:after="0" w:line="278" w:lineRule="auto"/>
        <w:rPr>
          <w:sz w:val="20"/>
          <w:szCs w:val="20"/>
          <w:color w:val="auto"/>
        </w:rPr>
      </w:pPr>
      <w:r>
        <w:rPr>
          <w:rFonts w:ascii="Times New Roman" w:cs="Times New Roman" w:eastAsia="Times New Roman" w:hAnsi="Times New Roman"/>
          <w:sz w:val="15"/>
          <w:szCs w:val="15"/>
          <w:color w:val="auto"/>
        </w:rPr>
        <w:t>The amount of Indebtedness of any Person at any time in the case of a revolving credit or similar facility will be the total amount of funds borrowed and then outstanding. The amount of any Indebtedness outstanding as of any date will be (a) the accreted value thereof in the case of any Indebtedness issued with original issue discount and (b) the principal amount of Indebtedness, or liquidation preference thereof, in the case of any other Indebtedness. Indebtedness will be calculated without giving effect to the effects of Financial Accounting Standards Board Accounting Standards Codification Topic No. 815 and related interpretations to the extent such effects would otherwise increase or decrease an amount of Indebtedness for any purpose under this Indenture as a result of accounting for any embedded derivatives created by the terms of such Indebtedness.</w:t>
      </w:r>
    </w:p>
    <w:p>
      <w:pPr>
        <w:spacing w:after="0" w:line="146"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Indenture</w:t>
      </w:r>
      <w:r>
        <w:rPr>
          <w:rFonts w:ascii="Times New Roman" w:cs="Times New Roman" w:eastAsia="Times New Roman" w:hAnsi="Times New Roman"/>
          <w:sz w:val="16"/>
          <w:szCs w:val="16"/>
          <w:color w:val="auto"/>
        </w:rPr>
        <w:t>” means this instrument as originally executed or, if amended or supplemented as herein provided, as so amended or supplemented.</w:t>
      </w:r>
    </w:p>
    <w:p>
      <w:pPr>
        <w:spacing w:after="0" w:line="198" w:lineRule="exact"/>
        <w:rPr>
          <w:sz w:val="20"/>
          <w:szCs w:val="20"/>
          <w:color w:val="auto"/>
        </w:rPr>
      </w:pPr>
    </w:p>
    <w:p>
      <w:pPr>
        <w:jc w:val="both"/>
        <w:ind w:left="4" w:firstLine="382"/>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Independent Financial Advisor</w:t>
      </w:r>
      <w:r>
        <w:rPr>
          <w:rFonts w:ascii="Times New Roman" w:cs="Times New Roman" w:eastAsia="Times New Roman" w:hAnsi="Times New Roman"/>
          <w:sz w:val="16"/>
          <w:szCs w:val="16"/>
          <w:color w:val="auto"/>
        </w:rPr>
        <w:t>” means a firm (1) which does not, and whose directors, officers and employees or Affiliates do not, have a direct or indirect financial interest in the Company, and (2) which, in the judgment of the Board of Directors of the Company, is otherwise independent and qualified to perform the task for which it is to be engaged.</w:t>
      </w:r>
    </w:p>
    <w:p>
      <w:pPr>
        <w:spacing w:after="0" w:line="153"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interest</w:t>
      </w:r>
      <w:r>
        <w:rPr>
          <w:rFonts w:ascii="Times New Roman" w:cs="Times New Roman" w:eastAsia="Times New Roman" w:hAnsi="Times New Roman"/>
          <w:sz w:val="16"/>
          <w:szCs w:val="16"/>
          <w:color w:val="auto"/>
        </w:rPr>
        <w:t>” means, with respect to the Notes, interest (including PIK Interest) on the Notes.</w:t>
      </w:r>
    </w:p>
    <w:p>
      <w:pPr>
        <w:spacing w:after="0" w:line="198"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Interest Payment Date</w:t>
      </w:r>
      <w:r>
        <w:rPr>
          <w:rFonts w:ascii="Times New Roman" w:cs="Times New Roman" w:eastAsia="Times New Roman" w:hAnsi="Times New Roman"/>
          <w:sz w:val="16"/>
          <w:szCs w:val="16"/>
          <w:color w:val="auto"/>
        </w:rPr>
        <w:t>” means each March 15, June 15, September 15 and December 15 of each year, beginning on [●], 2022.</w:t>
      </w:r>
    </w:p>
    <w:p>
      <w:pPr>
        <w:spacing w:after="0" w:line="198" w:lineRule="exact"/>
        <w:rPr>
          <w:sz w:val="20"/>
          <w:szCs w:val="20"/>
          <w:color w:val="auto"/>
        </w:rPr>
      </w:pPr>
    </w:p>
    <w:p>
      <w:pPr>
        <w:jc w:val="both"/>
        <w:ind w:left="4" w:right="20" w:firstLine="382"/>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Investment</w:t>
      </w:r>
      <w:r>
        <w:rPr>
          <w:rFonts w:ascii="Times New Roman" w:cs="Times New Roman" w:eastAsia="Times New Roman" w:hAnsi="Times New Roman"/>
          <w:sz w:val="16"/>
          <w:szCs w:val="16"/>
          <w:color w:val="auto"/>
        </w:rPr>
        <w:t>” means, with respect to any Person, any direct or indirect loan or other extension of credit (including, without limitation, a guarantee) or capital contribution to (by means of any transfer of cash or other property to others or any payment for property or services for the account or use of others), or any purchase or acquisition by such Person of any Capital Stock, bonds, notes, debentures or other securities or evidences of Indebtedness issued by, any other Person. “Investment” shall exclude extensions of trade credit by the Company and its Subsidiaries in accordance with normal trade practices of the Company or such Subsidiary, as the case may be.</w:t>
      </w:r>
    </w:p>
    <w:p>
      <w:pPr>
        <w:spacing w:after="0" w:line="159"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Issue Date</w:t>
      </w:r>
      <w:r>
        <w:rPr>
          <w:rFonts w:ascii="Times New Roman" w:cs="Times New Roman" w:eastAsia="Times New Roman" w:hAnsi="Times New Roman"/>
          <w:sz w:val="16"/>
          <w:szCs w:val="16"/>
          <w:color w:val="auto"/>
        </w:rPr>
        <w:t>” means [●], 2022, the date of original issuance of the Notes.</w:t>
      </w:r>
    </w:p>
    <w:p>
      <w:pPr>
        <w:spacing w:after="0" w:line="198" w:lineRule="exact"/>
        <w:rPr>
          <w:sz w:val="20"/>
          <w:szCs w:val="20"/>
          <w:color w:val="auto"/>
        </w:rPr>
      </w:pPr>
    </w:p>
    <w:p>
      <w:pPr>
        <w:jc w:val="both"/>
        <w:ind w:left="4" w:right="20" w:firstLine="382"/>
        <w:spacing w:after="0" w:line="27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Last Original Issue Date</w:t>
      </w:r>
      <w:r>
        <w:rPr>
          <w:rFonts w:ascii="Times New Roman" w:cs="Times New Roman" w:eastAsia="Times New Roman" w:hAnsi="Times New Roman"/>
          <w:sz w:val="15"/>
          <w:szCs w:val="15"/>
          <w:color w:val="auto"/>
        </w:rPr>
        <w:t>” means, (A) with respect to the Notes offered pursuant to the Amended and Restated Subscription Agreement dated [●], 2022 by and between the Company and Lake Vineyard Fund LP and Silver Rock Empire Fund LP—Series 2022, the date of this Indenture; (B) with respect to any additional Notes issued pursuant to the first sentence of Section 2.10, and any Notes issued in exchange therefor or in substitution thereof, either (i) the later of (x) the date such Notes are originally issued and</w:t>
      </w:r>
    </w:p>
    <w:p>
      <w:pPr>
        <w:spacing w:after="0" w:line="2" w:lineRule="exact"/>
        <w:rPr>
          <w:sz w:val="20"/>
          <w:szCs w:val="20"/>
          <w:color w:val="auto"/>
        </w:rPr>
      </w:pPr>
    </w:p>
    <w:p>
      <w:pPr>
        <w:ind w:left="4" w:right="20" w:hanging="4"/>
        <w:spacing w:after="0" w:line="258" w:lineRule="auto"/>
        <w:tabs>
          <w:tab w:leader="none" w:pos="239"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date any Notes are originally issued as part of the same offering pursuant to the exercise of an option granted to the initial purchaser(s) of such Notes to purchase additional Notes; or (ii) such other date as is specified in an Officer’s Certificate delivered to the Trustee before the original issuance of such Notes.</w:t>
      </w:r>
    </w:p>
    <w:p>
      <w:pPr>
        <w:spacing w:after="0" w:line="159" w:lineRule="exact"/>
        <w:rPr>
          <w:sz w:val="20"/>
          <w:szCs w:val="20"/>
          <w:color w:val="auto"/>
        </w:rPr>
      </w:pPr>
    </w:p>
    <w:p>
      <w:pPr>
        <w:jc w:val="both"/>
        <w:ind w:left="4" w:firstLine="382"/>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Last Reported Sale Price</w:t>
      </w:r>
      <w:r>
        <w:rPr>
          <w:rFonts w:ascii="Times New Roman" w:cs="Times New Roman" w:eastAsia="Times New Roman" w:hAnsi="Times New Roman"/>
          <w:sz w:val="16"/>
          <w:szCs w:val="16"/>
          <w:color w:val="auto"/>
        </w:rPr>
        <w:t>” of the Common Stock (or any other security for which a last reported sale price must be determined) on any date means the closing sale price (or if no closing sale price is reported, the average of the bid and ask prices or, if more than one in either case, the average of the average bid and the average ask prices) per share of the Common Stock (or such other security) on that date as reported in composite transactions for the principal U.S. national or regional securities exchange on which the Common Stock is traded. If the Common Stock (or such other security) is not listed for trading on a U.S. national or regional securities exchange on the relevant date, the “</w:t>
      </w:r>
      <w:r>
        <w:rPr>
          <w:rFonts w:ascii="Times New Roman" w:cs="Times New Roman" w:eastAsia="Times New Roman" w:hAnsi="Times New Roman"/>
          <w:sz w:val="16"/>
          <w:szCs w:val="16"/>
          <w:b w:val="1"/>
          <w:bCs w:val="1"/>
          <w:color w:val="auto"/>
        </w:rPr>
        <w:t>Last Reported Sale Price</w:t>
      </w:r>
      <w:r>
        <w:rPr>
          <w:rFonts w:ascii="Times New Roman" w:cs="Times New Roman" w:eastAsia="Times New Roman" w:hAnsi="Times New Roman"/>
          <w:sz w:val="16"/>
          <w:szCs w:val="16"/>
          <w:color w:val="auto"/>
        </w:rPr>
        <w:t>” shall be the last quoted bid price per share of the Common Stock (or such other security) in the over-the-counter market on the relevant date as reported by OTC Markets Group Inc. or a similar organization. If the Common Stock (or such other security) is not so quoted, the “</w:t>
      </w:r>
      <w:r>
        <w:rPr>
          <w:rFonts w:ascii="Times New Roman" w:cs="Times New Roman" w:eastAsia="Times New Roman" w:hAnsi="Times New Roman"/>
          <w:sz w:val="16"/>
          <w:szCs w:val="16"/>
          <w:b w:val="1"/>
          <w:bCs w:val="1"/>
          <w:color w:val="auto"/>
        </w:rPr>
        <w:t>Last Reported Sale Price</w:t>
      </w:r>
      <w:r>
        <w:rPr>
          <w:rFonts w:ascii="Times New Roman" w:cs="Times New Roman" w:eastAsia="Times New Roman" w:hAnsi="Times New Roman"/>
          <w:sz w:val="16"/>
          <w:szCs w:val="16"/>
          <w:color w:val="auto"/>
        </w:rPr>
        <w:t>” shall be the average of the midpoint of the last bid and ask prices per share of the Common Stock (or such other security) on the relevant date from each of at least three nationally recognized independent investment banking firms selected by the Company for this purpose. The “</w:t>
      </w:r>
      <w:r>
        <w:rPr>
          <w:rFonts w:ascii="Times New Roman" w:cs="Times New Roman" w:eastAsia="Times New Roman" w:hAnsi="Times New Roman"/>
          <w:sz w:val="16"/>
          <w:szCs w:val="16"/>
          <w:b w:val="1"/>
          <w:bCs w:val="1"/>
          <w:color w:val="auto"/>
        </w:rPr>
        <w:t>Last Reported Sale Price</w:t>
      </w:r>
      <w:r>
        <w:rPr>
          <w:rFonts w:ascii="Times New Roman" w:cs="Times New Roman" w:eastAsia="Times New Roman" w:hAnsi="Times New Roman"/>
          <w:sz w:val="16"/>
          <w:szCs w:val="16"/>
          <w:color w:val="auto"/>
        </w:rPr>
        <w:t>” shall be determined without regard to after-hours trading or any other trading outside of regular trading session hours.</w:t>
      </w:r>
    </w:p>
    <w:p>
      <w:pPr>
        <w:spacing w:after="0" w:line="166" w:lineRule="exact"/>
        <w:rPr>
          <w:sz w:val="20"/>
          <w:szCs w:val="20"/>
          <w:color w:val="auto"/>
        </w:rPr>
      </w:pPr>
    </w:p>
    <w:p>
      <w:pPr>
        <w:jc w:val="both"/>
        <w:ind w:left="4" w:right="20"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Lien</w:t>
      </w:r>
      <w:r>
        <w:rPr>
          <w:rFonts w:ascii="Times New Roman" w:cs="Times New Roman" w:eastAsia="Times New Roman" w:hAnsi="Times New Roman"/>
          <w:sz w:val="16"/>
          <w:szCs w:val="16"/>
          <w:color w:val="auto"/>
        </w:rPr>
        <w:t>” means any lien, mortgage, deed of trust, pledge, security interest, charge or encumbrance of any kind (including any conditional sale or other title retention agreement, any lease in the nature thereof and any agreement to give any security interest).</w:t>
      </w:r>
    </w:p>
    <w:p>
      <w:pPr>
        <w:spacing w:after="0" w:line="33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31" w:name="page32"/>
    <w:bookmarkEnd w:id="31"/>
    <w:p>
      <w:pPr>
        <w:jc w:val="both"/>
        <w:ind w:right="20"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Make-Whole Fundamental Change</w:t>
      </w:r>
      <w:r>
        <w:rPr>
          <w:rFonts w:ascii="Times New Roman" w:cs="Times New Roman" w:eastAsia="Times New Roman" w:hAnsi="Times New Roman"/>
          <w:sz w:val="16"/>
          <w:szCs w:val="16"/>
          <w:color w:val="auto"/>
        </w:rPr>
        <w:t xml:space="preserve">” means any transaction or event that constitutes a Fundamental Change (as defined above and determined after giving effect to any exceptions to or exclusions from such definition, but without regard to the </w:t>
      </w:r>
      <w:r>
        <w:rPr>
          <w:rFonts w:ascii="Times New Roman" w:cs="Times New Roman" w:eastAsia="Times New Roman" w:hAnsi="Times New Roman"/>
          <w:sz w:val="16"/>
          <w:szCs w:val="16"/>
          <w:i w:val="1"/>
          <w:iCs w:val="1"/>
          <w:color w:val="auto"/>
        </w:rPr>
        <w:t>proviso</w:t>
      </w:r>
      <w:r>
        <w:rPr>
          <w:rFonts w:ascii="Times New Roman" w:cs="Times New Roman" w:eastAsia="Times New Roman" w:hAnsi="Times New Roman"/>
          <w:sz w:val="16"/>
          <w:szCs w:val="16"/>
          <w:color w:val="auto"/>
        </w:rPr>
        <w:t xml:space="preserve"> in clause (b) of the definition thereof).</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Make-Whole Fundamental Change Period</w:t>
      </w:r>
      <w:r>
        <w:rPr>
          <w:rFonts w:ascii="Times New Roman" w:cs="Times New Roman" w:eastAsia="Times New Roman" w:hAnsi="Times New Roman"/>
          <w:sz w:val="16"/>
          <w:szCs w:val="16"/>
          <w:color w:val="auto"/>
        </w:rPr>
        <w:t>” shall have the meaning specified in Section 14.03(a).</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Mandatory Conversion</w:t>
      </w:r>
      <w:r>
        <w:rPr>
          <w:rFonts w:ascii="Times New Roman" w:cs="Times New Roman" w:eastAsia="Times New Roman" w:hAnsi="Times New Roman"/>
          <w:sz w:val="16"/>
          <w:szCs w:val="16"/>
          <w:color w:val="auto"/>
        </w:rPr>
        <w:t>” means a conversion pursuant to Section 14.03(a).</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Mandatory Conversion Condition</w:t>
      </w:r>
      <w:r>
        <w:rPr>
          <w:rFonts w:ascii="Times New Roman" w:cs="Times New Roman" w:eastAsia="Times New Roman" w:hAnsi="Times New Roman"/>
          <w:sz w:val="16"/>
          <w:szCs w:val="16"/>
          <w:color w:val="auto"/>
        </w:rPr>
        <w:t>” means the conditions required for the Company to cause Notes to be converted pursuant to Section 14.03(a).</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Mandatory Conversion Date</w:t>
      </w:r>
      <w:r>
        <w:rPr>
          <w:rFonts w:ascii="Times New Roman" w:cs="Times New Roman" w:eastAsia="Times New Roman" w:hAnsi="Times New Roman"/>
          <w:sz w:val="16"/>
          <w:szCs w:val="16"/>
          <w:color w:val="auto"/>
        </w:rPr>
        <w:t>” means the Conversion Date for a Mandatory Conversion, as provided in Section 14.03(c).</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Mandatory Conversion Notice</w:t>
      </w:r>
      <w:r>
        <w:rPr>
          <w:rFonts w:ascii="Times New Roman" w:cs="Times New Roman" w:eastAsia="Times New Roman" w:hAnsi="Times New Roman"/>
          <w:sz w:val="16"/>
          <w:szCs w:val="16"/>
          <w:color w:val="auto"/>
        </w:rPr>
        <w:t>” shall have the meaning specified in Section 14.03(b).</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Mandatory Conversion Notice Date</w:t>
      </w:r>
      <w:r>
        <w:rPr>
          <w:rFonts w:ascii="Times New Roman" w:cs="Times New Roman" w:eastAsia="Times New Roman" w:hAnsi="Times New Roman"/>
          <w:sz w:val="16"/>
          <w:szCs w:val="16"/>
          <w:color w:val="auto"/>
        </w:rPr>
        <w:t>” means the date on which the Company provides the Mandatory Conversion Notice in accordance with Section 14.03(b).</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Mandatory Conversion Right</w:t>
      </w:r>
      <w:r>
        <w:rPr>
          <w:rFonts w:ascii="Times New Roman" w:cs="Times New Roman" w:eastAsia="Times New Roman" w:hAnsi="Times New Roman"/>
          <w:sz w:val="16"/>
          <w:szCs w:val="16"/>
          <w:color w:val="auto"/>
        </w:rPr>
        <w:t>” shall have the meaning specified in Section 14.03(a).</w:t>
      </w:r>
    </w:p>
    <w:p>
      <w:pPr>
        <w:spacing w:after="0" w:line="198" w:lineRule="exact"/>
        <w:rPr>
          <w:sz w:val="20"/>
          <w:szCs w:val="20"/>
          <w:color w:val="auto"/>
        </w:rPr>
      </w:pPr>
    </w:p>
    <w:p>
      <w:pPr>
        <w:jc w:val="both"/>
        <w:ind w:right="20"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Market Capitalization</w:t>
      </w:r>
      <w:r>
        <w:rPr>
          <w:rFonts w:ascii="Times New Roman" w:cs="Times New Roman" w:eastAsia="Times New Roman" w:hAnsi="Times New Roman"/>
          <w:sz w:val="16"/>
          <w:szCs w:val="16"/>
          <w:color w:val="auto"/>
        </w:rPr>
        <w:t>” means, with respect to any date of determination, an amount equal to (i) the total number of issued and outstanding publicly traded shares of Common Stock multiplied by (ii) the 30-Day ADTV immediately preceding such date.</w:t>
      </w:r>
    </w:p>
    <w:p>
      <w:pPr>
        <w:spacing w:after="0" w:line="140"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Market Disruption Event</w:t>
      </w:r>
      <w:r>
        <w:rPr>
          <w:rFonts w:ascii="Times New Roman" w:cs="Times New Roman" w:eastAsia="Times New Roman" w:hAnsi="Times New Roman"/>
          <w:sz w:val="16"/>
          <w:szCs w:val="16"/>
          <w:color w:val="auto"/>
        </w:rPr>
        <w:t>” means, for the purpose of determining amounts due upon conversion only (a) a failure by the primary U.S. national or regional securities exchange or market on which the Common Stock is listed or admitted for trading to open for trading during its regular trading session or (b) the occurrence or existence prior to 1:00 p.m., New York City time, on any Scheduled Trading Day for the Common Stock for more than one half-hour period in the aggregate during regular trading hours of any suspension or limitation imposed on trading (by reason of movements in price exceeding limits permitted by the relevant stock exchange or otherwise) in the Common Stock or in any options contracts or futures contracts relating to the Common Stock.</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Maturity Date</w:t>
      </w:r>
      <w:r>
        <w:rPr>
          <w:rFonts w:ascii="Times New Roman" w:cs="Times New Roman" w:eastAsia="Times New Roman" w:hAnsi="Times New Roman"/>
          <w:sz w:val="16"/>
          <w:szCs w:val="16"/>
          <w:color w:val="auto"/>
        </w:rPr>
        <w:t>” means [●], 2026.</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Merger Event</w:t>
      </w:r>
      <w:r>
        <w:rPr>
          <w:rFonts w:ascii="Times New Roman" w:cs="Times New Roman" w:eastAsia="Times New Roman" w:hAnsi="Times New Roman"/>
          <w:sz w:val="16"/>
          <w:szCs w:val="16"/>
          <w:color w:val="auto"/>
        </w:rPr>
        <w:t>” shall have the meaning specified in Section 14.07(a).</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Nasdaq Stock Market</w:t>
      </w:r>
      <w:r>
        <w:rPr>
          <w:rFonts w:ascii="Times New Roman" w:cs="Times New Roman" w:eastAsia="Times New Roman" w:hAnsi="Times New Roman"/>
          <w:sz w:val="16"/>
          <w:szCs w:val="16"/>
          <w:color w:val="auto"/>
        </w:rPr>
        <w:t>” shall mean the Nasdaq Capital Market, the Nasdaq Global Market and the Nasdaq Global Select Market.</w:t>
      </w:r>
    </w:p>
    <w:p>
      <w:pPr>
        <w:spacing w:after="0" w:line="198"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Net Proceeds</w:t>
      </w:r>
      <w:r>
        <w:rPr>
          <w:rFonts w:ascii="Times New Roman" w:cs="Times New Roman" w:eastAsia="Times New Roman" w:hAnsi="Times New Roman"/>
          <w:sz w:val="16"/>
          <w:szCs w:val="16"/>
          <w:color w:val="auto"/>
        </w:rPr>
        <w:t>” means the aggregate cash proceeds and the fair market value of any Cash Equivalents received by the Company or any of its Subsidiaries in respect of any Asset Sale (including, without limitation, any cash or Cash Equivalents received upon the sale or other disposition of any non-cash consideration received in any Asset Sale), net of (1) the direct costs relating to such Asset Sale, including, without limitation, legal, accounting and investment banking fees, sales commissions, rationalization and other relocation expenses incurred as a result of the Asset Sale, and taxes paid or payable as a result of the Asset Sale after taking into account any available tax credits or deductions and any tax sharing arrangements, (2) amounts required to be applied to the repayment of Indebtedness secured by a Permitted Lien on the asset or assets that were the subject of such Asset Sale, and (3) any reserve for adjustment in respect of the sale price of such asset or assets established in accordance with GAAP.</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Net Proceeds Offer</w:t>
      </w:r>
      <w:r>
        <w:rPr>
          <w:rFonts w:ascii="Times New Roman" w:cs="Times New Roman" w:eastAsia="Times New Roman" w:hAnsi="Times New Roman"/>
          <w:sz w:val="16"/>
          <w:szCs w:val="16"/>
          <w:color w:val="auto"/>
        </w:rPr>
        <w:t>” shall have the meaning specified in Section 4.18(d).</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Note</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Notes</w:t>
      </w:r>
      <w:r>
        <w:rPr>
          <w:rFonts w:ascii="Times New Roman" w:cs="Times New Roman" w:eastAsia="Times New Roman" w:hAnsi="Times New Roman"/>
          <w:sz w:val="16"/>
          <w:szCs w:val="16"/>
          <w:color w:val="auto"/>
        </w:rPr>
        <w:t>” shall have the meaning specified in the first paragraph of the recitals of this Indenture.</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Note Obligation</w:t>
      </w:r>
      <w:r>
        <w:rPr>
          <w:rFonts w:ascii="Times New Roman" w:cs="Times New Roman" w:eastAsia="Times New Roman" w:hAnsi="Times New Roman"/>
          <w:sz w:val="16"/>
          <w:szCs w:val="16"/>
          <w:color w:val="auto"/>
        </w:rPr>
        <w:t>” shall have the meaning specified in Section 13.01.</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Note Register</w:t>
      </w:r>
      <w:r>
        <w:rPr>
          <w:rFonts w:ascii="Times New Roman" w:cs="Times New Roman" w:eastAsia="Times New Roman" w:hAnsi="Times New Roman"/>
          <w:sz w:val="16"/>
          <w:szCs w:val="16"/>
          <w:color w:val="auto"/>
        </w:rPr>
        <w:t>” shall have the meaning specified in Section 2.05(a).</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Note Registrar</w:t>
      </w:r>
      <w:r>
        <w:rPr>
          <w:rFonts w:ascii="Times New Roman" w:cs="Times New Roman" w:eastAsia="Times New Roman" w:hAnsi="Times New Roman"/>
          <w:sz w:val="16"/>
          <w:szCs w:val="16"/>
          <w:color w:val="auto"/>
        </w:rPr>
        <w:t>” shall have the meaning specified in Section 2.05(a).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32" w:name="page33"/>
    <w:bookmarkEnd w:id="32"/>
    <w:p>
      <w:pPr>
        <w:ind w:left="38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Notice of Conversion</w:t>
      </w:r>
      <w:r>
        <w:rPr>
          <w:rFonts w:ascii="Times New Roman" w:cs="Times New Roman" w:eastAsia="Times New Roman" w:hAnsi="Times New Roman"/>
          <w:sz w:val="16"/>
          <w:szCs w:val="16"/>
          <w:color w:val="auto"/>
        </w:rPr>
        <w:t>” shall have the meaning specified in Section 14.02(b).</w:t>
      </w:r>
    </w:p>
    <w:p>
      <w:pPr>
        <w:spacing w:after="0" w:line="198"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Notice of Redemption</w:t>
      </w:r>
      <w:r>
        <w:rPr>
          <w:rFonts w:ascii="Times New Roman" w:cs="Times New Roman" w:eastAsia="Times New Roman" w:hAnsi="Times New Roman"/>
          <w:sz w:val="16"/>
          <w:szCs w:val="16"/>
          <w:color w:val="auto"/>
        </w:rPr>
        <w:t>” shall have the meaning specified in Section 16.02(a).</w:t>
      </w:r>
    </w:p>
    <w:p>
      <w:pPr>
        <w:spacing w:after="0" w:line="198" w:lineRule="exact"/>
        <w:rPr>
          <w:sz w:val="20"/>
          <w:szCs w:val="20"/>
          <w:color w:val="auto"/>
        </w:rPr>
      </w:pPr>
    </w:p>
    <w:p>
      <w:pPr>
        <w:jc w:val="both"/>
        <w:ind w:left="4"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Obligations</w:t>
      </w:r>
      <w:r>
        <w:rPr>
          <w:rFonts w:ascii="Times New Roman" w:cs="Times New Roman" w:eastAsia="Times New Roman" w:hAnsi="Times New Roman"/>
          <w:sz w:val="16"/>
          <w:szCs w:val="16"/>
          <w:color w:val="auto"/>
        </w:rPr>
        <w:t>” means all obligations for principal, premium, interest, penalties, fees, expenses, indemnifications, reimbursements, damages and other liabilities payable under the documentation governing any Indebtedness.</w:t>
      </w:r>
    </w:p>
    <w:p>
      <w:pPr>
        <w:spacing w:after="0" w:line="145" w:lineRule="exact"/>
        <w:rPr>
          <w:sz w:val="20"/>
          <w:szCs w:val="20"/>
          <w:color w:val="auto"/>
        </w:rPr>
      </w:pPr>
    </w:p>
    <w:p>
      <w:pPr>
        <w:jc w:val="both"/>
        <w:ind w:left="4" w:firstLine="382"/>
        <w:spacing w:after="0" w:line="22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Observation Period</w:t>
      </w:r>
      <w:r>
        <w:rPr>
          <w:rFonts w:ascii="Times New Roman" w:cs="Times New Roman" w:eastAsia="Times New Roman" w:hAnsi="Times New Roman"/>
          <w:sz w:val="15"/>
          <w:szCs w:val="15"/>
          <w:color w:val="auto"/>
        </w:rPr>
        <w:t>” with respect to any Note surrendered for conversion means: (i) subject to clause (ii), if the relevant Conversion Date occurs prior to [●], 2026</w:t>
      </w: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15"/>
          <w:szCs w:val="15"/>
          <w:color w:val="auto"/>
        </w:rPr>
        <w:t>, the 30 consecutive Trading Day period beginning on, and including, the second Trading Day immediately succeeding such Conversion Date; (ii) if the relevant Conversion Date for</w:t>
      </w:r>
    </w:p>
    <w:p>
      <w:pPr>
        <w:jc w:val="both"/>
        <w:ind w:left="4" w:right="20"/>
        <w:spacing w:after="0" w:line="231" w:lineRule="auto"/>
        <w:rPr>
          <w:sz w:val="20"/>
          <w:szCs w:val="20"/>
          <w:color w:val="auto"/>
        </w:rPr>
      </w:pPr>
      <w:r>
        <w:rPr>
          <w:rFonts w:ascii="Times New Roman" w:cs="Times New Roman" w:eastAsia="Times New Roman" w:hAnsi="Times New Roman"/>
          <w:sz w:val="16"/>
          <w:szCs w:val="16"/>
          <w:color w:val="auto"/>
        </w:rPr>
        <w:t>a Note called for redemption occurs during a Redemption Period pursuant to Section 16.02, the 30 consecutive Trading Days beginning on, and including, the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6"/>
          <w:szCs w:val="16"/>
          <w:color w:val="auto"/>
        </w:rPr>
        <w:t xml:space="preserve"> Scheduled Trading Day immediately preceding such Redemption Date; and (iii) subject to clause (ii) of this definition above, if the relevant Conversion Date occurs on or after [●], 2026, the 30 consecutive Trading Days beginning on, and including, the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6"/>
          <w:szCs w:val="16"/>
          <w:color w:val="auto"/>
        </w:rPr>
        <w:t xml:space="preserve"> Scheduled Trading Day immediately preceding the Maturity Date.</w:t>
      </w:r>
    </w:p>
    <w:p>
      <w:pPr>
        <w:spacing w:after="0" w:line="65" w:lineRule="exact"/>
        <w:rPr>
          <w:sz w:val="20"/>
          <w:szCs w:val="20"/>
          <w:color w:val="auto"/>
        </w:rPr>
      </w:pPr>
    </w:p>
    <w:p>
      <w:pPr>
        <w:jc w:val="both"/>
        <w:ind w:left="4" w:right="20"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Officer</w:t>
      </w:r>
      <w:r>
        <w:rPr>
          <w:rFonts w:ascii="Times New Roman" w:cs="Times New Roman" w:eastAsia="Times New Roman" w:hAnsi="Times New Roman"/>
          <w:sz w:val="16"/>
          <w:szCs w:val="16"/>
          <w:color w:val="auto"/>
        </w:rPr>
        <w:t>” means, with respect to the Company, the Chief Executive Officer, the Chief Financial Officer, or the Chief Revenue Officer, or any Vice President (whether or not designated by a number or numbers or word or words added before or after the title “Vice President”).</w:t>
      </w:r>
    </w:p>
    <w:p>
      <w:pPr>
        <w:spacing w:after="0" w:line="140" w:lineRule="exact"/>
        <w:rPr>
          <w:sz w:val="20"/>
          <w:szCs w:val="20"/>
          <w:color w:val="auto"/>
        </w:rPr>
      </w:pPr>
    </w:p>
    <w:p>
      <w:pPr>
        <w:jc w:val="both"/>
        <w:ind w:left="4" w:right="20" w:firstLine="382"/>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Officer’s Certificate</w:t>
      </w:r>
      <w:r>
        <w:rPr>
          <w:rFonts w:ascii="Times New Roman" w:cs="Times New Roman" w:eastAsia="Times New Roman" w:hAnsi="Times New Roman"/>
          <w:sz w:val="16"/>
          <w:szCs w:val="16"/>
          <w:color w:val="auto"/>
        </w:rPr>
        <w:t>,” when used with respect to the Company, means a certificate that is delivered to the Trustee and that is signed by any Officer of the Company. Each such certificate shall include the statements provided for in Section 18.05 if and to the extent required by the provisions of such Section. The Officer giving an Officer’s Certificate pursuant to Section 4.08 shall be the principal executive, financial or accounting officer of the Company.</w:t>
      </w:r>
    </w:p>
    <w:p>
      <w:pPr>
        <w:spacing w:after="0" w:line="153"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open of business</w:t>
      </w:r>
      <w:r>
        <w:rPr>
          <w:rFonts w:ascii="Times New Roman" w:cs="Times New Roman" w:eastAsia="Times New Roman" w:hAnsi="Times New Roman"/>
          <w:sz w:val="16"/>
          <w:szCs w:val="16"/>
          <w:color w:val="auto"/>
        </w:rPr>
        <w:t>” means 9:00 a.m. (New York City time).</w:t>
      </w:r>
    </w:p>
    <w:p>
      <w:pPr>
        <w:spacing w:after="0" w:line="198" w:lineRule="exact"/>
        <w:rPr>
          <w:sz w:val="20"/>
          <w:szCs w:val="20"/>
          <w:color w:val="auto"/>
        </w:rPr>
      </w:pPr>
    </w:p>
    <w:p>
      <w:pPr>
        <w:jc w:val="both"/>
        <w:ind w:left="4" w:right="20" w:firstLine="382"/>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Opinion of Counsel</w:t>
      </w:r>
      <w:r>
        <w:rPr>
          <w:rFonts w:ascii="Times New Roman" w:cs="Times New Roman" w:eastAsia="Times New Roman" w:hAnsi="Times New Roman"/>
          <w:sz w:val="16"/>
          <w:szCs w:val="16"/>
          <w:color w:val="auto"/>
        </w:rPr>
        <w:t>” means an opinion in writing signed by legal counsel, who may be an employee of or counsel to the Company, or other counsel who is reasonably acceptable to the Trustee, which opinion may contain customary exceptions and qualifications as to the matters set forth therein, that is delivered to the Trustee. Each such opinion shall include the statements provided for in Section 18.05 if and to the extent required by the provisions of such Section 18.05.</w:t>
      </w:r>
    </w:p>
    <w:p>
      <w:pPr>
        <w:spacing w:after="0" w:line="153"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Optional Redemption</w:t>
      </w:r>
      <w:r>
        <w:rPr>
          <w:rFonts w:ascii="Times New Roman" w:cs="Times New Roman" w:eastAsia="Times New Roman" w:hAnsi="Times New Roman"/>
          <w:sz w:val="16"/>
          <w:szCs w:val="16"/>
          <w:color w:val="auto"/>
        </w:rPr>
        <w:t>” shall have the meaning specified in Section 16.01.</w:t>
      </w:r>
    </w:p>
    <w:p>
      <w:pPr>
        <w:spacing w:after="0" w:line="198" w:lineRule="exact"/>
        <w:rPr>
          <w:sz w:val="20"/>
          <w:szCs w:val="20"/>
          <w:color w:val="auto"/>
        </w:rPr>
      </w:pPr>
    </w:p>
    <w:p>
      <w:pPr>
        <w:jc w:val="both"/>
        <w:ind w:left="4" w:right="20"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outstanding</w:t>
      </w:r>
      <w:r>
        <w:rPr>
          <w:rFonts w:ascii="Times New Roman" w:cs="Times New Roman" w:eastAsia="Times New Roman" w:hAnsi="Times New Roman"/>
          <w:sz w:val="16"/>
          <w:szCs w:val="16"/>
          <w:color w:val="auto"/>
        </w:rPr>
        <w:t>,” when used with reference to Notes, shall, subject to the provisions of Section 8.04, mean, as of any particular time, all Notes authenticated and delivered by the Trustee under this Indenture, except:</w:t>
      </w:r>
    </w:p>
    <w:p>
      <w:pPr>
        <w:spacing w:after="0" w:line="142" w:lineRule="exact"/>
        <w:rPr>
          <w:sz w:val="20"/>
          <w:szCs w:val="20"/>
          <w:color w:val="auto"/>
        </w:rPr>
      </w:pPr>
    </w:p>
    <w:p>
      <w:pPr>
        <w:ind w:left="1024" w:hanging="260"/>
        <w:spacing w:after="0"/>
        <w:tabs>
          <w:tab w:leader="none" w:pos="1024"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Notes theretofore canceled by the Trustee or accepted by the Trustee for cancellation;</w:t>
      </w:r>
    </w:p>
    <w:p>
      <w:pPr>
        <w:spacing w:after="0" w:line="198" w:lineRule="exact"/>
        <w:rPr>
          <w:rFonts w:ascii="Times New Roman" w:cs="Times New Roman" w:eastAsia="Times New Roman" w:hAnsi="Times New Roman"/>
          <w:sz w:val="16"/>
          <w:szCs w:val="16"/>
          <w:color w:val="auto"/>
        </w:rPr>
      </w:pPr>
    </w:p>
    <w:p>
      <w:pPr>
        <w:jc w:val="both"/>
        <w:ind w:left="384" w:firstLine="380"/>
        <w:spacing w:after="0" w:line="265" w:lineRule="auto"/>
        <w:tabs>
          <w:tab w:leader="none" w:pos="1032"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Notes, or portions thereof, that have become due and payable and in respect of which monies in the necessary amount shall have been deposited in trust with the Trustee or with any Paying Agent (other than the Company) or shall have been set aside and segregated in trust by the Company (if the Company shall act as its own Paying Agent);</w:t>
      </w:r>
    </w:p>
    <w:p>
      <w:pPr>
        <w:spacing w:after="0" w:line="155" w:lineRule="exact"/>
        <w:rPr>
          <w:rFonts w:ascii="Times New Roman" w:cs="Times New Roman" w:eastAsia="Times New Roman" w:hAnsi="Times New Roman"/>
          <w:sz w:val="16"/>
          <w:szCs w:val="16"/>
          <w:color w:val="auto"/>
        </w:rPr>
      </w:pPr>
    </w:p>
    <w:p>
      <w:pPr>
        <w:ind w:left="384" w:firstLine="380"/>
        <w:spacing w:after="0" w:line="280" w:lineRule="auto"/>
        <w:tabs>
          <w:tab w:leader="none" w:pos="1063"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Notes that have been paid pursuant to Section 2.08 or Notes in lieu of which, or in substitution for which, other Notes shall have been authenticated and delivered pursuant to the terms of Section 2.08 unless proof satisfactory to the Trustee is presented that any such Notes are held by protected purchasers in due course;</w:t>
      </w:r>
    </w:p>
    <w:p>
      <w:pPr>
        <w:spacing w:after="0" w:line="144" w:lineRule="exact"/>
        <w:rPr>
          <w:rFonts w:ascii="Times New Roman" w:cs="Times New Roman" w:eastAsia="Times New Roman" w:hAnsi="Times New Roman"/>
          <w:sz w:val="16"/>
          <w:szCs w:val="16"/>
          <w:color w:val="auto"/>
        </w:rPr>
      </w:pPr>
    </w:p>
    <w:p>
      <w:pPr>
        <w:ind w:left="1024" w:hanging="260"/>
        <w:spacing w:after="0"/>
        <w:tabs>
          <w:tab w:leader="none" w:pos="1024"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Notes converted pursuant to Article 14 and required to be cancelled pursuant to Section 2.08;</w:t>
      </w:r>
    </w:p>
    <w:p>
      <w:pPr>
        <w:spacing w:after="0" w:line="198" w:lineRule="exact"/>
        <w:rPr>
          <w:rFonts w:ascii="Times New Roman" w:cs="Times New Roman" w:eastAsia="Times New Roman" w:hAnsi="Times New Roman"/>
          <w:sz w:val="16"/>
          <w:szCs w:val="16"/>
          <w:color w:val="auto"/>
        </w:rPr>
      </w:pPr>
    </w:p>
    <w:p>
      <w:pPr>
        <w:ind w:left="1024" w:hanging="260"/>
        <w:spacing w:after="0"/>
        <w:tabs>
          <w:tab w:leader="none" w:pos="1024"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Notes redeemed pursuant to Article 16; and</w:t>
      </w:r>
    </w:p>
    <w:p>
      <w:pPr>
        <w:spacing w:after="0" w:line="198" w:lineRule="exact"/>
        <w:rPr>
          <w:rFonts w:ascii="Times New Roman" w:cs="Times New Roman" w:eastAsia="Times New Roman" w:hAnsi="Times New Roman"/>
          <w:sz w:val="16"/>
          <w:szCs w:val="16"/>
          <w:color w:val="auto"/>
        </w:rPr>
      </w:pPr>
    </w:p>
    <w:p>
      <w:pPr>
        <w:ind w:left="964" w:hanging="200"/>
        <w:spacing w:after="0"/>
        <w:tabs>
          <w:tab w:leader="none" w:pos="964"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Notes repurchased by the Company pursuant to the penultimate sentence of Section 2.10 and delivered to the Trustee for cancellation.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1790700"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214" w:lineRule="exact"/>
        <w:rPr>
          <w:sz w:val="20"/>
          <w:szCs w:val="20"/>
          <w:color w:val="auto"/>
        </w:rPr>
      </w:pPr>
    </w:p>
    <w:p>
      <w:pPr>
        <w:ind w:left="284" w:hanging="284"/>
        <w:spacing w:after="0"/>
        <w:tabs>
          <w:tab w:leader="none" w:pos="284"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NTD: Insert date that is 32 days prior to the Maturity Date.</w:t>
      </w:r>
    </w:p>
    <w:p>
      <w:pPr>
        <w:spacing w:after="0" w:line="3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33" w:name="page34"/>
    <w:bookmarkEnd w:id="33"/>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Paying Agent</w:t>
      </w:r>
      <w:r>
        <w:rPr>
          <w:rFonts w:ascii="Times New Roman" w:cs="Times New Roman" w:eastAsia="Times New Roman" w:hAnsi="Times New Roman"/>
          <w:sz w:val="16"/>
          <w:szCs w:val="16"/>
          <w:color w:val="auto"/>
        </w:rPr>
        <w:t>” shall have the meaning specified in Section 4.02.</w:t>
      </w:r>
    </w:p>
    <w:p>
      <w:pPr>
        <w:spacing w:after="0" w:line="198" w:lineRule="exact"/>
        <w:rPr>
          <w:sz w:val="20"/>
          <w:szCs w:val="20"/>
          <w:color w:val="auto"/>
        </w:rPr>
      </w:pPr>
    </w:p>
    <w:p>
      <w:pPr>
        <w:ind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Permitted Business</w:t>
      </w:r>
      <w:r>
        <w:rPr>
          <w:rFonts w:ascii="Times New Roman" w:cs="Times New Roman" w:eastAsia="Times New Roman" w:hAnsi="Times New Roman"/>
          <w:sz w:val="16"/>
          <w:szCs w:val="16"/>
          <w:color w:val="auto"/>
        </w:rPr>
        <w:t>” means a business in which the Company and its Subsidiaries were engaged on the Closing Date, and any business that is related, ancillary, incidental or complementary thereto.</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Permitted Indebtedness</w:t>
      </w:r>
      <w:r>
        <w:rPr>
          <w:rFonts w:ascii="Times New Roman" w:cs="Times New Roman" w:eastAsia="Times New Roman" w:hAnsi="Times New Roman"/>
          <w:sz w:val="16"/>
          <w:szCs w:val="16"/>
          <w:color w:val="auto"/>
        </w:rPr>
        <w:t>” shall have the meaning specified in Section 4.11(b).</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Permitted Investment</w:t>
      </w:r>
      <w:r>
        <w:rPr>
          <w:rFonts w:ascii="Times New Roman" w:cs="Times New Roman" w:eastAsia="Times New Roman" w:hAnsi="Times New Roman"/>
          <w:sz w:val="16"/>
          <w:szCs w:val="16"/>
          <w:color w:val="auto"/>
        </w:rPr>
        <w:t>” means:</w:t>
      </w:r>
    </w:p>
    <w:p>
      <w:pPr>
        <w:spacing w:after="0" w:line="200" w:lineRule="exact"/>
        <w:rPr>
          <w:sz w:val="20"/>
          <w:szCs w:val="20"/>
          <w:color w:val="auto"/>
        </w:rPr>
      </w:pPr>
    </w:p>
    <w:p>
      <w:pPr>
        <w:jc w:val="both"/>
        <w:ind w:right="20" w:firstLine="378"/>
        <w:spacing w:after="0" w:line="265" w:lineRule="auto"/>
        <w:tabs>
          <w:tab w:leader="none" w:pos="615"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Section 4.19, any Investment in a Subsidiary (including the Capital Stock of a Subsidiary) or the Company or a Person that will, upon the making of such Investment, become a Subsidiary or merge or consolidate with or into, or transfer or convey all or substantially all its assets to, or is liquidated into, the Company or a Subsidiary;</w:t>
      </w:r>
    </w:p>
    <w:p>
      <w:pPr>
        <w:spacing w:after="0" w:line="155" w:lineRule="exact"/>
        <w:rPr>
          <w:rFonts w:ascii="Times New Roman" w:cs="Times New Roman" w:eastAsia="Times New Roman" w:hAnsi="Times New Roman"/>
          <w:sz w:val="16"/>
          <w:szCs w:val="16"/>
          <w:color w:val="auto"/>
        </w:rPr>
      </w:pPr>
    </w:p>
    <w:p>
      <w:pPr>
        <w:ind w:right="20" w:firstLine="378"/>
        <w:spacing w:after="0" w:line="280" w:lineRule="auto"/>
        <w:tabs>
          <w:tab w:leader="none" w:pos="632"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receivables owing to the Company or any Subsidiary created or acquired in the ordinary course of business and payable or dischargeable in accordance with customary trade terms;</w:t>
      </w:r>
    </w:p>
    <w:p>
      <w:pPr>
        <w:spacing w:after="0" w:line="144" w:lineRule="exact"/>
        <w:rPr>
          <w:rFonts w:ascii="Times New Roman" w:cs="Times New Roman" w:eastAsia="Times New Roman" w:hAnsi="Times New Roman"/>
          <w:sz w:val="16"/>
          <w:szCs w:val="16"/>
          <w:color w:val="auto"/>
        </w:rPr>
      </w:pPr>
    </w:p>
    <w:p>
      <w:pPr>
        <w:ind w:firstLine="378"/>
        <w:spacing w:after="0" w:line="280" w:lineRule="auto"/>
        <w:tabs>
          <w:tab w:leader="none" w:pos="608"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payroll, travel and similar advances to cover matters that are expected at the time of such advances ultimately to be treated as expenses for accounting purposes and that are made in the ordinary course of business;</w:t>
      </w:r>
    </w:p>
    <w:p>
      <w:pPr>
        <w:spacing w:after="0" w:line="144" w:lineRule="exact"/>
        <w:rPr>
          <w:rFonts w:ascii="Times New Roman" w:cs="Times New Roman" w:eastAsia="Times New Roman" w:hAnsi="Times New Roman"/>
          <w:sz w:val="16"/>
          <w:szCs w:val="16"/>
          <w:color w:val="auto"/>
        </w:rPr>
      </w:pPr>
    </w:p>
    <w:p>
      <w:pPr>
        <w:ind w:left="600" w:hanging="222"/>
        <w:spacing w:after="0"/>
        <w:tabs>
          <w:tab w:leader="none" w:pos="6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Investments in or repurchases of the Notes;</w:t>
      </w:r>
    </w:p>
    <w:p>
      <w:pPr>
        <w:spacing w:after="0" w:line="198" w:lineRule="exact"/>
        <w:rPr>
          <w:rFonts w:ascii="Times New Roman" w:cs="Times New Roman" w:eastAsia="Times New Roman" w:hAnsi="Times New Roman"/>
          <w:sz w:val="16"/>
          <w:szCs w:val="16"/>
          <w:color w:val="auto"/>
        </w:rPr>
      </w:pPr>
    </w:p>
    <w:p>
      <w:pPr>
        <w:jc w:val="both"/>
        <w:ind w:firstLine="378"/>
        <w:spacing w:after="0" w:line="265" w:lineRule="auto"/>
        <w:tabs>
          <w:tab w:leader="none" w:pos="6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Section 4.19, any Investments consisting of purchases and acquisitions of inventory, supplies, services, material and equipment or licenses or leases of intellectual property, in any case, in the ordinary course of business or for the purpose of obtaining, maintaining or renewing client contracts and loans and advances to distributors, in each case, in the ordinary course of business;</w:t>
      </w:r>
    </w:p>
    <w:p>
      <w:pPr>
        <w:spacing w:after="0" w:line="155" w:lineRule="exact"/>
        <w:rPr>
          <w:rFonts w:ascii="Times New Roman" w:cs="Times New Roman" w:eastAsia="Times New Roman" w:hAnsi="Times New Roman"/>
          <w:sz w:val="16"/>
          <w:szCs w:val="16"/>
          <w:color w:val="auto"/>
        </w:rPr>
      </w:pPr>
    </w:p>
    <w:p>
      <w:pPr>
        <w:ind w:right="20" w:firstLine="378"/>
        <w:spacing w:after="0" w:line="280" w:lineRule="auto"/>
        <w:tabs>
          <w:tab w:leader="none" w:pos="6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Investments in prepaid expenses, negotiable instruments held for collection and lease, utility and workers’ compensation, performance and similar deposits entered into as a result of the operations of the business of the Company and its Subsidiaries in the ordinary course of business;</w:t>
      </w:r>
    </w:p>
    <w:p>
      <w:pPr>
        <w:spacing w:after="0" w:line="144" w:lineRule="exact"/>
        <w:rPr>
          <w:rFonts w:ascii="Times New Roman" w:cs="Times New Roman" w:eastAsia="Times New Roman" w:hAnsi="Times New Roman"/>
          <w:sz w:val="16"/>
          <w:szCs w:val="16"/>
          <w:color w:val="auto"/>
        </w:rPr>
      </w:pPr>
    </w:p>
    <w:p>
      <w:pPr>
        <w:ind w:left="600" w:hanging="222"/>
        <w:spacing w:after="0"/>
        <w:tabs>
          <w:tab w:leader="none" w:pos="6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Guarantees issued in accordance with Section 4.14 and Article 17;</w:t>
      </w:r>
    </w:p>
    <w:p>
      <w:pPr>
        <w:spacing w:after="0" w:line="196" w:lineRule="exact"/>
        <w:rPr>
          <w:rFonts w:ascii="Times New Roman" w:cs="Times New Roman" w:eastAsia="Times New Roman" w:hAnsi="Times New Roman"/>
          <w:sz w:val="16"/>
          <w:szCs w:val="16"/>
          <w:color w:val="auto"/>
        </w:rPr>
      </w:pPr>
    </w:p>
    <w:p>
      <w:pPr>
        <w:jc w:val="both"/>
        <w:ind w:right="20" w:firstLine="378"/>
        <w:spacing w:after="0" w:line="266" w:lineRule="auto"/>
        <w:tabs>
          <w:tab w:leader="none" w:pos="637"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Investments in existence on the Issue Date and any extension, modification, replacement, reinvestment or renewal thereof;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any such extensions, modifications, replacements, reinvestments or renewals are not more disadvantageous to the Holders in any material respect than such Investments as they were in existence on the Issue Date; and</w:t>
      </w:r>
    </w:p>
    <w:p>
      <w:pPr>
        <w:spacing w:after="0" w:line="155" w:lineRule="exact"/>
        <w:rPr>
          <w:rFonts w:ascii="Times New Roman" w:cs="Times New Roman" w:eastAsia="Times New Roman" w:hAnsi="Times New Roman"/>
          <w:sz w:val="16"/>
          <w:szCs w:val="16"/>
          <w:color w:val="auto"/>
        </w:rPr>
      </w:pPr>
    </w:p>
    <w:p>
      <w:pPr>
        <w:ind w:left="600" w:hanging="222"/>
        <w:spacing w:after="0"/>
        <w:tabs>
          <w:tab w:leader="none" w:pos="6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and Cash Equivalents.</w:t>
      </w:r>
    </w:p>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Permitted Liens</w:t>
      </w:r>
      <w:r>
        <w:rPr>
          <w:rFonts w:ascii="Times New Roman" w:cs="Times New Roman" w:eastAsia="Times New Roman" w:hAnsi="Times New Roman"/>
          <w:sz w:val="16"/>
          <w:szCs w:val="16"/>
          <w:color w:val="auto"/>
        </w:rPr>
        <w:t>” means the following types of Liens:</w:t>
      </w:r>
    </w:p>
    <w:p>
      <w:pPr>
        <w:spacing w:after="0" w:line="200" w:lineRule="exact"/>
        <w:rPr>
          <w:sz w:val="20"/>
          <w:szCs w:val="20"/>
          <w:color w:val="auto"/>
        </w:rPr>
      </w:pPr>
    </w:p>
    <w:p>
      <w:pPr>
        <w:ind w:left="600" w:hanging="222"/>
        <w:spacing w:after="0"/>
        <w:tabs>
          <w:tab w:leader="none" w:pos="6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securing Indebtedness incurred pursuant to Section 4.11(b)(1) and all related Obligations;</w:t>
      </w:r>
    </w:p>
    <w:p>
      <w:pPr>
        <w:spacing w:after="0" w:line="198" w:lineRule="exact"/>
        <w:rPr>
          <w:rFonts w:ascii="Times New Roman" w:cs="Times New Roman" w:eastAsia="Times New Roman" w:hAnsi="Times New Roman"/>
          <w:sz w:val="16"/>
          <w:szCs w:val="16"/>
          <w:color w:val="auto"/>
        </w:rPr>
      </w:pPr>
    </w:p>
    <w:p>
      <w:pPr>
        <w:jc w:val="both"/>
        <w:ind w:right="20" w:firstLine="378"/>
        <w:spacing w:after="0" w:line="265" w:lineRule="auto"/>
        <w:tabs>
          <w:tab w:leader="none" w:pos="608"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Liens securing Indebtedness incurred pursuant to Section 4.11(b)(6) and all related Obligations; provided that such Liens do not extend to any property or assets other than property or assets acquired with such Indebtedness (and additions, accessions, improvements and replacements and customary deposits in connection therewith and proceeds and products therefrom) and (ii) Liens incurred in the ordinary course of business securing Indebtedness incurred pursuant to Section 4.11(b)(13);</w:t>
      </w:r>
    </w:p>
    <w:p>
      <w:pPr>
        <w:spacing w:after="0" w:line="155" w:lineRule="exact"/>
        <w:rPr>
          <w:rFonts w:ascii="Times New Roman" w:cs="Times New Roman" w:eastAsia="Times New Roman" w:hAnsi="Times New Roman"/>
          <w:sz w:val="16"/>
          <w:szCs w:val="16"/>
          <w:color w:val="auto"/>
        </w:rPr>
      </w:pPr>
    </w:p>
    <w:p>
      <w:pPr>
        <w:ind w:left="660" w:hanging="282"/>
        <w:spacing w:after="0"/>
        <w:tabs>
          <w:tab w:leader="none" w:pos="6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imposed by law, including carriers’, warehousemen’s, mechanics’, materialmen’s, repairmen’s Liens or other similar Liens, incurred in the ordinary course of</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w:t>
      </w:r>
    </w:p>
    <w:p>
      <w:pPr>
        <w:spacing w:after="0" w:line="181" w:lineRule="exact"/>
        <w:rPr>
          <w:rFonts w:ascii="Times New Roman" w:cs="Times New Roman" w:eastAsia="Times New Roman" w:hAnsi="Times New Roman"/>
          <w:sz w:val="16"/>
          <w:szCs w:val="16"/>
          <w:color w:val="auto"/>
        </w:rPr>
      </w:pPr>
    </w:p>
    <w:p>
      <w:pPr>
        <w:ind w:right="20" w:firstLine="378"/>
        <w:spacing w:after="0" w:line="280" w:lineRule="auto"/>
        <w:tabs>
          <w:tab w:leader="none" w:pos="62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for taxes, assessments or other governmental charges not yet subject to penalties for non-payment or that are being contested in good faith by appropriate proceedings, provided appropriate reserves required pursuant to GAAP have been made in respect thereof;</w:t>
      </w:r>
    </w:p>
    <w:p>
      <w:pPr>
        <w:spacing w:after="0" w:line="144" w:lineRule="exact"/>
        <w:rPr>
          <w:rFonts w:ascii="Times New Roman" w:cs="Times New Roman" w:eastAsia="Times New Roman" w:hAnsi="Times New Roman"/>
          <w:sz w:val="16"/>
          <w:szCs w:val="16"/>
          <w:color w:val="auto"/>
        </w:rPr>
      </w:pPr>
    </w:p>
    <w:p>
      <w:pPr>
        <w:ind w:right="20" w:firstLine="378"/>
        <w:spacing w:after="0" w:line="280" w:lineRule="auto"/>
        <w:tabs>
          <w:tab w:leader="none" w:pos="65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in favor of issuers of surety or performance bonds or letters of credit or bankers’ acceptances or similar obligations issued pursuant to the request of and for the account of such Person in the ordinary course of its business; provided, however, that such letters of credit do not constitute Indebtedness;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34" w:name="page35"/>
    <w:bookmarkEnd w:id="34"/>
    <w:p>
      <w:pPr>
        <w:jc w:val="both"/>
        <w:ind w:right="20" w:firstLine="378"/>
        <w:spacing w:after="0" w:line="265" w:lineRule="auto"/>
        <w:tabs>
          <w:tab w:leader="none" w:pos="652"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pledges, deposits or Liens in connection with workers’ compensation, professional liability insurance, insurance programs, unemployment insurance and other social security and other similar legislation or other insurance-related obligations (including, without limitation, pledges or deposits securing liability to insurance carriers under insurance or self-insurance arrangements);</w:t>
      </w:r>
    </w:p>
    <w:p>
      <w:pPr>
        <w:spacing w:after="0" w:line="155" w:lineRule="exact"/>
        <w:rPr>
          <w:rFonts w:ascii="Times New Roman" w:cs="Times New Roman" w:eastAsia="Times New Roman" w:hAnsi="Times New Roman"/>
          <w:sz w:val="16"/>
          <w:szCs w:val="16"/>
          <w:color w:val="auto"/>
        </w:rPr>
      </w:pPr>
    </w:p>
    <w:p>
      <w:pPr>
        <w:ind w:firstLine="378"/>
        <w:spacing w:after="0" w:line="280" w:lineRule="auto"/>
        <w:tabs>
          <w:tab w:leader="none" w:pos="672"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existing on the Issue Date (other than Liens permitted under clauses (1) and (2)) and replacement Liens that do not encumber additional assets, unless such encumbrance is otherwise permitted;</w:t>
      </w:r>
    </w:p>
    <w:p>
      <w:pPr>
        <w:spacing w:after="0" w:line="144" w:lineRule="exact"/>
        <w:rPr>
          <w:rFonts w:ascii="Times New Roman" w:cs="Times New Roman" w:eastAsia="Times New Roman" w:hAnsi="Times New Roman"/>
          <w:sz w:val="16"/>
          <w:szCs w:val="16"/>
          <w:color w:val="auto"/>
        </w:rPr>
      </w:pPr>
    </w:p>
    <w:p>
      <w:pPr>
        <w:ind w:left="640" w:hanging="262"/>
        <w:spacing w:after="0"/>
        <w:tabs>
          <w:tab w:leader="none" w:pos="6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securing Indebtedness or other obligations of a Subsidiary of the Company owing to the Company or another Subsidiary of the Company; and</w:t>
      </w:r>
    </w:p>
    <w:p>
      <w:pPr>
        <w:spacing w:after="0" w:line="198" w:lineRule="exact"/>
        <w:rPr>
          <w:rFonts w:ascii="Times New Roman" w:cs="Times New Roman" w:eastAsia="Times New Roman" w:hAnsi="Times New Roman"/>
          <w:sz w:val="16"/>
          <w:szCs w:val="16"/>
          <w:color w:val="auto"/>
        </w:rPr>
      </w:pPr>
    </w:p>
    <w:p>
      <w:pPr>
        <w:jc w:val="both"/>
        <w:ind w:right="20" w:firstLine="378"/>
        <w:spacing w:after="0" w:line="265" w:lineRule="auto"/>
        <w:tabs>
          <w:tab w:leader="none" w:pos="649"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Section 4.19, Liens existing on property or assets of a Person at the time such Person becomes a Subsidiary of the Company (or at the time the Company or a Subsidiary acquires such property or assets); provided, however, that such Liens and arrangements are not created in connection with, or in contemplation of, such other Person becoming such a Subsidiary (or such acquisition of such property or assets).</w:t>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Physical Settlement</w:t>
      </w:r>
      <w:r>
        <w:rPr>
          <w:rFonts w:ascii="Times New Roman" w:cs="Times New Roman" w:eastAsia="Times New Roman" w:hAnsi="Times New Roman"/>
          <w:sz w:val="16"/>
          <w:szCs w:val="16"/>
          <w:color w:val="auto"/>
        </w:rPr>
        <w:t>” shall have the meaning specified in Section 14.02(a)(i).</w:t>
      </w:r>
    </w:p>
    <w:p>
      <w:pPr>
        <w:spacing w:after="0" w:line="198" w:lineRule="exact"/>
        <w:rPr>
          <w:sz w:val="20"/>
          <w:szCs w:val="20"/>
          <w:color w:val="auto"/>
        </w:rPr>
      </w:pPr>
    </w:p>
    <w:p>
      <w:pPr>
        <w:jc w:val="both"/>
        <w:ind w:right="20"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PIK Interest</w:t>
      </w:r>
      <w:r>
        <w:rPr>
          <w:rFonts w:ascii="Times New Roman" w:cs="Times New Roman" w:eastAsia="Times New Roman" w:hAnsi="Times New Roman"/>
          <w:sz w:val="16"/>
          <w:szCs w:val="16"/>
          <w:color w:val="auto"/>
        </w:rPr>
        <w:t>” means the portion of an installment of interest due on each Interest Payment Date in respect of Notes that is payable in PIK Notes or by increasing the outstanding principal amount of the Notes, in each case as provided in the Notes.</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PIK Notes</w:t>
      </w:r>
      <w:r>
        <w:rPr>
          <w:rFonts w:ascii="Times New Roman" w:cs="Times New Roman" w:eastAsia="Times New Roman" w:hAnsi="Times New Roman"/>
          <w:sz w:val="16"/>
          <w:szCs w:val="16"/>
          <w:color w:val="auto"/>
        </w:rPr>
        <w:t>” shall have the meaning specified in Section 2.02.</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PIK Payment</w:t>
      </w:r>
      <w:r>
        <w:rPr>
          <w:rFonts w:ascii="Times New Roman" w:cs="Times New Roman" w:eastAsia="Times New Roman" w:hAnsi="Times New Roman"/>
          <w:sz w:val="16"/>
          <w:szCs w:val="16"/>
          <w:color w:val="auto"/>
        </w:rPr>
        <w:t>” shall have the meaning specified in Section 2.02.</w:t>
      </w:r>
    </w:p>
    <w:p>
      <w:pPr>
        <w:spacing w:after="0" w:line="198" w:lineRule="exact"/>
        <w:rPr>
          <w:sz w:val="20"/>
          <w:szCs w:val="20"/>
          <w:color w:val="auto"/>
        </w:rPr>
      </w:pPr>
    </w:p>
    <w:p>
      <w:pPr>
        <w:jc w:val="both"/>
        <w:ind w:right="20"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Person</w:t>
      </w:r>
      <w:r>
        <w:rPr>
          <w:rFonts w:ascii="Times New Roman" w:cs="Times New Roman" w:eastAsia="Times New Roman" w:hAnsi="Times New Roman"/>
          <w:sz w:val="16"/>
          <w:szCs w:val="16"/>
          <w:color w:val="auto"/>
        </w:rPr>
        <w:t>” means an individual, a corporation, a limited liability company, an association, a partnership, a joint venture, a joint stock company, a trust, an unincorporated organization or a government or an agency or a political subdivision thereof.</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Physical Notes</w:t>
      </w:r>
      <w:r>
        <w:rPr>
          <w:rFonts w:ascii="Times New Roman" w:cs="Times New Roman" w:eastAsia="Times New Roman" w:hAnsi="Times New Roman"/>
          <w:sz w:val="16"/>
          <w:szCs w:val="16"/>
          <w:color w:val="auto"/>
        </w:rPr>
        <w:t>” means permanent certificated Notes in registered form issued in denominations of $1,000 principal amount and integral multiples thereof.</w:t>
      </w:r>
    </w:p>
    <w:p>
      <w:pPr>
        <w:spacing w:after="0" w:line="198" w:lineRule="exact"/>
        <w:rPr>
          <w:sz w:val="20"/>
          <w:szCs w:val="20"/>
          <w:color w:val="auto"/>
        </w:rPr>
      </w:pPr>
    </w:p>
    <w:p>
      <w:pPr>
        <w:jc w:val="both"/>
        <w:ind w:right="20" w:firstLine="382"/>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Predecessor Note</w:t>
      </w:r>
      <w:r>
        <w:rPr>
          <w:rFonts w:ascii="Times New Roman" w:cs="Times New Roman" w:eastAsia="Times New Roman" w:hAnsi="Times New Roman"/>
          <w:sz w:val="16"/>
          <w:szCs w:val="16"/>
          <w:color w:val="auto"/>
        </w:rPr>
        <w:t>” of any particular Note means every previous Note evidencing all or a portion of the same debt as that evidenced by such particular Note; and, for the purposes of this definition, any Note authenticated and delivered under Section 2.06 in lieu of or in exchange for a mutilated, lost, destroyed or stolen Note shall be deemed to evidence the same debt as the mutilated, lost, destroyed or stolen Note that it replaces.</w:t>
      </w:r>
    </w:p>
    <w:p>
      <w:pPr>
        <w:spacing w:after="0" w:line="153" w:lineRule="exact"/>
        <w:rPr>
          <w:sz w:val="20"/>
          <w:szCs w:val="20"/>
          <w:color w:val="auto"/>
        </w:rPr>
      </w:pPr>
    </w:p>
    <w:p>
      <w:pPr>
        <w:jc w:val="both"/>
        <w:ind w:right="20"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Preferred Stock</w:t>
      </w:r>
      <w:r>
        <w:rPr>
          <w:rFonts w:ascii="Times New Roman" w:cs="Times New Roman" w:eastAsia="Times New Roman" w:hAnsi="Times New Roman"/>
          <w:sz w:val="16"/>
          <w:szCs w:val="16"/>
          <w:color w:val="auto"/>
        </w:rPr>
        <w:t>” of any Person means any Capital Stock of such Person that has preferential rights to any other Capital Stock of such Person with respect to dividends or redemptions or upon liquidation.</w:t>
      </w:r>
    </w:p>
    <w:p>
      <w:pPr>
        <w:spacing w:after="0" w:line="140" w:lineRule="exact"/>
        <w:rPr>
          <w:sz w:val="20"/>
          <w:szCs w:val="20"/>
          <w:color w:val="auto"/>
        </w:rPr>
      </w:pPr>
    </w:p>
    <w:p>
      <w:pPr>
        <w:jc w:val="both"/>
        <w:ind w:firstLine="382"/>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Record Date</w:t>
      </w:r>
      <w:r>
        <w:rPr>
          <w:rFonts w:ascii="Times New Roman" w:cs="Times New Roman" w:eastAsia="Times New Roman" w:hAnsi="Times New Roman"/>
          <w:sz w:val="16"/>
          <w:szCs w:val="16"/>
          <w:color w:val="auto"/>
        </w:rPr>
        <w:t>” means, with respect to any dividend, distribution or other transaction or event in which the holders of Common Stock (or other applicable security) have the right to receive any cash, securities or other property or in which the Common Stock (or such other security) is exchanged for or converted into any combination of cash, securities or other property, the time and date fixed for determination of holders of the Common Stock (or such other security) entitled to receive such cash, securities or other property (whether such date is fixed by the Company in good faith, by statute, by contract or otherwise).</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Redemption Date</w:t>
      </w:r>
      <w:r>
        <w:rPr>
          <w:rFonts w:ascii="Times New Roman" w:cs="Times New Roman" w:eastAsia="Times New Roman" w:hAnsi="Times New Roman"/>
          <w:sz w:val="16"/>
          <w:szCs w:val="16"/>
          <w:color w:val="auto"/>
        </w:rPr>
        <w:t>” shall have the meaning specified in Section 16.02(a).</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Redemption Notice Date</w:t>
      </w:r>
      <w:r>
        <w:rPr>
          <w:rFonts w:ascii="Times New Roman" w:cs="Times New Roman" w:eastAsia="Times New Roman" w:hAnsi="Times New Roman"/>
          <w:sz w:val="16"/>
          <w:szCs w:val="16"/>
          <w:color w:val="auto"/>
        </w:rPr>
        <w:t>” means the date on which the Company provides the Notice of Redemption in accordance with Section 16.02.</w:t>
      </w:r>
    </w:p>
    <w:p>
      <w:pPr>
        <w:spacing w:after="0" w:line="198" w:lineRule="exact"/>
        <w:rPr>
          <w:sz w:val="20"/>
          <w:szCs w:val="20"/>
          <w:color w:val="auto"/>
        </w:rPr>
      </w:pPr>
    </w:p>
    <w:p>
      <w:pPr>
        <w:jc w:val="both"/>
        <w:ind w:right="20"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Redemption Period</w:t>
      </w:r>
      <w:r>
        <w:rPr>
          <w:rFonts w:ascii="Times New Roman" w:cs="Times New Roman" w:eastAsia="Times New Roman" w:hAnsi="Times New Roman"/>
          <w:sz w:val="16"/>
          <w:szCs w:val="16"/>
          <w:color w:val="auto"/>
        </w:rPr>
        <w:t>” means, with respect to any Optional Redemption of Notes pursuant to Article 16, the period from, and including, the Redemption Notice Date for such Optional Redemption to, and including, the close of business on the second Scheduled Trading Day immediately preceding the Redemption Date.</w:t>
      </w:r>
    </w:p>
    <w:p>
      <w:pPr>
        <w:spacing w:after="0" w:line="140"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Redemption Price</w:t>
      </w:r>
      <w:r>
        <w:rPr>
          <w:rFonts w:ascii="Times New Roman" w:cs="Times New Roman" w:eastAsia="Times New Roman" w:hAnsi="Times New Roman"/>
          <w:sz w:val="16"/>
          <w:szCs w:val="16"/>
          <w:color w:val="auto"/>
        </w:rPr>
        <w:t xml:space="preserve">” means, for any Notes to be redeemed pursuant to Section 16.01, 100% of the principal amount of such Notes,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accrued and unpaid interest, if any, to, but excluding, the Redemption Date (unless the Redemption Date falls after a Regular Record Date but on or prior to the immediately succeeding Interest Payment Date, in which case the Company will pay, on or, at the Company’s election, before such Interest Payment Date, the full amount of accrued and unpaid interest to the Holders of record of such Notes as of the close of business on such Regular Record Date, and the Redemption Price will be equal to 100% of the principal amount of such Notes to be redeemed)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the Applicable Premium.</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5" w:name="page36"/>
    <w:bookmarkEnd w:id="35"/>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Reference Property</w:t>
      </w:r>
      <w:r>
        <w:rPr>
          <w:rFonts w:ascii="Times New Roman" w:cs="Times New Roman" w:eastAsia="Times New Roman" w:hAnsi="Times New Roman"/>
          <w:sz w:val="16"/>
          <w:szCs w:val="16"/>
          <w:color w:val="auto"/>
        </w:rPr>
        <w:t>” shall have the meaning specified in Section 14.07(a).</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Refinancing Indebtedness</w:t>
      </w:r>
      <w:r>
        <w:rPr>
          <w:rFonts w:ascii="Times New Roman" w:cs="Times New Roman" w:eastAsia="Times New Roman" w:hAnsi="Times New Roman"/>
          <w:sz w:val="16"/>
          <w:szCs w:val="16"/>
          <w:color w:val="auto"/>
        </w:rPr>
        <w:t>” shall have the meaning specified in Section 4.11(b)(10).</w:t>
      </w:r>
    </w:p>
    <w:p>
      <w:pPr>
        <w:spacing w:after="0" w:line="198" w:lineRule="exact"/>
        <w:rPr>
          <w:sz w:val="20"/>
          <w:szCs w:val="20"/>
          <w:color w:val="auto"/>
        </w:rPr>
      </w:pPr>
    </w:p>
    <w:p>
      <w:pPr>
        <w:jc w:val="both"/>
        <w:ind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Registration Rights Agreement</w:t>
      </w:r>
      <w:r>
        <w:rPr>
          <w:rFonts w:ascii="Times New Roman" w:cs="Times New Roman" w:eastAsia="Times New Roman" w:hAnsi="Times New Roman"/>
          <w:sz w:val="16"/>
          <w:szCs w:val="16"/>
          <w:color w:val="auto"/>
        </w:rPr>
        <w:t>” means the Amended and Restated Registration Rights Agreement dated [ ● ], 2022, by and among the Company, Ventoux CCM Acquisition Corp., Ventoux Acquisition Holdings LLC, Chardan International Investments, LLC, Silver Rock Contingent Credit Fund LP, and the other parties thereto.</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Registrable Securities</w:t>
      </w:r>
      <w:r>
        <w:rPr>
          <w:rFonts w:ascii="Times New Roman" w:cs="Times New Roman" w:eastAsia="Times New Roman" w:hAnsi="Times New Roman"/>
          <w:sz w:val="16"/>
          <w:szCs w:val="16"/>
          <w:color w:val="auto"/>
        </w:rPr>
        <w:t>” shall have the meaning specified in the Subscription Agreement.</w:t>
      </w:r>
    </w:p>
    <w:p>
      <w:pPr>
        <w:spacing w:after="0" w:line="198" w:lineRule="exact"/>
        <w:rPr>
          <w:sz w:val="20"/>
          <w:szCs w:val="20"/>
          <w:color w:val="auto"/>
        </w:rPr>
      </w:pPr>
    </w:p>
    <w:p>
      <w:pPr>
        <w:jc w:val="both"/>
        <w:ind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Regular Record Date</w:t>
      </w:r>
      <w:r>
        <w:rPr>
          <w:rFonts w:ascii="Times New Roman" w:cs="Times New Roman" w:eastAsia="Times New Roman" w:hAnsi="Times New Roman"/>
          <w:sz w:val="16"/>
          <w:szCs w:val="16"/>
          <w:color w:val="auto"/>
        </w:rPr>
        <w:t>,” with respect to any Interest Payment Date, means the June 1 or December 1 (whether or not such day is a Business Day), as the case may be, immediately preceding the applicable June 15 or December 15 Interest Payment Date, respectively.</w:t>
      </w:r>
    </w:p>
    <w:p>
      <w:pPr>
        <w:spacing w:after="0" w:line="140" w:lineRule="exact"/>
        <w:rPr>
          <w:sz w:val="20"/>
          <w:szCs w:val="20"/>
          <w:color w:val="auto"/>
        </w:rPr>
      </w:pPr>
    </w:p>
    <w:p>
      <w:pPr>
        <w:jc w:val="both"/>
        <w:ind w:firstLine="382"/>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Reorganization Merger Event</w:t>
      </w:r>
      <w:r>
        <w:rPr>
          <w:rFonts w:ascii="Times New Roman" w:cs="Times New Roman" w:eastAsia="Times New Roman" w:hAnsi="Times New Roman"/>
          <w:sz w:val="16"/>
          <w:szCs w:val="16"/>
          <w:color w:val="auto"/>
        </w:rPr>
        <w:t>” means a Merger Event that is solely for the purpose of changing the jurisdiction of organization of the Company that (x) does not constitute a Fundamental Change or a Make-Whole Fundamental Change and (y) results in a reclassification, conversion or exchange of outstanding shares of Common Stock solely into shares of common stock of the surviving entity and such common stock becomes Reference Property for the Notes.</w:t>
      </w:r>
    </w:p>
    <w:p>
      <w:pPr>
        <w:spacing w:after="0" w:line="153" w:lineRule="exact"/>
        <w:rPr>
          <w:sz w:val="20"/>
          <w:szCs w:val="20"/>
          <w:color w:val="auto"/>
        </w:rPr>
      </w:pPr>
    </w:p>
    <w:p>
      <w:pPr>
        <w:jc w:val="both"/>
        <w:ind w:firstLine="382"/>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Responsible Officer</w:t>
      </w:r>
      <w:r>
        <w:rPr>
          <w:rFonts w:ascii="Times New Roman" w:cs="Times New Roman" w:eastAsia="Times New Roman" w:hAnsi="Times New Roman"/>
          <w:sz w:val="16"/>
          <w:szCs w:val="16"/>
          <w:color w:val="auto"/>
        </w:rPr>
        <w:t>” means, when used with respect to the Trustee, any officer within the Corporate Trust Office of the Trustee, including any senior vice president, vice president, assistant vice president, any trust officer or assistant trust officer, or any other officer of the Trustee who customarily performs functions similar to those performed by the persons who at the time shall be such officers, respectively, or to whom any corporate trust matter relating to this Indenture is referred because of such person’s knowledge of and familiarity with the particular subject and who, in each case, shall have direct responsibility for the administration of this Indenture.</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Restricted Investment</w:t>
      </w:r>
      <w:r>
        <w:rPr>
          <w:rFonts w:ascii="Times New Roman" w:cs="Times New Roman" w:eastAsia="Times New Roman" w:hAnsi="Times New Roman"/>
          <w:sz w:val="16"/>
          <w:szCs w:val="16"/>
          <w:color w:val="auto"/>
        </w:rPr>
        <w:t>” means any Investment other than a Permitted Investment.</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Restricted Securities</w:t>
      </w:r>
      <w:r>
        <w:rPr>
          <w:rFonts w:ascii="Times New Roman" w:cs="Times New Roman" w:eastAsia="Times New Roman" w:hAnsi="Times New Roman"/>
          <w:sz w:val="16"/>
          <w:szCs w:val="16"/>
          <w:color w:val="auto"/>
        </w:rPr>
        <w:t>” shall have the meaning specified in Section 2.05(c).</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Restrictive Notes Legend</w:t>
      </w:r>
      <w:r>
        <w:rPr>
          <w:rFonts w:ascii="Times New Roman" w:cs="Times New Roman" w:eastAsia="Times New Roman" w:hAnsi="Times New Roman"/>
          <w:sz w:val="16"/>
          <w:szCs w:val="16"/>
          <w:color w:val="auto"/>
        </w:rPr>
        <w:t>” shall have the meaning specified in Section 2.05(c).</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Rule 144</w:t>
      </w:r>
      <w:r>
        <w:rPr>
          <w:rFonts w:ascii="Times New Roman" w:cs="Times New Roman" w:eastAsia="Times New Roman" w:hAnsi="Times New Roman"/>
          <w:sz w:val="16"/>
          <w:szCs w:val="16"/>
          <w:color w:val="auto"/>
        </w:rPr>
        <w:t>” means Rule 144 as promulgated under the Securities Act.</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Rule 144A</w:t>
      </w:r>
      <w:r>
        <w:rPr>
          <w:rFonts w:ascii="Times New Roman" w:cs="Times New Roman" w:eastAsia="Times New Roman" w:hAnsi="Times New Roman"/>
          <w:sz w:val="16"/>
          <w:szCs w:val="16"/>
          <w:color w:val="auto"/>
        </w:rPr>
        <w:t>” means Rule 144A as promulgated under the Securities Act.</w:t>
      </w:r>
    </w:p>
    <w:p>
      <w:pPr>
        <w:spacing w:after="0" w:line="198" w:lineRule="exact"/>
        <w:rPr>
          <w:sz w:val="20"/>
          <w:szCs w:val="20"/>
          <w:color w:val="auto"/>
        </w:rPr>
      </w:pPr>
    </w:p>
    <w:p>
      <w:pPr>
        <w:jc w:val="both"/>
        <w:ind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Scheduled Trading Day</w:t>
      </w:r>
      <w:r>
        <w:rPr>
          <w:rFonts w:ascii="Times New Roman" w:cs="Times New Roman" w:eastAsia="Times New Roman" w:hAnsi="Times New Roman"/>
          <w:sz w:val="16"/>
          <w:szCs w:val="16"/>
          <w:color w:val="auto"/>
        </w:rPr>
        <w:t>” means a day that is scheduled to be a Trading Day on the principal U.S. national or regional securities exchange or market on which the Common Stock is listed or admitted for trading. If the Common Stock is not so listed or admitted for trading, “</w:t>
      </w:r>
      <w:r>
        <w:rPr>
          <w:rFonts w:ascii="Times New Roman" w:cs="Times New Roman" w:eastAsia="Times New Roman" w:hAnsi="Times New Roman"/>
          <w:sz w:val="16"/>
          <w:szCs w:val="16"/>
          <w:b w:val="1"/>
          <w:bCs w:val="1"/>
          <w:color w:val="auto"/>
        </w:rPr>
        <w:t>Scheduled Trading Day</w:t>
      </w:r>
      <w:r>
        <w:rPr>
          <w:rFonts w:ascii="Times New Roman" w:cs="Times New Roman" w:eastAsia="Times New Roman" w:hAnsi="Times New Roman"/>
          <w:sz w:val="16"/>
          <w:szCs w:val="16"/>
          <w:color w:val="auto"/>
        </w:rPr>
        <w:t>” means a Business Day.</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Securities Act</w:t>
      </w:r>
      <w:r>
        <w:rPr>
          <w:rFonts w:ascii="Times New Roman" w:cs="Times New Roman" w:eastAsia="Times New Roman" w:hAnsi="Times New Roman"/>
          <w:sz w:val="16"/>
          <w:szCs w:val="16"/>
          <w:color w:val="auto"/>
        </w:rPr>
        <w:t>” means the Securities Act of 1933, as amended, and the rules and regulations promulgated thereunder.</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Settlement Amount</w:t>
      </w:r>
      <w:r>
        <w:rPr>
          <w:rFonts w:ascii="Times New Roman" w:cs="Times New Roman" w:eastAsia="Times New Roman" w:hAnsi="Times New Roman"/>
          <w:sz w:val="16"/>
          <w:szCs w:val="16"/>
          <w:color w:val="auto"/>
        </w:rPr>
        <w:t>” shall have the meaning specified in Section 14.02(a)(iv).</w:t>
      </w:r>
    </w:p>
    <w:p>
      <w:pPr>
        <w:spacing w:after="0" w:line="198" w:lineRule="exact"/>
        <w:rPr>
          <w:sz w:val="20"/>
          <w:szCs w:val="20"/>
          <w:color w:val="auto"/>
        </w:rPr>
      </w:pPr>
    </w:p>
    <w:p>
      <w:pPr>
        <w:jc w:val="both"/>
        <w:ind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Settlement Method</w:t>
      </w:r>
      <w:r>
        <w:rPr>
          <w:rFonts w:ascii="Times New Roman" w:cs="Times New Roman" w:eastAsia="Times New Roman" w:hAnsi="Times New Roman"/>
          <w:sz w:val="16"/>
          <w:szCs w:val="16"/>
          <w:color w:val="auto"/>
        </w:rPr>
        <w:t>” means, with respect to any conversion of Notes, Physical Settlement, Cash Settlement or Combination Settlement, as elected (or deemed to have been elected) by the Company.</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Settlement Method Election Date</w:t>
      </w:r>
      <w:r>
        <w:rPr>
          <w:rFonts w:ascii="Times New Roman" w:cs="Times New Roman" w:eastAsia="Times New Roman" w:hAnsi="Times New Roman"/>
          <w:sz w:val="16"/>
          <w:szCs w:val="16"/>
          <w:color w:val="auto"/>
        </w:rPr>
        <w:t>” shall have the meaning specified in Section 14.02(a)(iii).</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Settlement Notice</w:t>
      </w:r>
      <w:r>
        <w:rPr>
          <w:rFonts w:ascii="Times New Roman" w:cs="Times New Roman" w:eastAsia="Times New Roman" w:hAnsi="Times New Roman"/>
          <w:sz w:val="16"/>
          <w:szCs w:val="16"/>
          <w:color w:val="auto"/>
        </w:rPr>
        <w:t>” shall have the meaning specified in Section 14.02(a)(iii).</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36" w:name="page37"/>
    <w:bookmarkEnd w:id="36"/>
    <w:p>
      <w:pPr>
        <w:jc w:val="both"/>
        <w:ind w:firstLine="382"/>
        <w:spacing w:after="0" w:line="25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Significant Subsidiary</w:t>
      </w:r>
      <w:r>
        <w:rPr>
          <w:rFonts w:ascii="Times New Roman" w:cs="Times New Roman" w:eastAsia="Times New Roman" w:hAnsi="Times New Roman"/>
          <w:sz w:val="16"/>
          <w:szCs w:val="16"/>
          <w:color w:val="auto"/>
        </w:rPr>
        <w:t xml:space="preserve">” means a Subsidiary of the Company that meets the definition of “significant subsidiary” in Rule 1-02(w) of Regulation S-X under the Exchange Act;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the case of a Subsidiary that meets the criteria of clause (1)(iii) of the definition thereof but not clause (1)(i) or (1)(ii) thereof, in each case, as such rule is in effect on the date hereof, such Subsidiary shall be deemed not to be a Significant Subsidiary unless the Subsidiary’s income (or loss) from continuing operations before income taxes exclusive of amounts attributable to any non-controlling interests for the last completed fiscal year prior to the date of such determination exceeds $1,000,000. For the avoidance of doubt, to the extent any such Subsidiary would not be deemed to be a “significant subsidiary” under the relevant definition set forth in Article 1, Rule 1-02 of Regulation S-X (or any successor rule) as in effect on the relevant date of determination, such Subsidiary shall not be deemed to be a “significant subsidiary” under this Indenture irrespective of whether such Subsidiary would otherwise be deemed to be a “significant subsidiary” pursuant to the immediately preceding sentence.</w:t>
      </w:r>
    </w:p>
    <w:p>
      <w:pPr>
        <w:spacing w:after="0" w:line="161" w:lineRule="exact"/>
        <w:rPr>
          <w:sz w:val="20"/>
          <w:szCs w:val="20"/>
          <w:color w:val="auto"/>
        </w:rPr>
      </w:pPr>
    </w:p>
    <w:p>
      <w:pPr>
        <w:jc w:val="both"/>
        <w:ind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Specified Dollar Amount</w:t>
      </w:r>
      <w:r>
        <w:rPr>
          <w:rFonts w:ascii="Times New Roman" w:cs="Times New Roman" w:eastAsia="Times New Roman" w:hAnsi="Times New Roman"/>
          <w:sz w:val="16"/>
          <w:szCs w:val="16"/>
          <w:color w:val="auto"/>
        </w:rPr>
        <w:t>” means the maximum cash amount per $1,000 principal amount of Notes to be received upon conversion as specified in the Settlement Notice (or deemed specified as provided in Section 14.02(a)(iii)) related to any converted Notes.</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Spin-Off</w:t>
      </w:r>
      <w:r>
        <w:rPr>
          <w:rFonts w:ascii="Times New Roman" w:cs="Times New Roman" w:eastAsia="Times New Roman" w:hAnsi="Times New Roman"/>
          <w:sz w:val="16"/>
          <w:szCs w:val="16"/>
          <w:color w:val="auto"/>
        </w:rPr>
        <w:t>” shall have the meaning specified in Section 14.04(c).</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Stock Price</w:t>
      </w:r>
      <w:r>
        <w:rPr>
          <w:rFonts w:ascii="Times New Roman" w:cs="Times New Roman" w:eastAsia="Times New Roman" w:hAnsi="Times New Roman"/>
          <w:sz w:val="16"/>
          <w:szCs w:val="16"/>
          <w:color w:val="auto"/>
        </w:rPr>
        <w:t>” shall have the meaning specified in Section 14.03(c).</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Subscription Agreement</w:t>
      </w:r>
      <w:r>
        <w:rPr>
          <w:rFonts w:ascii="Times New Roman" w:cs="Times New Roman" w:eastAsia="Times New Roman" w:hAnsi="Times New Roman"/>
          <w:sz w:val="16"/>
          <w:szCs w:val="16"/>
          <w:color w:val="auto"/>
        </w:rPr>
        <w:t>” means, collectively, the Subscription Agreements dated as of [●], 2022, each between the Company and the Subscriber defined therein.</w:t>
      </w:r>
    </w:p>
    <w:p>
      <w:pPr>
        <w:spacing w:after="0" w:line="198" w:lineRule="exact"/>
        <w:rPr>
          <w:sz w:val="20"/>
          <w:szCs w:val="20"/>
          <w:color w:val="auto"/>
        </w:rPr>
      </w:pPr>
    </w:p>
    <w:p>
      <w:pPr>
        <w:jc w:val="both"/>
        <w:ind w:firstLine="382"/>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Subsidiary</w:t>
      </w:r>
      <w:r>
        <w:rPr>
          <w:rFonts w:ascii="Times New Roman" w:cs="Times New Roman" w:eastAsia="Times New Roman" w:hAnsi="Times New Roman"/>
          <w:sz w:val="16"/>
          <w:szCs w:val="16"/>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Successor Company</w:t>
      </w:r>
      <w:r>
        <w:rPr>
          <w:rFonts w:ascii="Times New Roman" w:cs="Times New Roman" w:eastAsia="Times New Roman" w:hAnsi="Times New Roman"/>
          <w:sz w:val="16"/>
          <w:szCs w:val="16"/>
          <w:color w:val="auto"/>
        </w:rPr>
        <w:t>” shall have the meaning specified in Section 11.01(a).</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Suspension Period</w:t>
      </w:r>
      <w:r>
        <w:rPr>
          <w:rFonts w:ascii="Times New Roman" w:cs="Times New Roman" w:eastAsia="Times New Roman" w:hAnsi="Times New Roman"/>
          <w:sz w:val="16"/>
          <w:szCs w:val="16"/>
          <w:color w:val="auto"/>
        </w:rPr>
        <w:t>” shall have the meaning specified in Section 4.19(c).</w:t>
      </w:r>
    </w:p>
    <w:p>
      <w:pPr>
        <w:spacing w:after="0" w:line="198" w:lineRule="exact"/>
        <w:rPr>
          <w:sz w:val="20"/>
          <w:szCs w:val="20"/>
          <w:color w:val="auto"/>
        </w:rPr>
      </w:pPr>
    </w:p>
    <w:p>
      <w:pPr>
        <w:jc w:val="both"/>
        <w:ind w:firstLine="382"/>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Trading Day</w:t>
      </w:r>
      <w:r>
        <w:rPr>
          <w:rFonts w:ascii="Times New Roman" w:cs="Times New Roman" w:eastAsia="Times New Roman" w:hAnsi="Times New Roman"/>
          <w:sz w:val="16"/>
          <w:szCs w:val="16"/>
          <w:color w:val="auto"/>
        </w:rPr>
        <w:t xml:space="preserve">” means, except for determining amounts due upon conversion as set forth below, a day on which (i) trading in the Common Stock (or other security for which a closing sale price must be determined) generally occurs on The Nasdaq Stock Market or, if the Common Stock (or such other security) is not then listed on The Nasdaq Stock Market, on the principal other U.S. national or regional securities exchange on which the Common Stock (or such other security) is then listed or, if the Common Stock (or such other security) is not then listed on a U.S. national or regional securities exchange, on the principal other market (including an over-the-counter market) on which the Common Stock (or such other security) is then traded and (ii) a Last Reported Sale Price for the Common Stock (or closing sale price for such other security) is available on such securities exchange or market;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the Common Stock (or such other security) is not so listed or traded, “</w:t>
      </w:r>
      <w:r>
        <w:rPr>
          <w:rFonts w:ascii="Times New Roman" w:cs="Times New Roman" w:eastAsia="Times New Roman" w:hAnsi="Times New Roman"/>
          <w:sz w:val="16"/>
          <w:szCs w:val="16"/>
          <w:b w:val="1"/>
          <w:bCs w:val="1"/>
          <w:color w:val="auto"/>
        </w:rPr>
        <w:t>Trading Day</w:t>
      </w:r>
      <w:r>
        <w:rPr>
          <w:rFonts w:ascii="Times New Roman" w:cs="Times New Roman" w:eastAsia="Times New Roman" w:hAnsi="Times New Roman"/>
          <w:sz w:val="16"/>
          <w:szCs w:val="16"/>
          <w:color w:val="auto"/>
        </w:rPr>
        <w:t xml:space="preserve">” means a Business Day; and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further </w:t>
      </w:r>
      <w:r>
        <w:rPr>
          <w:rFonts w:ascii="Times New Roman" w:cs="Times New Roman" w:eastAsia="Times New Roman" w:hAnsi="Times New Roman"/>
          <w:sz w:val="16"/>
          <w:szCs w:val="16"/>
          <w:color w:val="auto"/>
        </w:rPr>
        <w:t>that, for purposes of determining amounts due upon conversion only, “</w:t>
      </w:r>
      <w:r>
        <w:rPr>
          <w:rFonts w:ascii="Times New Roman" w:cs="Times New Roman" w:eastAsia="Times New Roman" w:hAnsi="Times New Roman"/>
          <w:sz w:val="16"/>
          <w:szCs w:val="16"/>
          <w:b w:val="1"/>
          <w:bCs w:val="1"/>
          <w:color w:val="auto"/>
        </w:rPr>
        <w:t>Trading Day</w:t>
      </w:r>
      <w:r>
        <w:rPr>
          <w:rFonts w:ascii="Times New Roman" w:cs="Times New Roman" w:eastAsia="Times New Roman" w:hAnsi="Times New Roman"/>
          <w:sz w:val="16"/>
          <w:szCs w:val="16"/>
          <w:color w:val="auto"/>
        </w:rPr>
        <w:t>” means a day on which (x) there is no Market Disruption Event and (y) trading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Common Stock generally occurs on The Nasdaq Stock Market or, if the Common Stock is not then listed on The Nasdaq Stock Market, on the principal other U.S. national or regional securities exchange on which the Common Stock is then listed or, if the Common Stock is not then listed on a U.S. national or regional securities exchange, on the principal other market on which the Common Stock is then listed or admitted for trading, except that if the Common Stock is not so listed or admitted for trading, “</w:t>
      </w:r>
      <w:r>
        <w:rPr>
          <w:rFonts w:ascii="Times New Roman" w:cs="Times New Roman" w:eastAsia="Times New Roman" w:hAnsi="Times New Roman"/>
          <w:sz w:val="16"/>
          <w:szCs w:val="16"/>
          <w:b w:val="1"/>
          <w:bCs w:val="1"/>
          <w:color w:val="auto"/>
        </w:rPr>
        <w:t>Trading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Day</w:t>
      </w:r>
      <w:r>
        <w:rPr>
          <w:rFonts w:ascii="Times New Roman" w:cs="Times New Roman" w:eastAsia="Times New Roman" w:hAnsi="Times New Roman"/>
          <w:sz w:val="16"/>
          <w:szCs w:val="16"/>
          <w:color w:val="auto"/>
        </w:rPr>
        <w:t>” means a Business Day.</w:t>
      </w:r>
    </w:p>
    <w:p>
      <w:pPr>
        <w:spacing w:after="0" w:line="169" w:lineRule="exact"/>
        <w:rPr>
          <w:sz w:val="20"/>
          <w:szCs w:val="20"/>
          <w:color w:val="auto"/>
        </w:rPr>
      </w:pPr>
    </w:p>
    <w:p>
      <w:pPr>
        <w:jc w:val="both"/>
        <w:ind w:firstLine="382"/>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Trading Price</w:t>
      </w:r>
      <w:r>
        <w:rPr>
          <w:rFonts w:ascii="Times New Roman" w:cs="Times New Roman" w:eastAsia="Times New Roman" w:hAnsi="Times New Roman"/>
          <w:sz w:val="16"/>
          <w:szCs w:val="16"/>
          <w:color w:val="auto"/>
        </w:rPr>
        <w:t xml:space="preserve">” of the Notes on any date of determination means the average of the secondary market bid quotations obtained for $2,000,000 principal amount of Notes at approximately 3:30 p.m., New York City time, on such determination date from three independent nationally recognized securities dealers the Company selects for this purpose;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three such bids cannot reasonably be obtained but two such bids are obtained, then the average of the two bids shall be used, and if only one such bid can reasonably be obtained, that one bid shall be used.</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Transaction Document</w:t>
      </w:r>
      <w:r>
        <w:rPr>
          <w:rFonts w:ascii="Times New Roman" w:cs="Times New Roman" w:eastAsia="Times New Roman" w:hAnsi="Times New Roman"/>
          <w:sz w:val="16"/>
          <w:szCs w:val="16"/>
          <w:color w:val="auto"/>
        </w:rPr>
        <w:t>” means any Subscription Agreement, this Indenture and the Notes.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37" w:name="page38"/>
    <w:bookmarkEnd w:id="37"/>
    <w:p>
      <w:pPr>
        <w:ind w:left="38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transfer</w:t>
      </w:r>
      <w:r>
        <w:rPr>
          <w:rFonts w:ascii="Times New Roman" w:cs="Times New Roman" w:eastAsia="Times New Roman" w:hAnsi="Times New Roman"/>
          <w:sz w:val="16"/>
          <w:szCs w:val="16"/>
          <w:color w:val="auto"/>
        </w:rPr>
        <w:t>” shall have the meaning specified in Section 2.05(c).</w:t>
      </w:r>
    </w:p>
    <w:p>
      <w:pPr>
        <w:spacing w:after="0" w:line="198" w:lineRule="exact"/>
        <w:rPr>
          <w:sz w:val="20"/>
          <w:szCs w:val="20"/>
          <w:color w:val="auto"/>
        </w:rPr>
      </w:pPr>
    </w:p>
    <w:p>
      <w:pPr>
        <w:jc w:val="both"/>
        <w:ind w:left="4" w:firstLine="382"/>
        <w:spacing w:after="0" w:line="23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Treasury Rate</w:t>
      </w:r>
      <w:r>
        <w:rPr>
          <w:rFonts w:ascii="Times New Roman" w:cs="Times New Roman" w:eastAsia="Times New Roman" w:hAnsi="Times New Roman"/>
          <w:sz w:val="15"/>
          <w:szCs w:val="15"/>
          <w:color w:val="auto"/>
        </w:rPr>
        <w:t>” means, at any redemption date, the yield to maturity as of such redemption date of constant maturity United States Treasury securities (as compiled and published in the most recent Federal Reserve Statistical Release H. 15 (519) that has become publicly available at least two Business Days prior to such redemption date (or, if such statistical release is no longer published, any publicly available source of similar market data)) most nearly equal to the period from such redemption date to [●], 2025</w:t>
      </w:r>
      <w:r>
        <w:rPr>
          <w:rFonts w:ascii="Times New Roman" w:cs="Times New Roman" w:eastAsia="Times New Roman" w:hAnsi="Times New Roman"/>
          <w:sz w:val="25"/>
          <w:szCs w:val="25"/>
          <w:color w:val="auto"/>
          <w:vertAlign w:val="superscript"/>
        </w:rPr>
        <w:t>5</w:t>
      </w:r>
      <w:r>
        <w:rPr>
          <w:rFonts w:ascii="Times New Roman" w:cs="Times New Roman" w:eastAsia="Times New Roman" w:hAnsi="Times New Roman"/>
          <w:sz w:val="15"/>
          <w:szCs w:val="15"/>
          <w:color w:val="auto"/>
        </w:rPr>
        <w:t xml:space="preserve"> (or,</w:t>
      </w:r>
    </w:p>
    <w:p>
      <w:pPr>
        <w:spacing w:after="0" w:line="2" w:lineRule="exact"/>
        <w:rPr>
          <w:sz w:val="20"/>
          <w:szCs w:val="20"/>
          <w:color w:val="auto"/>
        </w:rPr>
      </w:pPr>
    </w:p>
    <w:p>
      <w:pPr>
        <w:jc w:val="both"/>
        <w:ind w:left="4"/>
        <w:spacing w:after="0" w:line="225" w:lineRule="auto"/>
        <w:rPr>
          <w:sz w:val="20"/>
          <w:szCs w:val="20"/>
          <w:color w:val="auto"/>
        </w:rPr>
      </w:pPr>
      <w:r>
        <w:rPr>
          <w:rFonts w:ascii="Times New Roman" w:cs="Times New Roman" w:eastAsia="Times New Roman" w:hAnsi="Times New Roman"/>
          <w:sz w:val="16"/>
          <w:szCs w:val="16"/>
          <w:color w:val="auto"/>
        </w:rPr>
        <w:t>in the case of a redemption after such date, [●], 2025</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6"/>
          <w:szCs w:val="16"/>
          <w:color w:val="auto"/>
        </w:rPr>
        <w:t>; provided, however, that if no published maturity exactly corresponds with such date, then the Treasury Rate shall be interpolated or extrapolated on a straight-line basis from the arithmetic mean of the yields for the next shortest and next longest published maturities; provided further, however, that if the period from such redemption date to [●], 2025 (or, in the case of a redemption after such date, [●], 2025, is less than one year, the weekly average yield on actually traded United States Treasury securities adjusted to a constant maturity of one year will be used.</w:t>
      </w:r>
    </w:p>
    <w:p>
      <w:pPr>
        <w:spacing w:after="0" w:line="174"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Trigger Event</w:t>
      </w:r>
      <w:r>
        <w:rPr>
          <w:rFonts w:ascii="Times New Roman" w:cs="Times New Roman" w:eastAsia="Times New Roman" w:hAnsi="Times New Roman"/>
          <w:sz w:val="16"/>
          <w:szCs w:val="16"/>
          <w:color w:val="auto"/>
        </w:rPr>
        <w:t>” shall have the meaning specified in Section 14.04(c).</w:t>
      </w:r>
    </w:p>
    <w:p>
      <w:pPr>
        <w:spacing w:after="0" w:line="198" w:lineRule="exact"/>
        <w:rPr>
          <w:sz w:val="20"/>
          <w:szCs w:val="20"/>
          <w:color w:val="auto"/>
        </w:rPr>
      </w:pPr>
    </w:p>
    <w:p>
      <w:pPr>
        <w:jc w:val="both"/>
        <w:ind w:left="4" w:right="20" w:firstLine="382"/>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Trust Indenture Act</w:t>
      </w:r>
      <w:r>
        <w:rPr>
          <w:rFonts w:ascii="Times New Roman" w:cs="Times New Roman" w:eastAsia="Times New Roman" w:hAnsi="Times New Roman"/>
          <w:sz w:val="16"/>
          <w:szCs w:val="16"/>
          <w:color w:val="auto"/>
        </w:rPr>
        <w:t xml:space="preserve">” means the Trust Indenture Act of 1939, as amended, as it was in force at the date of execution of this Indenture;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in the event the Trust Indenture Act of 1939 is amended after the date hereof, the term “Trust Indenture Act” shall mean, to the extent required by such amendment, the Trust Indenture Act of 1939, as so amended.</w:t>
      </w:r>
    </w:p>
    <w:p>
      <w:pPr>
        <w:spacing w:after="0" w:line="153" w:lineRule="exact"/>
        <w:rPr>
          <w:sz w:val="20"/>
          <w:szCs w:val="20"/>
          <w:color w:val="auto"/>
        </w:rPr>
      </w:pPr>
    </w:p>
    <w:p>
      <w:pPr>
        <w:jc w:val="both"/>
        <w:ind w:left="4" w:right="20"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Trustee</w:t>
      </w:r>
      <w:r>
        <w:rPr>
          <w:rFonts w:ascii="Times New Roman" w:cs="Times New Roman" w:eastAsia="Times New Roman" w:hAnsi="Times New Roman"/>
          <w:sz w:val="16"/>
          <w:szCs w:val="16"/>
          <w:color w:val="auto"/>
        </w:rPr>
        <w:t>” means the Person named as the “</w:t>
      </w:r>
      <w:r>
        <w:rPr>
          <w:rFonts w:ascii="Times New Roman" w:cs="Times New Roman" w:eastAsia="Times New Roman" w:hAnsi="Times New Roman"/>
          <w:sz w:val="16"/>
          <w:szCs w:val="16"/>
          <w:b w:val="1"/>
          <w:bCs w:val="1"/>
          <w:color w:val="auto"/>
        </w:rPr>
        <w:t>Trustee</w:t>
      </w:r>
      <w:r>
        <w:rPr>
          <w:rFonts w:ascii="Times New Roman" w:cs="Times New Roman" w:eastAsia="Times New Roman" w:hAnsi="Times New Roman"/>
          <w:sz w:val="16"/>
          <w:szCs w:val="16"/>
          <w:color w:val="auto"/>
        </w:rPr>
        <w:t>” in the first paragraph of this Indenture until a successor trustee shall have become such pursuant to the applicable provisions of this Indenture, and thereafter “</w:t>
      </w:r>
      <w:r>
        <w:rPr>
          <w:rFonts w:ascii="Times New Roman" w:cs="Times New Roman" w:eastAsia="Times New Roman" w:hAnsi="Times New Roman"/>
          <w:sz w:val="16"/>
          <w:szCs w:val="16"/>
          <w:b w:val="1"/>
          <w:bCs w:val="1"/>
          <w:color w:val="auto"/>
        </w:rPr>
        <w:t>Trustee</w:t>
      </w:r>
      <w:r>
        <w:rPr>
          <w:rFonts w:ascii="Times New Roman" w:cs="Times New Roman" w:eastAsia="Times New Roman" w:hAnsi="Times New Roman"/>
          <w:sz w:val="16"/>
          <w:szCs w:val="16"/>
          <w:color w:val="auto"/>
        </w:rPr>
        <w:t>” shall mean or include each Person who is then a Trustee hereunder.</w:t>
      </w:r>
    </w:p>
    <w:p>
      <w:pPr>
        <w:spacing w:after="0" w:line="140"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unit of Reference Property</w:t>
      </w:r>
      <w:r>
        <w:rPr>
          <w:rFonts w:ascii="Times New Roman" w:cs="Times New Roman" w:eastAsia="Times New Roman" w:hAnsi="Times New Roman"/>
          <w:sz w:val="16"/>
          <w:szCs w:val="16"/>
          <w:color w:val="auto"/>
        </w:rPr>
        <w:t>” shall have the meaning specified in Section 14.07(a).</w:t>
      </w:r>
    </w:p>
    <w:p>
      <w:pPr>
        <w:spacing w:after="0" w:line="198"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Valuation Period</w:t>
      </w:r>
      <w:r>
        <w:rPr>
          <w:rFonts w:ascii="Times New Roman" w:cs="Times New Roman" w:eastAsia="Times New Roman" w:hAnsi="Times New Roman"/>
          <w:sz w:val="16"/>
          <w:szCs w:val="16"/>
          <w:color w:val="auto"/>
        </w:rPr>
        <w:t>” shall have the meaning specified in Section 14.04(c).</w:t>
      </w:r>
    </w:p>
    <w:p>
      <w:pPr>
        <w:spacing w:after="0" w:line="198" w:lineRule="exact"/>
        <w:rPr>
          <w:sz w:val="20"/>
          <w:szCs w:val="20"/>
          <w:color w:val="auto"/>
        </w:rPr>
      </w:pPr>
    </w:p>
    <w:p>
      <w:pPr>
        <w:jc w:val="both"/>
        <w:ind w:left="4" w:firstLine="382"/>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Volume Failure</w:t>
      </w:r>
      <w:r>
        <w:rPr>
          <w:rFonts w:ascii="Times New Roman" w:cs="Times New Roman" w:eastAsia="Times New Roman" w:hAnsi="Times New Roman"/>
          <w:sz w:val="16"/>
          <w:szCs w:val="16"/>
          <w:color w:val="auto"/>
        </w:rPr>
        <w:t>” means, with respect to a particular date of determination, the average daily dollar trading volume (as reported on Bloomberg) of the Common Stock on the primary U.S. national or regional securities exchange or market on which the Common Stock is listed on any Trading Day during the 20 Trading Day period ending on the Trading Day immediately preceding such date of determination (such period, the “</w:t>
      </w:r>
      <w:r>
        <w:rPr>
          <w:rFonts w:ascii="Times New Roman" w:cs="Times New Roman" w:eastAsia="Times New Roman" w:hAnsi="Times New Roman"/>
          <w:sz w:val="16"/>
          <w:szCs w:val="16"/>
          <w:b w:val="1"/>
          <w:bCs w:val="1"/>
          <w:color w:val="auto"/>
        </w:rPr>
        <w:t>Volume Failure Measuring Period</w:t>
      </w:r>
      <w:r>
        <w:rPr>
          <w:rFonts w:ascii="Times New Roman" w:cs="Times New Roman" w:eastAsia="Times New Roman" w:hAnsi="Times New Roman"/>
          <w:sz w:val="16"/>
          <w:szCs w:val="16"/>
          <w:color w:val="auto"/>
        </w:rPr>
        <w:t>”), is less than $2,000,000 (as adjusted for any stock splits, stock dividends, stock combinations, recapitalizations or other similar transactions occurring after the effective date of the Subscription Agreement). All such determinations to be appropriately adjusted for any stock splits, stock dividends, stock combinations, recapitalizations or other similar transactions during such Volume Failure Measuring Period.</w:t>
      </w:r>
    </w:p>
    <w:p>
      <w:pPr>
        <w:spacing w:after="0" w:line="161" w:lineRule="exact"/>
        <w:rPr>
          <w:sz w:val="20"/>
          <w:szCs w:val="20"/>
          <w:color w:val="auto"/>
        </w:rPr>
      </w:pPr>
    </w:p>
    <w:p>
      <w:pPr>
        <w:jc w:val="both"/>
        <w:ind w:left="4" w:right="20" w:firstLine="382"/>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Weighted Average Life to Maturity</w:t>
      </w:r>
      <w:r>
        <w:rPr>
          <w:rFonts w:ascii="Times New Roman" w:cs="Times New Roman" w:eastAsia="Times New Roman" w:hAnsi="Times New Roman"/>
          <w:sz w:val="16"/>
          <w:szCs w:val="16"/>
          <w:color w:val="auto"/>
        </w:rPr>
        <w:t>” means, when applied to any Indebtedness at any date, the number of years obtained by dividing (1) the then outstanding aggregate principal amount of such Indebtedness into (2) the sum of the total of the products obtained by multiplying (a) the amount of each then remaining installment, sinking fund, serial maturity or other required payment of principal, including payment at final maturity, in respect thereof, by (b) the number of years (calculated to the nearest one-twelfth) which will elapse between such date and the making of such payment.</w:t>
      </w:r>
    </w:p>
    <w:p>
      <w:pPr>
        <w:spacing w:after="0" w:line="159" w:lineRule="exact"/>
        <w:rPr>
          <w:sz w:val="20"/>
          <w:szCs w:val="20"/>
          <w:color w:val="auto"/>
        </w:rPr>
      </w:pPr>
    </w:p>
    <w:p>
      <w:pPr>
        <w:jc w:val="both"/>
        <w:ind w:left="4" w:right="20"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Wholly Owned Subsidiary</w:t>
      </w:r>
      <w:r>
        <w:rPr>
          <w:rFonts w:ascii="Times New Roman" w:cs="Times New Roman" w:eastAsia="Times New Roman" w:hAnsi="Times New Roman"/>
          <w:sz w:val="16"/>
          <w:szCs w:val="16"/>
          <w:color w:val="auto"/>
        </w:rPr>
        <w:t>” means, with respect to any Person, any Subsidiary of such Person, except that, solely for purposes of this definition, the reference to “more than 50%” in the definition of “Subsidiary” shall be deemed replaced by a reference to “100%.”</w:t>
      </w:r>
    </w:p>
    <w:p>
      <w:pPr>
        <w:spacing w:after="0" w:line="140" w:lineRule="exact"/>
        <w:rPr>
          <w:sz w:val="20"/>
          <w:szCs w:val="20"/>
          <w:color w:val="auto"/>
        </w:rPr>
      </w:pPr>
    </w:p>
    <w:p>
      <w:pPr>
        <w:jc w:val="both"/>
        <w:ind w:left="4" w:right="20" w:firstLine="382"/>
        <w:spacing w:after="0" w:line="260" w:lineRule="auto"/>
        <w:rPr>
          <w:sz w:val="20"/>
          <w:szCs w:val="20"/>
          <w:color w:val="auto"/>
        </w:rPr>
      </w:pPr>
      <w:r>
        <w:rPr>
          <w:rFonts w:ascii="Times New Roman" w:cs="Times New Roman" w:eastAsia="Times New Roman" w:hAnsi="Times New Roman"/>
          <w:sz w:val="16"/>
          <w:szCs w:val="16"/>
          <w:color w:val="auto"/>
        </w:rPr>
        <w:t xml:space="preserve">Section 1.02. </w:t>
      </w:r>
      <w:r>
        <w:rPr>
          <w:rFonts w:ascii="Times New Roman" w:cs="Times New Roman" w:eastAsia="Times New Roman" w:hAnsi="Times New Roman"/>
          <w:sz w:val="16"/>
          <w:szCs w:val="16"/>
          <w:i w:val="1"/>
          <w:iCs w:val="1"/>
          <w:color w:val="auto"/>
        </w:rPr>
        <w:t>References to Interest.</w:t>
      </w:r>
      <w:r>
        <w:rPr>
          <w:rFonts w:ascii="Times New Roman" w:cs="Times New Roman" w:eastAsia="Times New Roman" w:hAnsi="Times New Roman"/>
          <w:sz w:val="16"/>
          <w:szCs w:val="16"/>
          <w:color w:val="auto"/>
        </w:rPr>
        <w:t xml:space="preserve"> Unless the context otherwise requires, any reference to interest on, or in respect of, any Note in this Indenture shall be deemed to include Additional Interest if, in such context, Additional Interest is, was or would be payable pursuant to any of Section 4.06(d) and Section 6.03. Unless the context otherwise requires, any express mention of Additional Interest in any provision hereof shall not be construed as excluding Additional Interest in those provisions hereof where such express mention is not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112395</wp:posOffset>
            </wp:positionV>
            <wp:extent cx="1790700"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177" w:lineRule="exact"/>
        <w:rPr>
          <w:sz w:val="20"/>
          <w:szCs w:val="20"/>
          <w:color w:val="auto"/>
        </w:rPr>
      </w:pPr>
    </w:p>
    <w:p>
      <w:pPr>
        <w:ind w:left="284" w:hanging="284"/>
        <w:spacing w:after="0"/>
        <w:tabs>
          <w:tab w:leader="none" w:pos="284"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NTD: Insert date that is the day before the third anniversary of issuance.</w:t>
      </w:r>
    </w:p>
    <w:p>
      <w:pPr>
        <w:spacing w:after="0" w:line="23" w:lineRule="exact"/>
        <w:rPr>
          <w:rFonts w:ascii="Times New Roman" w:cs="Times New Roman" w:eastAsia="Times New Roman" w:hAnsi="Times New Roman"/>
          <w:sz w:val="16"/>
          <w:szCs w:val="16"/>
          <w:color w:val="auto"/>
        </w:rPr>
      </w:pPr>
    </w:p>
    <w:p>
      <w:pPr>
        <w:ind w:left="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   NTD: Insert date that is third anniversary of issuance.</w:t>
      </w:r>
    </w:p>
    <w:p>
      <w:pPr>
        <w:spacing w:after="0" w:line="37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6"/>
          <w:szCs w:val="16"/>
          <w:color w:val="auto"/>
        </w:rPr>
        <w:t>ARTICLE 2</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w:t>
      </w:r>
      <w:r>
        <w:rPr>
          <w:rFonts w:ascii="Times New Roman" w:cs="Times New Roman" w:eastAsia="Times New Roman" w:hAnsi="Times New Roman"/>
          <w:sz w:val="10"/>
          <w:szCs w:val="10"/>
          <w:color w:val="auto"/>
        </w:rPr>
        <w:t>ssue</w:t>
      </w:r>
      <w:r>
        <w:rPr>
          <w:rFonts w:ascii="Times New Roman" w:cs="Times New Roman" w:eastAsia="Times New Roman" w:hAnsi="Times New Roman"/>
          <w:sz w:val="16"/>
          <w:szCs w:val="16"/>
          <w:color w:val="auto"/>
        </w:rPr>
        <w:t>, D</w:t>
      </w:r>
      <w:r>
        <w:rPr>
          <w:rFonts w:ascii="Times New Roman" w:cs="Times New Roman" w:eastAsia="Times New Roman" w:hAnsi="Times New Roman"/>
          <w:sz w:val="10"/>
          <w:szCs w:val="10"/>
          <w:color w:val="auto"/>
        </w:rPr>
        <w:t>escription</w:t>
      </w:r>
      <w:r>
        <w:rPr>
          <w:rFonts w:ascii="Times New Roman" w:cs="Times New Roman" w:eastAsia="Times New Roman" w:hAnsi="Times New Roman"/>
          <w:sz w:val="16"/>
          <w:szCs w:val="16"/>
          <w:color w:val="auto"/>
        </w:rPr>
        <w:t>, E</w:t>
      </w:r>
      <w:r>
        <w:rPr>
          <w:rFonts w:ascii="Times New Roman" w:cs="Times New Roman" w:eastAsia="Times New Roman" w:hAnsi="Times New Roman"/>
          <w:sz w:val="10"/>
          <w:szCs w:val="10"/>
          <w:color w:val="auto"/>
        </w:rPr>
        <w:t>xecution</w:t>
      </w:r>
      <w:r>
        <w:rPr>
          <w:rFonts w:ascii="Times New Roman" w:cs="Times New Roman" w:eastAsia="Times New Roman" w:hAnsi="Times New Roman"/>
          <w:sz w:val="16"/>
          <w:szCs w:val="16"/>
          <w:color w:val="auto"/>
        </w:rPr>
        <w:t>, R</w:t>
      </w:r>
      <w:r>
        <w:rPr>
          <w:rFonts w:ascii="Times New Roman" w:cs="Times New Roman" w:eastAsia="Times New Roman" w:hAnsi="Times New Roman"/>
          <w:sz w:val="10"/>
          <w:szCs w:val="10"/>
          <w:color w:val="auto"/>
        </w:rPr>
        <w:t>egistration and</w:t>
      </w:r>
      <w:r>
        <w:rPr>
          <w:rFonts w:ascii="Times New Roman" w:cs="Times New Roman" w:eastAsia="Times New Roman" w:hAnsi="Times New Roman"/>
          <w:sz w:val="16"/>
          <w:szCs w:val="16"/>
          <w:color w:val="auto"/>
        </w:rPr>
        <w:t xml:space="preserve"> E</w:t>
      </w:r>
      <w:r>
        <w:rPr>
          <w:rFonts w:ascii="Times New Roman" w:cs="Times New Roman" w:eastAsia="Times New Roman" w:hAnsi="Times New Roman"/>
          <w:sz w:val="10"/>
          <w:szCs w:val="10"/>
          <w:color w:val="auto"/>
        </w:rPr>
        <w:t>xchange of</w:t>
      </w:r>
      <w:r>
        <w:rPr>
          <w:rFonts w:ascii="Times New Roman" w:cs="Times New Roman" w:eastAsia="Times New Roman" w:hAnsi="Times New Roman"/>
          <w:sz w:val="16"/>
          <w:szCs w:val="16"/>
          <w:color w:val="auto"/>
        </w:rPr>
        <w:t xml:space="preserve"> N</w:t>
      </w:r>
      <w:r>
        <w:rPr>
          <w:rFonts w:ascii="Times New Roman" w:cs="Times New Roman" w:eastAsia="Times New Roman" w:hAnsi="Times New Roman"/>
          <w:sz w:val="10"/>
          <w:szCs w:val="10"/>
          <w:color w:val="auto"/>
        </w:rPr>
        <w:t>otes</w:t>
      </w:r>
    </w:p>
    <w:p>
      <w:pPr>
        <w:spacing w:after="0" w:line="180"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6"/>
          <w:szCs w:val="16"/>
          <w:color w:val="auto"/>
        </w:rPr>
        <w:t xml:space="preserve">Section 2.01. </w:t>
      </w:r>
      <w:r>
        <w:rPr>
          <w:rFonts w:ascii="Times New Roman" w:cs="Times New Roman" w:eastAsia="Times New Roman" w:hAnsi="Times New Roman"/>
          <w:sz w:val="16"/>
          <w:szCs w:val="16"/>
          <w:i w:val="1"/>
          <w:iCs w:val="1"/>
          <w:color w:val="auto"/>
        </w:rPr>
        <w:t>Designation and Amount.</w:t>
      </w:r>
      <w:r>
        <w:rPr>
          <w:rFonts w:ascii="Times New Roman" w:cs="Times New Roman" w:eastAsia="Times New Roman" w:hAnsi="Times New Roman"/>
          <w:sz w:val="16"/>
          <w:szCs w:val="16"/>
          <w:color w:val="auto"/>
        </w:rPr>
        <w:t xml:space="preserve"> The Notes shall be designated as the “15.0% Cash + 5.0% PIK Convertible Senior Notes due 2026.” The aggregate principal amount of Notes that may be authenticated and delivered under this Indenture is initially limited to $25,000,000 (excluding PIK Notes), subject to Section 2.10 and except for Notes authenticated and delivered upon registration or transfer of, or in exchange for, or in lieu of other Notes to the extent expressly permitted hereunder. Unless the context requires otherwise, references to the “principal” or “principal amount” of Notes including for purposes of calculating any Redemption Price, Fundamental Change Repurchase Price or otherwise, includes any increase in the principal amount of the Notes as a result of a PIK Payment and all references to “interest” shall include Cash Interest and PIK Interest.</w:t>
      </w:r>
    </w:p>
    <w:p>
      <w:pPr>
        <w:spacing w:after="0" w:line="161" w:lineRule="exact"/>
        <w:rPr>
          <w:sz w:val="20"/>
          <w:szCs w:val="20"/>
          <w:color w:val="auto"/>
        </w:rPr>
      </w:pPr>
    </w:p>
    <w:p>
      <w:pPr>
        <w:jc w:val="both"/>
        <w:ind w:firstLine="382"/>
        <w:spacing w:after="0" w:line="260" w:lineRule="auto"/>
        <w:rPr>
          <w:sz w:val="20"/>
          <w:szCs w:val="20"/>
          <w:color w:val="auto"/>
        </w:rPr>
      </w:pPr>
      <w:r>
        <w:rPr>
          <w:rFonts w:ascii="Times New Roman" w:cs="Times New Roman" w:eastAsia="Times New Roman" w:hAnsi="Times New Roman"/>
          <w:sz w:val="16"/>
          <w:szCs w:val="16"/>
          <w:color w:val="auto"/>
        </w:rPr>
        <w:t xml:space="preserve">Section 2.02. </w:t>
      </w:r>
      <w:r>
        <w:rPr>
          <w:rFonts w:ascii="Times New Roman" w:cs="Times New Roman" w:eastAsia="Times New Roman" w:hAnsi="Times New Roman"/>
          <w:sz w:val="16"/>
          <w:szCs w:val="16"/>
          <w:i w:val="1"/>
          <w:iCs w:val="1"/>
          <w:color w:val="auto"/>
        </w:rPr>
        <w:t>Form of Notes.</w:t>
      </w:r>
      <w:r>
        <w:rPr>
          <w:rFonts w:ascii="Times New Roman" w:cs="Times New Roman" w:eastAsia="Times New Roman" w:hAnsi="Times New Roman"/>
          <w:sz w:val="16"/>
          <w:szCs w:val="16"/>
          <w:color w:val="auto"/>
        </w:rPr>
        <w:t xml:space="preserve"> The Notes and the Trustee’s certificate of authentication to be borne by such Notes shall be substantially in the respective forms set forth in Exhibit A, the terms and provisions of which shall constitute, and are hereby expressly incorporated in and made a part of this Indenture. To the extent applicable, the Company and the Trustee, by their execution and delivery of this Indenture, expressly agree to such terms and provisions and to be bound thereby. In the case of any conflict between this Indenture and a Note, the provisions of this Indenture shall control and govern to the extent of such conflict.</w:t>
      </w:r>
    </w:p>
    <w:p>
      <w:pPr>
        <w:spacing w:after="0" w:line="161"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In connection with the payment of PIK Interest on each Interest Payment Date in respect of the Notes, the Company is entitled to, without the consent of the Holders and without regard to Section 2.01 and 4.11 hereof, increase the outstanding principal amount of the Notes or issue additional Notes (“</w:t>
      </w:r>
      <w:r>
        <w:rPr>
          <w:rFonts w:ascii="Times New Roman" w:cs="Times New Roman" w:eastAsia="Times New Roman" w:hAnsi="Times New Roman"/>
          <w:sz w:val="16"/>
          <w:szCs w:val="16"/>
          <w:b w:val="1"/>
          <w:bCs w:val="1"/>
          <w:color w:val="auto"/>
        </w:rPr>
        <w:t>PIK Notes</w:t>
      </w:r>
      <w:r>
        <w:rPr>
          <w:rFonts w:ascii="Times New Roman" w:cs="Times New Roman" w:eastAsia="Times New Roman" w:hAnsi="Times New Roman"/>
          <w:sz w:val="16"/>
          <w:szCs w:val="16"/>
          <w:color w:val="auto"/>
        </w:rPr>
        <w:t>”) under this Indenture on the same terms and conditions as the Notes (in each case, a “</w:t>
      </w:r>
      <w:r>
        <w:rPr>
          <w:rFonts w:ascii="Times New Roman" w:cs="Times New Roman" w:eastAsia="Times New Roman" w:hAnsi="Times New Roman"/>
          <w:sz w:val="16"/>
          <w:szCs w:val="16"/>
          <w:b w:val="1"/>
          <w:bCs w:val="1"/>
          <w:color w:val="auto"/>
        </w:rPr>
        <w:t>PIK Payment</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6"/>
          <w:szCs w:val="16"/>
          <w:color w:val="auto"/>
        </w:rPr>
        <w:t>Any Global Note may be endorsed with or have incorporated in the text thereof such legends or recitals or changes not inconsistent with the provisions of this Indenture as may be required by the Custodian or the Depositary, or as may be required to comply with any applicable law or any regulation thereunder or with the rules and regulations of any securities exchange or automated quotation system upon which the Notes may be listed or traded or designated for issuance or to conform with any usage with respect thereto, or to indicate any special limitations or restrictions to which any particular Notes are subject.</w:t>
      </w:r>
    </w:p>
    <w:p>
      <w:pPr>
        <w:spacing w:after="0" w:line="162"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6"/>
          <w:szCs w:val="16"/>
          <w:color w:val="auto"/>
        </w:rPr>
        <w:t>Any of the Notes may have such letters, numbers or other marks of identification and such notations, legends or endorsements as the Officer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securities exchange or automated quotation system on which the Notes may be listed or designated for issuance, or to conform to usage or to indicate any special limitations or restrictions to which any particular Notes are subject.</w:t>
      </w:r>
    </w:p>
    <w:p>
      <w:pPr>
        <w:spacing w:after="0" w:line="162" w:lineRule="exact"/>
        <w:rPr>
          <w:sz w:val="20"/>
          <w:szCs w:val="20"/>
          <w:color w:val="auto"/>
        </w:rPr>
      </w:pPr>
    </w:p>
    <w:p>
      <w:pPr>
        <w:jc w:val="both"/>
        <w:ind w:firstLine="382"/>
        <w:spacing w:after="0" w:line="254" w:lineRule="auto"/>
        <w:rPr>
          <w:sz w:val="20"/>
          <w:szCs w:val="20"/>
          <w:color w:val="auto"/>
        </w:rPr>
      </w:pPr>
      <w:r>
        <w:rPr>
          <w:rFonts w:ascii="Times New Roman" w:cs="Times New Roman" w:eastAsia="Times New Roman" w:hAnsi="Times New Roman"/>
          <w:sz w:val="16"/>
          <w:szCs w:val="16"/>
          <w:color w:val="auto"/>
        </w:rPr>
        <w:t>Each Global Note shall represent such principal amount of the outstanding Notes as shall be specified therein and shall provide that it shall represent the aggregate principal amount of outstanding Notes from time to time endorsed thereon and that the aggregate principal amount of outstanding Notes represented thereby may from time to time be increased or reduced to reflect redemptions, repurchases, cancellations, conversions, transfers or exchanges permitted hereby. Any endorsement of a Global Note to reflect the amount of any increase or decrease in the amount of outstanding Notes represented thereby shall be made by the Trustee or the Custodian, at the direction of the Trustee, in such manner and upon instructions given by the Holder of such Notes in accordance with this Indenture. Payment of principal (including the Redemption Price and the Fundamental Change Repurchase Price, if applicable) of, and accrued and unpaid interest on, a Global Note shall be made to the Holder of such Note on the date of payment, unless a record date or other means of determining Holders eligible to receive payment is provided for herein.</w:t>
      </w:r>
    </w:p>
    <w:p>
      <w:pPr>
        <w:spacing w:after="0" w:line="167" w:lineRule="exact"/>
        <w:rPr>
          <w:sz w:val="20"/>
          <w:szCs w:val="20"/>
          <w:color w:val="auto"/>
        </w:rPr>
      </w:pPr>
    </w:p>
    <w:p>
      <w:pPr>
        <w:jc w:val="both"/>
        <w:ind w:right="20" w:firstLine="382"/>
        <w:spacing w:after="0" w:line="257" w:lineRule="auto"/>
        <w:rPr>
          <w:sz w:val="20"/>
          <w:szCs w:val="20"/>
          <w:color w:val="auto"/>
        </w:rPr>
      </w:pPr>
      <w:r>
        <w:rPr>
          <w:rFonts w:ascii="Times New Roman" w:cs="Times New Roman" w:eastAsia="Times New Roman" w:hAnsi="Times New Roman"/>
          <w:sz w:val="16"/>
          <w:szCs w:val="16"/>
          <w:color w:val="auto"/>
        </w:rPr>
        <w:t>On each Interest Payment Date, the Company shall pay Cash Interest and shall pay PIK Interest with respect to a Global Note, and the Trustee upon receipt of an Authentication Order shall increase the principal amount of such Note by an amount equal to the PIK Interest payable, rounded up to the nearest $1.00 for the relevant interest period on the principal amount of such Note as of the relevant Regular Record Date for such Interest Payment Date, to the credit of the Holders on such Regular Record Date, pro rata in accordance with their interests, and an adjustment shall be made on the books and records of the Trustee with respect to such Global Note, by the Trustee to reflect such increase.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9" w:name="page40"/>
    <w:bookmarkEnd w:id="39"/>
    <w:p>
      <w:pPr>
        <w:jc w:val="both"/>
        <w:ind w:right="20" w:firstLine="382"/>
        <w:spacing w:after="0" w:line="259" w:lineRule="auto"/>
        <w:rPr>
          <w:sz w:val="20"/>
          <w:szCs w:val="20"/>
          <w:color w:val="auto"/>
        </w:rPr>
      </w:pPr>
      <w:r>
        <w:rPr>
          <w:rFonts w:ascii="Times New Roman" w:cs="Times New Roman" w:eastAsia="Times New Roman" w:hAnsi="Times New Roman"/>
          <w:sz w:val="16"/>
          <w:szCs w:val="16"/>
          <w:color w:val="auto"/>
        </w:rPr>
        <w:t>On each Interest Payment Date, the Company shall pay PIK Interest by issuing certificated PIK Notes, and the principal amount of such PIK Notes issued to any Holder, for the relevant interest period as of the relevant Regular Record Date for such Interest Payment Date, shall be rounded up to the nearest $1.00. Following an increase in the principal amount of a Global Note as a result of a PIK Payment such Global Note will bear interest on such increased principal amount from and after the relevant Interest Payment Date.</w:t>
      </w:r>
    </w:p>
    <w:p>
      <w:pPr>
        <w:spacing w:after="0" w:line="162"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For the avoidance of doubt, the Company shall make all payments of interest payable upon a redemption or in connection with a Fundamental Change in cash, assuming all PIK Interest is payable in cash.</w:t>
      </w:r>
    </w:p>
    <w:p>
      <w:pPr>
        <w:spacing w:after="0" w:line="142" w:lineRule="exact"/>
        <w:rPr>
          <w:sz w:val="20"/>
          <w:szCs w:val="20"/>
          <w:color w:val="auto"/>
        </w:rPr>
      </w:pPr>
    </w:p>
    <w:p>
      <w:pPr>
        <w:jc w:val="both"/>
        <w:ind w:right="20" w:firstLine="382"/>
        <w:spacing w:after="0" w:line="279" w:lineRule="auto"/>
        <w:rPr>
          <w:sz w:val="20"/>
          <w:szCs w:val="20"/>
          <w:color w:val="auto"/>
        </w:rPr>
      </w:pPr>
      <w:r>
        <w:rPr>
          <w:rFonts w:ascii="Times New Roman" w:cs="Times New Roman" w:eastAsia="Times New Roman" w:hAnsi="Times New Roman"/>
          <w:sz w:val="15"/>
          <w:szCs w:val="15"/>
          <w:color w:val="auto"/>
        </w:rPr>
        <w:t xml:space="preserve">Section 2.03. </w:t>
      </w:r>
      <w:r>
        <w:rPr>
          <w:rFonts w:ascii="Times New Roman" w:cs="Times New Roman" w:eastAsia="Times New Roman" w:hAnsi="Times New Roman"/>
          <w:sz w:val="15"/>
          <w:szCs w:val="15"/>
          <w:i w:val="1"/>
          <w:iCs w:val="1"/>
          <w:color w:val="auto"/>
        </w:rPr>
        <w:t>Date and Denomination of Notes; Payments of Interest and Defaulted Amounts.</w:t>
      </w:r>
      <w:r>
        <w:rPr>
          <w:rFonts w:ascii="Times New Roman" w:cs="Times New Roman" w:eastAsia="Times New Roman" w:hAnsi="Times New Roman"/>
          <w:sz w:val="15"/>
          <w:szCs w:val="15"/>
          <w:color w:val="auto"/>
        </w:rPr>
        <w:t xml:space="preserve"> (a) The Notes shall be issuable in registered form without coupons in minimum denominations of $1,000 principal amount and integral multiples thereof, subject to the issuance of PIK Notes or the increase in the principal amount of a Global Note in order to evidence PIK Payments, which PIK Notes or increased principal amount of a Global Note will be in denominations of $1.00 and integral multiples of $1.00 in excess thereof. Each Note shall be dated the date of its authentication and shall bear interest from the date specified on the face of such Note. Accrued interest on the Notes shall be computed on the basis of a 360-day year composed of twelve 30-day months and, for partial months, on the basis of the number of days actually elapsed in a 30-day month.</w:t>
      </w:r>
    </w:p>
    <w:p>
      <w:pPr>
        <w:spacing w:after="0" w:line="147" w:lineRule="exact"/>
        <w:rPr>
          <w:sz w:val="20"/>
          <w:szCs w:val="20"/>
          <w:color w:val="auto"/>
        </w:rPr>
      </w:pPr>
    </w:p>
    <w:p>
      <w:pPr>
        <w:jc w:val="both"/>
        <w:ind w:firstLine="1143"/>
        <w:spacing w:after="0" w:line="252" w:lineRule="auto"/>
        <w:tabs>
          <w:tab w:leader="none" w:pos="1372"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Person in whose name any Note (or its Predecessor Note) is registered on the Note Register at the close of business on any Regular Record Date with respect to any Interest Payment Date shall be entitled to receive the interest payable on such Interest Payment Date. The principal amount of any Note (x) in the case of any Physical Note, shall be payable at the office or agency of the Company maintained by the Company for such purposes in the United States of America, which shall initially be the Corporate Trust Office and (y) in the case of any Global Note, shall be payable by wire transfer of immediately available funds to the account of the Depositary or its nominee. The Company shall pay, or cause the Paying Agent to pay, interest (i) on any Physical Notes (A) to Holders holding Physical Notes having an aggregate principal amount of $5,000,000 or less, by check mailed to the Holders of these Notes at their addresses as they appear in the Note Register and (B) to Holders holding Physical Notes having an aggregate principal amount of more than $5,000,000, either by check mailed to each such Holder or, upon written application by such a Holder to the Note Registrar in a form reasonably satisfactory to the Note Registrar not later than the relevant Regular Record Date, by wire transfer in immediately available funds to that Holder’s account within the United States if such Holder has provided the Trustee or the Paying Agent (if other than the Trustee) with the requisite information necessary to make such wire transfer, which written application shall remain in effect until the Holder notifies, in writing, the Note Registrar to the contrary or (ii) on any Global Note by wire transfer of immediately available funds to the account of the Depositary or its nominee.</w:t>
      </w:r>
    </w:p>
    <w:p>
      <w:pPr>
        <w:spacing w:after="0" w:line="169"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7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Defaulted Amounts shall forthwith cease to be payable to the Holder on the relevant payment date but shall accrue interest per annum at the rate borne by the Notes, subject to the enforceability thereof under applicable law, from, and including, such relevant payment date, and such Defaulted Amounts together with such interest thereon shall be paid by the Company, at its election in each case, as provided in clause (i) or (ii) below:</w:t>
      </w:r>
    </w:p>
    <w:p>
      <w:pPr>
        <w:spacing w:after="0" w:line="155" w:lineRule="exact"/>
        <w:rPr>
          <w:rFonts w:ascii="Times New Roman" w:cs="Times New Roman" w:eastAsia="Times New Roman" w:hAnsi="Times New Roman"/>
          <w:sz w:val="16"/>
          <w:szCs w:val="16"/>
          <w:color w:val="auto"/>
        </w:rPr>
      </w:pPr>
    </w:p>
    <w:p>
      <w:pPr>
        <w:jc w:val="both"/>
        <w:ind w:firstLine="1366"/>
        <w:spacing w:after="0" w:line="251" w:lineRule="auto"/>
        <w:tabs>
          <w:tab w:leader="none" w:pos="1560"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elect to make payment of any Defaulted Amounts to the Persons in whose names the Notes (or their respective Predecessor Notes) are registered at the close of business on a special record date for the payment of such Defaulted Amounts, which shall be fixed in the following manner. The Company shall notify the Trustee in writing of the amount of the Defaulted Amounts proposed to be paid on each Note and the date of the proposed payment (which shall be not less than 25 days after the receipt by the Trustee of such notice, unless the Trustee shall consent to an earlier date), and at the same time the Company shall deposit with the Trustee an amount of money equal to the aggregate amount to be paid in respect of such Defaulted Amounts or shall make arrangements satisfactory to the Trustee for such deposit on or prior to the date of the proposed payment, such money when deposited to be held in trust for the benefit of the Persons entitled to such Defaulted Amounts as in this clause provided. Thereupon the Company shall fix a special record date for the payment of such Defaulted Amounts which shall be not more than 15 days and not less than 10 days prior to the date of the proposed payment, and not less than 10 days after the receipt by the Trustee of the notice of the proposed payment (unless the Trustee shall consent to an earlier date). The Company shall promptly notify the Trustee of such special record date at least [●] Business Days before such notice is to be sent to the Holders and the Trustee, in the name and at the expense of the Company, shall cause notice of the proposed payment of such Defaulted Amounts and the special record date therefor to be delivered to each Holder not less than 10 days prior to such special record date. Notice of the proposed payment of such Defaulted Amounts and the special record date therefor having been so delivered, such Defaulted Amounts shall be paid to the Persons in whose names the Notes (or their respective Predecessor Notes) are registered at the close of business on such special record date and shall no longer be payable pursuant to the following clause (ii) of this Section 2.03(c). The Trustee shall have no responsibility whatsoever for the calculation of the Defaulted Amount.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0" w:name="page41"/>
    <w:bookmarkEnd w:id="40"/>
    <w:p>
      <w:pPr>
        <w:jc w:val="both"/>
        <w:ind w:right="20" w:firstLine="1366"/>
        <w:spacing w:after="0" w:line="259" w:lineRule="auto"/>
        <w:tabs>
          <w:tab w:leader="none" w:pos="1622"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make payment of any Defaulted Amounts in any other lawful manner not inconsistent with the requirements of any securities exchange or automated quotation system on which the Notes may be listed or designated for issuance, and upon such notice as may be required by such exchange or automated quotation system, if, after notice given by the Company to the Trustee of the proposed payment pursuant to this clause, such manner of payment shall be deemed practicable by the Trustee.</w:t>
      </w:r>
    </w:p>
    <w:p>
      <w:pPr>
        <w:spacing w:after="0" w:line="160" w:lineRule="exact"/>
        <w:rPr>
          <w:sz w:val="20"/>
          <w:szCs w:val="20"/>
          <w:color w:val="auto"/>
        </w:rPr>
      </w:pPr>
    </w:p>
    <w:p>
      <w:pPr>
        <w:jc w:val="both"/>
        <w:ind w:firstLine="382"/>
        <w:spacing w:after="0" w:line="283" w:lineRule="auto"/>
        <w:rPr>
          <w:sz w:val="20"/>
          <w:szCs w:val="20"/>
          <w:color w:val="auto"/>
        </w:rPr>
      </w:pPr>
      <w:r>
        <w:rPr>
          <w:rFonts w:ascii="Times New Roman" w:cs="Times New Roman" w:eastAsia="Times New Roman" w:hAnsi="Times New Roman"/>
          <w:sz w:val="16"/>
          <w:szCs w:val="16"/>
          <w:color w:val="auto"/>
        </w:rPr>
        <w:t xml:space="preserve">Section 2.04. </w:t>
      </w:r>
      <w:r>
        <w:rPr>
          <w:rFonts w:ascii="Times New Roman" w:cs="Times New Roman" w:eastAsia="Times New Roman" w:hAnsi="Times New Roman"/>
          <w:sz w:val="16"/>
          <w:szCs w:val="16"/>
          <w:i w:val="1"/>
          <w:iCs w:val="1"/>
          <w:color w:val="auto"/>
        </w:rPr>
        <w:t>Execution, Authentication and Delivery of Notes.</w:t>
      </w:r>
      <w:r>
        <w:rPr>
          <w:rFonts w:ascii="Times New Roman" w:cs="Times New Roman" w:eastAsia="Times New Roman" w:hAnsi="Times New Roman"/>
          <w:sz w:val="16"/>
          <w:szCs w:val="16"/>
          <w:color w:val="auto"/>
        </w:rPr>
        <w:t xml:space="preserve"> The Notes shall be signed in the name and on behalf of the Company by the manual, facsimile or electronic signature of its Chief Executive Officer, Chief Financial Officer, Treasurer, Secretary or other Officer of the Company.</w:t>
      </w:r>
    </w:p>
    <w:p>
      <w:pPr>
        <w:spacing w:after="0" w:line="142"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6"/>
          <w:szCs w:val="16"/>
          <w:color w:val="auto"/>
        </w:rPr>
        <w:t xml:space="preserve">Subject to Section 4.11(c), at any time and from time to time after the execution and delivery of this Indenture, the Company may deliver Notes, including any additional Notes or PIK Notes, executed by the Company to the Trustee for authentication, together with a Company Order for the authentication and delivery of such Notes, and the Trustee in accordance with such Company Order shall authenticate and deliver such Notes, without any further action by the Company hereunder;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that the Trustee shall be entitled to receive an Officer’s Certificate and an Opinion of Counsel of the Company with respect to the issuance, authentication and delivery of such Notes;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that notwithstanding anything to the contrary herein, no Officer’s Certificate or Opinion of Counsel shall be required to be delivered in connection with a payment of PIK Interest on each Interest Payment Date (whether by an issuance of PIK Notes or by an increase in Global Notes reflecting a PIK Payment).</w:t>
      </w:r>
    </w:p>
    <w:p>
      <w:pPr>
        <w:spacing w:after="0" w:line="165"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6"/>
          <w:szCs w:val="16"/>
          <w:color w:val="auto"/>
        </w:rPr>
        <w:t>Only such Notes as shall bear thereon a certificate of authentication substantially in the form set forth on the Form of Note attached as Exhibit A hereto, executed manually by an authorized officer of the Trustee (or an authenticating agent appointed by the Trustee as provided by Section 18.10), shall be entitled to the benefits of this Indenture or be valid or obligatory for any purpose. Such certificate by the Trustee (or such an authenticating agent) upon any Note executed by the Company shall be conclusive evidence that the Note so authenticated has been duly authenticated and delivered hereunder and that the Holder is entitled to the benefits of this Indenture.</w:t>
      </w:r>
    </w:p>
    <w:p>
      <w:pPr>
        <w:spacing w:after="0" w:line="162"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6"/>
          <w:szCs w:val="16"/>
          <w:color w:val="auto"/>
        </w:rPr>
        <w:t>In case any Officer of the Company who shall have signed any of the Notes shall cease to be such Officer before the Notes so signed shall have been authenticated and delivered by the Trustee, or disposed of by the Company, such Notes nevertheless may be authenticated and delivered or disposed of as though the person who signed such Notes had not ceased to be such Officer of the Company; and any Note may be signed on behalf of the Company by such persons as, at the actual date of the execution of such Note, shall be the Officers of the Company, although at the date of the execution of this Indenture any such person was not such an Officer.</w:t>
      </w:r>
    </w:p>
    <w:p>
      <w:pPr>
        <w:spacing w:after="0" w:line="160"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6"/>
          <w:szCs w:val="16"/>
          <w:color w:val="auto"/>
        </w:rPr>
        <w:t xml:space="preserve">Section 2.05. </w:t>
      </w:r>
      <w:r>
        <w:rPr>
          <w:rFonts w:ascii="Times New Roman" w:cs="Times New Roman" w:eastAsia="Times New Roman" w:hAnsi="Times New Roman"/>
          <w:sz w:val="16"/>
          <w:szCs w:val="16"/>
          <w:i w:val="1"/>
          <w:iCs w:val="1"/>
          <w:color w:val="auto"/>
        </w:rPr>
        <w:t>Exchange and Registration of Transfer of Notes; Restrictions on Transfer; Depositary.</w:t>
      </w:r>
      <w:r>
        <w:rPr>
          <w:rFonts w:ascii="Times New Roman" w:cs="Times New Roman" w:eastAsia="Times New Roman" w:hAnsi="Times New Roman"/>
          <w:sz w:val="16"/>
          <w:szCs w:val="16"/>
          <w:color w:val="auto"/>
        </w:rPr>
        <w:t xml:space="preserve"> (a) The Company shall cause to be kept at the Corporate Trust Office a register (the register maintained in such office or in any other office or agency of the Company designated pursuant to Section 4.02, the “</w:t>
      </w:r>
      <w:r>
        <w:rPr>
          <w:rFonts w:ascii="Times New Roman" w:cs="Times New Roman" w:eastAsia="Times New Roman" w:hAnsi="Times New Roman"/>
          <w:sz w:val="16"/>
          <w:szCs w:val="16"/>
          <w:b w:val="1"/>
          <w:bCs w:val="1"/>
          <w:color w:val="auto"/>
        </w:rPr>
        <w:t>Note Register</w:t>
      </w:r>
      <w:r>
        <w:rPr>
          <w:rFonts w:ascii="Times New Roman" w:cs="Times New Roman" w:eastAsia="Times New Roman" w:hAnsi="Times New Roman"/>
          <w:sz w:val="16"/>
          <w:szCs w:val="16"/>
          <w:color w:val="auto"/>
        </w:rPr>
        <w:t>”) in which, subject to such reasonable regulations as it may prescribe, the Company shall provide for the registration of Notes and of transfers of Notes. Such register shall be in written form or in any form capable of being converted into written form within a reasonable period of time. The Trustee is hereby initially appointed the “</w:t>
      </w:r>
      <w:r>
        <w:rPr>
          <w:rFonts w:ascii="Times New Roman" w:cs="Times New Roman" w:eastAsia="Times New Roman" w:hAnsi="Times New Roman"/>
          <w:sz w:val="16"/>
          <w:szCs w:val="16"/>
          <w:b w:val="1"/>
          <w:bCs w:val="1"/>
          <w:color w:val="auto"/>
        </w:rPr>
        <w:t>Note Registrar</w:t>
      </w:r>
      <w:r>
        <w:rPr>
          <w:rFonts w:ascii="Times New Roman" w:cs="Times New Roman" w:eastAsia="Times New Roman" w:hAnsi="Times New Roman"/>
          <w:sz w:val="16"/>
          <w:szCs w:val="16"/>
          <w:color w:val="auto"/>
        </w:rPr>
        <w:t>” for the purpose of registering Notes and transfers of Notes as herein provided. The Company may appoint one or more co-Note Registrars in accordance with Section 4.02.</w:t>
      </w:r>
    </w:p>
    <w:p>
      <w:pPr>
        <w:spacing w:after="0" w:line="164"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Upon surrender for registration of transfer of any Note to the Note Registrar or any co-Note Registrar, and satisfaction of the requirements for such transfer set forth in this Section 2.05, the Company shall execute, and the Trustee shall authenticate and deliver, in the name of the designated transferee or transferees, one or more new Notes of any authorized denominations and of a like aggregate principal amount and bearing such restrictive legends as may be required by this Indenture.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1" w:name="page42"/>
    <w:bookmarkEnd w:id="41"/>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Notes may be exchanged for other Notes of any authorized denominations and of a like aggregate principal amount, upon surrender of the Notes to be exchanged at any such office or agency maintained by the Company pursuant to Section 4.02. Whenever any Notes are so surrendered for exchange, the Company shall execute, and the Trustee shall authenticate and deliver, the Notes that the Holder making the exchange is entitled to receive, bearing registration numbers not contemporaneously outstanding.</w:t>
      </w:r>
    </w:p>
    <w:p>
      <w:pPr>
        <w:spacing w:after="0" w:line="155" w:lineRule="exact"/>
        <w:rPr>
          <w:sz w:val="20"/>
          <w:szCs w:val="20"/>
          <w:color w:val="auto"/>
        </w:rPr>
      </w:pPr>
    </w:p>
    <w:p>
      <w:pPr>
        <w:jc w:val="both"/>
        <w:ind w:right="20" w:firstLine="382"/>
        <w:spacing w:after="0" w:line="265" w:lineRule="auto"/>
        <w:rPr>
          <w:sz w:val="20"/>
          <w:szCs w:val="20"/>
          <w:color w:val="auto"/>
        </w:rPr>
      </w:pPr>
      <w:r>
        <w:rPr>
          <w:rFonts w:ascii="Times New Roman" w:cs="Times New Roman" w:eastAsia="Times New Roman" w:hAnsi="Times New Roman"/>
          <w:sz w:val="16"/>
          <w:szCs w:val="16"/>
          <w:color w:val="auto"/>
        </w:rPr>
        <w:t>All Notes presented or surrendered for registration of transfer or for exchange, repurchase, redemption or conversion shall (if so required by the Company, the Trustee, the Note Registrar or any co-Note Registrar) be duly endorsed, or be accompanied by a written instrument or instruments of transfer in form satisfactory to the Company and duly executed, by the Holder thereof or its attorney-in-fact duly authorized in writing.</w:t>
      </w:r>
    </w:p>
    <w:p>
      <w:pPr>
        <w:spacing w:after="0" w:line="155" w:lineRule="exact"/>
        <w:rPr>
          <w:sz w:val="20"/>
          <w:szCs w:val="20"/>
          <w:color w:val="auto"/>
        </w:rPr>
      </w:pPr>
    </w:p>
    <w:p>
      <w:pPr>
        <w:jc w:val="both"/>
        <w:ind w:right="20" w:firstLine="382"/>
        <w:spacing w:after="0" w:line="259" w:lineRule="auto"/>
        <w:rPr>
          <w:sz w:val="20"/>
          <w:szCs w:val="20"/>
          <w:color w:val="auto"/>
        </w:rPr>
      </w:pPr>
      <w:r>
        <w:rPr>
          <w:rFonts w:ascii="Times New Roman" w:cs="Times New Roman" w:eastAsia="Times New Roman" w:hAnsi="Times New Roman"/>
          <w:sz w:val="16"/>
          <w:szCs w:val="16"/>
          <w:color w:val="auto"/>
        </w:rPr>
        <w:t>No service charge shall be imposed by the Company, the Trustee, the Note Registrar, any co-Note Registrar or the Paying Agent for any exchange or registration of transfer of Notes, but the Company may require a Holder to pay a sum sufficient to cover any documentary, stamp or similar issue or transfer tax required in connection therewith as a result of the name of the Holder of new Notes issued upon such exchange or registration of transfer being different from the name of the Holder of the old Notes surrendered for exchange or registration of transfer.</w:t>
      </w:r>
    </w:p>
    <w:p>
      <w:pPr>
        <w:spacing w:after="0" w:line="162" w:lineRule="exact"/>
        <w:rPr>
          <w:sz w:val="20"/>
          <w:szCs w:val="20"/>
          <w:color w:val="auto"/>
        </w:rPr>
      </w:pPr>
    </w:p>
    <w:p>
      <w:pPr>
        <w:jc w:val="both"/>
        <w:ind w:right="20" w:firstLine="382"/>
        <w:spacing w:after="0" w:line="259" w:lineRule="auto"/>
        <w:rPr>
          <w:sz w:val="20"/>
          <w:szCs w:val="20"/>
          <w:color w:val="auto"/>
        </w:rPr>
      </w:pPr>
      <w:r>
        <w:rPr>
          <w:rFonts w:ascii="Times New Roman" w:cs="Times New Roman" w:eastAsia="Times New Roman" w:hAnsi="Times New Roman"/>
          <w:sz w:val="16"/>
          <w:szCs w:val="16"/>
          <w:color w:val="auto"/>
        </w:rPr>
        <w:t>None of the Company, the Trustee, the Note Registrar or any co-Note Registrar shall be required to exchange for other Notes or register a transfer of (i) any Notes surrendered for conversion or, if a portion of any Note is surrendered for conversion, such portion thereof surrendered for conversion, (ii) any Notes, or a portion of any Note, surrendered for repurchase (and not withdrawn) in accordance with Article 15 or (iii) any Notes selected for redemption in accordance with Article 16, except the unredeemed portion thereof.</w:t>
      </w:r>
    </w:p>
    <w:p>
      <w:pPr>
        <w:spacing w:after="0" w:line="162"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All Notes issued upon any registration of transfer or exchange of Notes in accordance with this Indenture shall be the valid obligations of the Company, evidencing the same debt, and entitled to the same benefits under this Indenture as the Notes surrendered upon such registration of transfer or exchange.</w:t>
      </w:r>
    </w:p>
    <w:p>
      <w:pPr>
        <w:spacing w:after="0" w:line="144" w:lineRule="exact"/>
        <w:rPr>
          <w:sz w:val="20"/>
          <w:szCs w:val="20"/>
          <w:color w:val="auto"/>
        </w:rPr>
      </w:pPr>
    </w:p>
    <w:p>
      <w:pPr>
        <w:jc w:val="both"/>
        <w:ind w:firstLine="760"/>
        <w:spacing w:after="0" w:line="257" w:lineRule="auto"/>
        <w:tabs>
          <w:tab w:leader="none" w:pos="99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 long as the Notes are eligible for book-entry settlement with the Depositary, unless otherwise required by law, subject to the fourth paragraph from the end of Section 2.05(c) all Notes shall be represented by one or more Notes in global form (each, a “</w:t>
      </w:r>
      <w:r>
        <w:rPr>
          <w:rFonts w:ascii="Times New Roman" w:cs="Times New Roman" w:eastAsia="Times New Roman" w:hAnsi="Times New Roman"/>
          <w:sz w:val="16"/>
          <w:szCs w:val="16"/>
          <w:b w:val="1"/>
          <w:bCs w:val="1"/>
          <w:color w:val="auto"/>
        </w:rPr>
        <w:t>Global Note</w:t>
      </w:r>
      <w:r>
        <w:rPr>
          <w:rFonts w:ascii="Times New Roman" w:cs="Times New Roman" w:eastAsia="Times New Roman" w:hAnsi="Times New Roman"/>
          <w:sz w:val="16"/>
          <w:szCs w:val="16"/>
          <w:color w:val="auto"/>
        </w:rPr>
        <w:t>”) registered in the name of the Depositary or the nominee of the Depositary. Each Global Note shall bear the legend required on a Global Note set forth in Exhibit A hereto. The transfer and exchange of beneficial interests in a Global Note that does not involve the issuance of a Physical Note shall be effected through the Depositary (but not the Trustee or the Custodian) in accordance with this Indenture (including the restrictions on transfer set forth herein) and the procedures of the Depositary therefor.</w:t>
      </w:r>
    </w:p>
    <w:p>
      <w:pPr>
        <w:spacing w:after="0" w:line="162" w:lineRule="exact"/>
        <w:rPr>
          <w:rFonts w:ascii="Times New Roman" w:cs="Times New Roman" w:eastAsia="Times New Roman" w:hAnsi="Times New Roman"/>
          <w:sz w:val="16"/>
          <w:szCs w:val="16"/>
          <w:color w:val="auto"/>
        </w:rPr>
      </w:pPr>
    </w:p>
    <w:p>
      <w:pPr>
        <w:jc w:val="both"/>
        <w:ind w:firstLine="760"/>
        <w:spacing w:after="0" w:line="255" w:lineRule="auto"/>
        <w:tabs>
          <w:tab w:leader="none" w:pos="981"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Every Note that bears or is required under this Section 2.05(c) to bear the Restrictive Notes Legend (together with any Common Stock issued upon conversion of the Notes that is required to bear the legend set forth in Section 2.05(d), collectively, the “</w:t>
      </w:r>
      <w:r>
        <w:rPr>
          <w:rFonts w:ascii="Times New Roman" w:cs="Times New Roman" w:eastAsia="Times New Roman" w:hAnsi="Times New Roman"/>
          <w:sz w:val="16"/>
          <w:szCs w:val="16"/>
          <w:b w:val="1"/>
          <w:bCs w:val="1"/>
          <w:color w:val="auto"/>
        </w:rPr>
        <w:t>Restricted Securities</w:t>
      </w:r>
      <w:r>
        <w:rPr>
          <w:rFonts w:ascii="Times New Roman" w:cs="Times New Roman" w:eastAsia="Times New Roman" w:hAnsi="Times New Roman"/>
          <w:sz w:val="16"/>
          <w:szCs w:val="16"/>
          <w:color w:val="auto"/>
        </w:rPr>
        <w:t>”) shall be subject to the restrictions on transfer set forth in this Section 2.05(c) (including the legend set forth below) or Section 2.05(d)(including the legend set forth therein), as applicable, unless such restrictions on transfer shall be eliminated or otherwise waived by written consent of the Company, and the Holder of each such Restricted Security, by such Holder’s acceptance thereof, agrees to be bound by all such restrictions on transfer. As used in this Section 2.05(c) and Section 2.05(d), the term “</w:t>
      </w:r>
      <w:r>
        <w:rPr>
          <w:rFonts w:ascii="Times New Roman" w:cs="Times New Roman" w:eastAsia="Times New Roman" w:hAnsi="Times New Roman"/>
          <w:sz w:val="16"/>
          <w:szCs w:val="16"/>
          <w:b w:val="1"/>
          <w:bCs w:val="1"/>
          <w:color w:val="auto"/>
        </w:rPr>
        <w:t>transfer</w:t>
      </w:r>
      <w:r>
        <w:rPr>
          <w:rFonts w:ascii="Times New Roman" w:cs="Times New Roman" w:eastAsia="Times New Roman" w:hAnsi="Times New Roman"/>
          <w:sz w:val="16"/>
          <w:szCs w:val="16"/>
          <w:color w:val="auto"/>
        </w:rPr>
        <w:t>” encompasses any sale, pledge, transfer or other disposition whatsoever of any Restricted Security.</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2" w:name="page43"/>
    <w:bookmarkEnd w:id="42"/>
    <w:p>
      <w:pPr>
        <w:jc w:val="both"/>
        <w:ind w:right="20" w:firstLine="382"/>
        <w:spacing w:after="0" w:line="257" w:lineRule="auto"/>
        <w:rPr>
          <w:sz w:val="20"/>
          <w:szCs w:val="20"/>
          <w:color w:val="auto"/>
        </w:rPr>
      </w:pPr>
      <w:r>
        <w:rPr>
          <w:rFonts w:ascii="Times New Roman" w:cs="Times New Roman" w:eastAsia="Times New Roman" w:hAnsi="Times New Roman"/>
          <w:sz w:val="16"/>
          <w:szCs w:val="16"/>
          <w:color w:val="auto"/>
        </w:rPr>
        <w:t>Any certificate evidencing some or all of the Notes (and all securities issued in exchange therefor or substitution thereof, other than Common Stock, if any, issued upon conversion thereof, which shall bear the legend set forth in Section 2.05(d), if applicable) shall bear a legend in substantially the following form (the “</w:t>
      </w:r>
      <w:r>
        <w:rPr>
          <w:rFonts w:ascii="Times New Roman" w:cs="Times New Roman" w:eastAsia="Times New Roman" w:hAnsi="Times New Roman"/>
          <w:sz w:val="16"/>
          <w:szCs w:val="16"/>
          <w:b w:val="1"/>
          <w:bCs w:val="1"/>
          <w:color w:val="auto"/>
        </w:rPr>
        <w:t>Restrictive Notes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Legend</w:t>
      </w:r>
      <w:r>
        <w:rPr>
          <w:rFonts w:ascii="Times New Roman" w:cs="Times New Roman" w:eastAsia="Times New Roman" w:hAnsi="Times New Roman"/>
          <w:sz w:val="16"/>
          <w:szCs w:val="16"/>
          <w:color w:val="auto"/>
        </w:rPr>
        <w:t>”) (unless such Notes have been transferred pursuant to a registration statement that has become or been declared effective under the Securities Act and that continues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effective at the time of such transfer, or sold pursuant to the exemption from registration provided by Rule 144 or any similar provision then in force under the Securities Act, or unless otherwise agreed by the Company in writing, with notice thereof to the Trustee):</w:t>
      </w:r>
    </w:p>
    <w:p>
      <w:pPr>
        <w:spacing w:after="0" w:line="162" w:lineRule="exact"/>
        <w:rPr>
          <w:sz w:val="20"/>
          <w:szCs w:val="20"/>
          <w:color w:val="auto"/>
        </w:rPr>
      </w:pPr>
    </w:p>
    <w:p>
      <w:pPr>
        <w:jc w:val="both"/>
        <w:ind w:right="20" w:firstLine="382"/>
        <w:spacing w:after="0" w:line="290" w:lineRule="auto"/>
        <w:rPr>
          <w:sz w:val="20"/>
          <w:szCs w:val="20"/>
          <w:color w:val="auto"/>
        </w:rPr>
      </w:pPr>
      <w:r>
        <w:rPr>
          <w:rFonts w:ascii="Times New Roman" w:cs="Times New Roman" w:eastAsia="Times New Roman" w:hAnsi="Times New Roman"/>
          <w:sz w:val="15"/>
          <w:szCs w:val="15"/>
          <w:color w:val="auto"/>
        </w:rPr>
        <w:t>THIS SECURITY AND THE COMMON STOCK, IF ANY, ISSUABLE UPON CONVERSION OF THIS SECURITY HAVE NOT BEEN REGISTERED UNDER THE SECURITIES ACT OF 1933, AS AMENDED (THE “</w:t>
      </w:r>
      <w:r>
        <w:rPr>
          <w:rFonts w:ascii="Times New Roman" w:cs="Times New Roman" w:eastAsia="Times New Roman" w:hAnsi="Times New Roman"/>
          <w:sz w:val="15"/>
          <w:szCs w:val="15"/>
          <w:b w:val="1"/>
          <w:bCs w:val="1"/>
          <w:color w:val="auto"/>
        </w:rPr>
        <w:t>SECURITIES ACT</w:t>
      </w:r>
      <w:r>
        <w:rPr>
          <w:rFonts w:ascii="Times New Roman" w:cs="Times New Roman" w:eastAsia="Times New Roman" w:hAnsi="Times New Roman"/>
          <w:sz w:val="15"/>
          <w:szCs w:val="15"/>
          <w:color w:val="auto"/>
        </w:rPr>
        <w:t>”), AND MAY NOT BE OFFERED, SOLD, PLEDGED OR OTHERWISE TRANSFERRED EXCEPT IN ACCORDANCE WITH THE FOLLOWING SENTENCE. BY ITS ACQUISITION HEREOF OR OF A BENEFICIAL INTEREST HEREIN, THE ACQUIRER:</w:t>
      </w:r>
    </w:p>
    <w:p>
      <w:pPr>
        <w:spacing w:after="0" w:line="138" w:lineRule="exact"/>
        <w:rPr>
          <w:sz w:val="20"/>
          <w:szCs w:val="20"/>
          <w:color w:val="auto"/>
        </w:rPr>
      </w:pPr>
    </w:p>
    <w:p>
      <w:pPr>
        <w:jc w:val="both"/>
        <w:ind w:right="20" w:firstLine="382"/>
        <w:spacing w:after="0" w:line="260" w:lineRule="auto"/>
        <w:rPr>
          <w:sz w:val="20"/>
          <w:szCs w:val="20"/>
          <w:color w:val="auto"/>
        </w:rPr>
      </w:pPr>
      <w:r>
        <w:rPr>
          <w:rFonts w:ascii="Times New Roman" w:cs="Times New Roman" w:eastAsia="Times New Roman" w:hAnsi="Times New Roman"/>
          <w:sz w:val="16"/>
          <w:szCs w:val="16"/>
          <w:color w:val="auto"/>
        </w:rPr>
        <w:t>AGREES FOR THE BENEFIT OF [●]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THAT IT WILL NOT OFFER, SELL, PLEDGE OR OTHERWISE TRANSFER THIS SECURITY OR ANY BENEFICIAL INTEREST 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spacing w:after="0" w:line="161" w:lineRule="exact"/>
        <w:rPr>
          <w:sz w:val="20"/>
          <w:szCs w:val="20"/>
          <w:color w:val="auto"/>
        </w:rPr>
      </w:pPr>
    </w:p>
    <w:p>
      <w:pPr>
        <w:ind w:left="1000" w:hanging="256"/>
        <w:spacing w:after="0"/>
        <w:tabs>
          <w:tab w:leader="none" w:pos="10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COMPANY OR ANY SUBSIDIARY THEREOF, OR</w:t>
      </w:r>
    </w:p>
    <w:p>
      <w:pPr>
        <w:spacing w:after="0" w:line="198" w:lineRule="exact"/>
        <w:rPr>
          <w:rFonts w:ascii="Times New Roman" w:cs="Times New Roman" w:eastAsia="Times New Roman" w:hAnsi="Times New Roman"/>
          <w:sz w:val="16"/>
          <w:szCs w:val="16"/>
          <w:color w:val="auto"/>
        </w:rPr>
      </w:pPr>
    </w:p>
    <w:p>
      <w:pPr>
        <w:ind w:left="360" w:right="20" w:firstLine="384"/>
        <w:spacing w:after="0" w:line="280" w:lineRule="auto"/>
        <w:tabs>
          <w:tab w:leader="none" w:pos="1006"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A REGISTRATION STATEMENT THAT HAS BECOME EFFECTIVE UNDER THE SECURITIES ACT AND IS EFFECTIVE AT THE TIME OF SUCH TRANSFER, OR</w:t>
      </w:r>
    </w:p>
    <w:p>
      <w:pPr>
        <w:spacing w:after="0" w:line="144" w:lineRule="exact"/>
        <w:rPr>
          <w:rFonts w:ascii="Times New Roman" w:cs="Times New Roman" w:eastAsia="Times New Roman" w:hAnsi="Times New Roman"/>
          <w:sz w:val="16"/>
          <w:szCs w:val="16"/>
          <w:color w:val="auto"/>
        </w:rPr>
      </w:pPr>
    </w:p>
    <w:p>
      <w:pPr>
        <w:ind w:left="360" w:right="20" w:firstLine="384"/>
        <w:spacing w:after="0" w:line="280" w:lineRule="auto"/>
        <w:tabs>
          <w:tab w:leader="none" w:pos="1018"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 PERSON REASONABLY BELIEVED TO BE A QUALIFIED INSTITUTIONAL BUYER IN COMPLIANCE WITH RULE 144A UNDER THE SECURITIES ACT, OR</w:t>
      </w:r>
    </w:p>
    <w:p>
      <w:pPr>
        <w:spacing w:after="0" w:line="144" w:lineRule="exact"/>
        <w:rPr>
          <w:rFonts w:ascii="Times New Roman" w:cs="Times New Roman" w:eastAsia="Times New Roman" w:hAnsi="Times New Roman"/>
          <w:sz w:val="16"/>
          <w:szCs w:val="16"/>
          <w:color w:val="auto"/>
        </w:rPr>
      </w:pPr>
    </w:p>
    <w:p>
      <w:pPr>
        <w:ind w:left="360" w:right="20" w:firstLine="384"/>
        <w:spacing w:after="0" w:line="280" w:lineRule="auto"/>
        <w:tabs>
          <w:tab w:leader="none" w:pos="1003"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AN EXEMPTION FROM REGISTRATION PROVIDED BY RULE 144 UNDER THE SECURITIES ACT OR ANY OTHER AVAILABLE EXEMPTION FROM THE REGISTRATION REQUIREMENTS OF THE SECURITIES ACT.</w:t>
      </w:r>
    </w:p>
    <w:p>
      <w:pPr>
        <w:spacing w:after="0" w:line="144"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6"/>
          <w:szCs w:val="16"/>
          <w:color w:val="auto"/>
        </w:rPr>
        <w:t>PRIOR TO THE REGISTRATION OF ANY TRANSFER IN ACCORDANCE WITH CLAUSE (2)(D) ABOVE, THE COMPANY AND THE TRUSTEE RESERVE THE RIGHT TO REQUIRE THE DELIVERY OF SUCH LEGAL OPINIONS, CERTIFICATIONS OR OTHER EVIDENCE AS MAY REASONABLY BE REQUIRED IN ORDER FOR THE COMPANY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62" w:lineRule="exact"/>
        <w:rPr>
          <w:sz w:val="20"/>
          <w:szCs w:val="20"/>
          <w:color w:val="auto"/>
        </w:rPr>
      </w:pPr>
    </w:p>
    <w:p>
      <w:pPr>
        <w:jc w:val="both"/>
        <w:ind w:right="20" w:firstLine="382"/>
        <w:spacing w:after="0" w:line="265" w:lineRule="auto"/>
        <w:rPr>
          <w:sz w:val="20"/>
          <w:szCs w:val="20"/>
          <w:color w:val="auto"/>
        </w:rPr>
      </w:pPr>
      <w:r>
        <w:rPr>
          <w:rFonts w:ascii="Times New Roman" w:cs="Times New Roman" w:eastAsia="Times New Roman" w:hAnsi="Times New Roman"/>
          <w:sz w:val="16"/>
          <w:szCs w:val="16"/>
          <w:color w:val="auto"/>
        </w:rPr>
        <w:t>NO AFFILIATE (AS DEFINED IN RULE 144 UNDER THE SECURITIES ACT) OF THE COMPANY OR PERSON THAT HAS BEEN AN AFFILIATE (AS DEFINED IN RULE 144 UNDER THE SECURITIES ACT) OF THE COMPANY DURING THE PRECEDING THREE MONTHS MAY PURCHASE, OTHERWISE ACQUIRE OR HOLD THIS SECURITY OR A BENEFICIAL INTEREST HEREIN.</w:t>
      </w:r>
    </w:p>
    <w:p>
      <w:pPr>
        <w:spacing w:after="0" w:line="155"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No transfer of any Note prior to the Resale Restriction Termination Date will be registered by the Note Registrar unless the applicable box on the Form of Assignment and Transfer has been checked.</w:t>
      </w:r>
    </w:p>
    <w:p>
      <w:pPr>
        <w:spacing w:after="0" w:line="144" w:lineRule="exact"/>
        <w:rPr>
          <w:sz w:val="20"/>
          <w:szCs w:val="20"/>
          <w:color w:val="auto"/>
        </w:rPr>
      </w:pPr>
    </w:p>
    <w:p>
      <w:pPr>
        <w:jc w:val="both"/>
        <w:ind w:firstLine="382"/>
        <w:spacing w:after="0" w:line="251" w:lineRule="auto"/>
        <w:rPr>
          <w:sz w:val="20"/>
          <w:szCs w:val="20"/>
          <w:color w:val="auto"/>
        </w:rPr>
      </w:pPr>
      <w:r>
        <w:rPr>
          <w:rFonts w:ascii="Times New Roman" w:cs="Times New Roman" w:eastAsia="Times New Roman" w:hAnsi="Times New Roman"/>
          <w:sz w:val="16"/>
          <w:szCs w:val="16"/>
          <w:color w:val="auto"/>
        </w:rPr>
        <w:t xml:space="preserve">Any Note (or security issued in exchange or substitution therefor) (i) as to which such restrictions on transfer shall have expired in accordance with their terms, (ii) that has been transferred pursuant to a registration statement that has become effective or been declared effective under the Securities Act and that continues to be effective at the time of such transfer or (iii) that has been sold pursuant to the exemption from registration provided by Rule 144 or any similar provision then in force under the Securities Act, may, upon surrender of such Note for exchange to the Note Registrar in accordance with the provisions of this Section 2.05, be exchanged for a new Note or Notes, of like tenor and aggregate principal amount, which shall not bear the Restrictive Notes Legend required by this Section 2.05(c) and shall not be assigned a restricted CUSIP number. The Restrictive Notes Legend set forth above and affixed on any Note will be deemed, in accordance with the terms of the certificate representing such Note, to be removed therefrom upon the Company’ s delivery to the Trustee of written notice to such effect, without further action by the Company, the Trustee, the Holder(s) thereof or any other Person; at such time, such Note will be deemed to be assigned an unrestricted CUSIP number as provided in the certificate representing such Note, it being understood that the Depositary of any Global Note may require a mandatory exchange or other process to cause such Global Note to be identified by an unrestricted CUSIP number in the facilities of such Depositary;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if such Note is a Global Note and the Depositary thereof requires a mandatory exchange or other procedure to cause such Global Note to be identified by “unrestricted” CUSIP and ISIN numbers in the facilities of such Depositary, then (i) the Company will effect such exchange or procedure as soon as reasonably practicable; and (ii) for purposes of Section 4.06, such Global Note will not be deemed to be identified by unrestricted CUSIP and ISIN numbers until such time as such exchange or procedure is effected. The Company and the Trustee reserve the right to require the delivery of such legal opinions, certifications or other evidence as may reasonably be required in order to determine that any proposed transfer of any Note is being made in compliance with the Securities Act and applicable state securities laws.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3" w:name="page44"/>
    <w:bookmarkEnd w:id="43"/>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The Company shall be entitled to instruct the Custodian in writing to so surrender any Global Note as to which any of the conditions set forth in clause (i) through (iii) of the first sentence of the immediately preceding paragraph have been satisfied, and, upon such instruction, the Custodian shall so surrender such Global Note for exchange; and any new Global Note so exchanged therefor shall not bear the Restrictive Notes Legend specified in this Section 2.05(c) and shall not be assigned a restricted CUSIP number.</w:t>
      </w:r>
    </w:p>
    <w:p>
      <w:pPr>
        <w:spacing w:after="0" w:line="155"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6"/>
          <w:szCs w:val="16"/>
          <w:color w:val="auto"/>
        </w:rPr>
        <w:t>Notwithstanding any other provisions of this Indenture (other than the provisions set forth in this Section 2.05(c)), a Global Note may not be transferred as a whole or in part except (i) by the Depositary to a nominee of the Depositary or by a nominee of the Depositary to the Depositary or another nominee of the Depositary or by the Depositary or any such nominee to a successor Depositary or a nominee of such successor Depositary and (ii) for exchange of a Global Note or a portion thereof for one or more Physical Notes in accordance with the second immediately succeeding paragraph.</w:t>
      </w:r>
    </w:p>
    <w:p>
      <w:pPr>
        <w:spacing w:after="0" w:line="162"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The Depositary shall be a clearing agency registered under the Exchange Act. The Company initially appoints The Depository Trust Company to act as Depositary with respect to each Global Note. Initially, each Global Note shall be issued to the Depositary, registered in the name of Cede &amp; Co., as the nominee of the Depositary, and deposited with the Trustee as custodian for Cede &amp; Co.</w:t>
      </w:r>
    </w:p>
    <w:p>
      <w:pPr>
        <w:spacing w:after="0" w:line="155" w:lineRule="exact"/>
        <w:rPr>
          <w:sz w:val="20"/>
          <w:szCs w:val="20"/>
          <w:color w:val="auto"/>
        </w:rPr>
      </w:pPr>
    </w:p>
    <w:p>
      <w:pPr>
        <w:jc w:val="both"/>
        <w:ind w:right="20" w:firstLine="382"/>
        <w:spacing w:after="0" w:line="253" w:lineRule="auto"/>
        <w:rPr>
          <w:sz w:val="20"/>
          <w:szCs w:val="20"/>
          <w:color w:val="auto"/>
        </w:rPr>
      </w:pPr>
      <w:r>
        <w:rPr>
          <w:rFonts w:ascii="Times New Roman" w:cs="Times New Roman" w:eastAsia="Times New Roman" w:hAnsi="Times New Roman"/>
          <w:sz w:val="16"/>
          <w:szCs w:val="16"/>
          <w:color w:val="auto"/>
        </w:rPr>
        <w:t>If (i) the Depositary notifies the Company at any time that the Depositary is unwilling or unable to continue as depositary for the Global Notes and a successor depositary is not appointed within 90 days, (ii) the Depositary ceases to be registered as a clearing agency under the Exchange Act and a successor depositary is not appointed within 90 days or (iii) an Event of Default with respect to the Notes has occurred and is continuing and, subject to the Depositary’s applicable procedures, a beneficial owner of any Note requests that its beneficial interest therein be issued as a Physical Note, the Company shall execute, and the Trustee, upon receipt of an Officer’s Certificate and a Company Order for the authentication and delivery of Notes, shall authenticate and deliver (x) in the case of clause (iii), a Physical Note to such beneficial owner in a principal amount equal to the principal amount of such Note corresponding to such beneficial owner’s beneficial interest and (y) in the case of clause (i) or (ii), Physical Notes to each beneficial owner of the related Global Notes (or a portion thereof) in an aggregate principal amount equal to the aggregate principal amount of such Global Notes in exchange for such Global Notes, and upon delivery of the Global Notes to the Trustee such Global Notes shall be canceled.</w:t>
      </w:r>
    </w:p>
    <w:p>
      <w:pPr>
        <w:spacing w:after="0" w:line="169" w:lineRule="exact"/>
        <w:rPr>
          <w:sz w:val="20"/>
          <w:szCs w:val="20"/>
          <w:color w:val="auto"/>
        </w:rPr>
      </w:pPr>
    </w:p>
    <w:p>
      <w:pPr>
        <w:jc w:val="both"/>
        <w:ind w:right="20" w:firstLine="382"/>
        <w:spacing w:after="0" w:line="259" w:lineRule="auto"/>
        <w:rPr>
          <w:sz w:val="20"/>
          <w:szCs w:val="20"/>
          <w:color w:val="auto"/>
        </w:rPr>
      </w:pPr>
      <w:r>
        <w:rPr>
          <w:rFonts w:ascii="Times New Roman" w:cs="Times New Roman" w:eastAsia="Times New Roman" w:hAnsi="Times New Roman"/>
          <w:sz w:val="16"/>
          <w:szCs w:val="16"/>
          <w:color w:val="auto"/>
        </w:rPr>
        <w:t>Physical Notes issued in exchange for all or a part of the Global Note pursuant to this Section 2.05(c) shall be registered in such names and in such authorized denominations as the Depositary, pursuant to instructions from its direct or indirect participants or otherwise, or, in the case of clause (iii) of the immediately preceding paragraph, the relevant beneficial owner, shall instruct the Trustee. Upon execution and authentication, the Trustee shall deliver such Physical Notes to the Persons in whose names such Physical Notes are so registered.</w:t>
      </w:r>
    </w:p>
    <w:p>
      <w:pPr>
        <w:spacing w:after="0" w:line="162"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6"/>
          <w:szCs w:val="16"/>
          <w:color w:val="auto"/>
        </w:rPr>
        <w:t>At such time as all interests in a Global Note have been converted, canceled, repurchased upon a Fundamental Change, redeemed or transferred, such Global Note shall be, upon receipt thereof, canceled by the Trustee in accordance with standing procedures and existing instructions between the Depositary and the Custodian. At any time prior to such cancellation, if any interest in a Global Note is exchanged for Physical Notes, converted, canceled, repurchased upon a Fundamental Change, redeemed or transferred to a transferee who receives Physical Notes therefor or any Physical Note is exchanged or transferred for part of such Global Note, the principal amount of such Global Note shall, in accordance with the standing procedures and instructions existing between the Depositary and the Custodian, be appropriately reduced or increased, as the case may be, and an endorsement shall be made on such Global Note, by the Trustee or the Custodian, at the direction of the Trustee, to reflect such reduction or increase.</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4" w:name="page45"/>
    <w:bookmarkEnd w:id="44"/>
    <w:p>
      <w:pPr>
        <w:jc w:val="both"/>
        <w:ind w:right="20" w:firstLine="382"/>
        <w:spacing w:after="0" w:line="265" w:lineRule="auto"/>
        <w:rPr>
          <w:sz w:val="20"/>
          <w:szCs w:val="20"/>
          <w:color w:val="auto"/>
        </w:rPr>
      </w:pPr>
      <w:r>
        <w:rPr>
          <w:rFonts w:ascii="Times New Roman" w:cs="Times New Roman" w:eastAsia="Times New Roman" w:hAnsi="Times New Roman"/>
          <w:sz w:val="16"/>
          <w:szCs w:val="16"/>
          <w:color w:val="auto"/>
        </w:rPr>
        <w:t>None of the Company, the Trustee, the Conversion Agent, the Paying Agent or any agent of the Company or the Trustee shall have any responsibility or liability for any act or omission of the Depositary or for the payment of amounts to owners of beneficial interest in a Global Note, for any aspect of the records relating to or payments made on account of those interests by the Depositary, or for maintaining, supervising or reviewing any records of the Depositary relating to those interests.</w:t>
      </w:r>
    </w:p>
    <w:p>
      <w:pPr>
        <w:spacing w:after="0" w:line="155" w:lineRule="exact"/>
        <w:rPr>
          <w:sz w:val="20"/>
          <w:szCs w:val="20"/>
          <w:color w:val="auto"/>
        </w:rPr>
      </w:pPr>
    </w:p>
    <w:p>
      <w:pPr>
        <w:jc w:val="both"/>
        <w:ind w:right="20" w:firstLine="760"/>
        <w:spacing w:after="0" w:line="255" w:lineRule="auto"/>
        <w:tabs>
          <w:tab w:leader="none" w:pos="1014"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stock certificate representing Common Stock issued upon conversion of a Note shall bear a legend in substantially the following form (unless such Common Stock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such Common Stock has been issued upon conversion of a Note that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unless otherwise agreed by the Company with written notice thereof to the Trustee and any transfer agent for the Common Stock):</w:t>
      </w:r>
    </w:p>
    <w:p>
      <w:pPr>
        <w:spacing w:after="0" w:line="163" w:lineRule="exact"/>
        <w:rPr>
          <w:sz w:val="20"/>
          <w:szCs w:val="20"/>
          <w:color w:val="auto"/>
        </w:rPr>
      </w:pPr>
    </w:p>
    <w:p>
      <w:pPr>
        <w:jc w:val="both"/>
        <w:ind w:firstLine="382"/>
        <w:spacing w:after="0" w:line="266" w:lineRule="auto"/>
        <w:rPr>
          <w:sz w:val="20"/>
          <w:szCs w:val="20"/>
          <w:color w:val="auto"/>
        </w:rPr>
      </w:pPr>
      <w:r>
        <w:rPr>
          <w:rFonts w:ascii="Times New Roman" w:cs="Times New Roman" w:eastAsia="Times New Roman" w:hAnsi="Times New Roman"/>
          <w:sz w:val="16"/>
          <w:szCs w:val="16"/>
          <w:color w:val="auto"/>
        </w:rPr>
        <w:t>THIS SECURITY HAS NOT BEEN REGISTERED UNDER THE SECURITIES ACT OF 1933, AS AMENDED (THE “</w:t>
      </w:r>
      <w:r>
        <w:rPr>
          <w:rFonts w:ascii="Times New Roman" w:cs="Times New Roman" w:eastAsia="Times New Roman" w:hAnsi="Times New Roman"/>
          <w:sz w:val="16"/>
          <w:szCs w:val="16"/>
          <w:b w:val="1"/>
          <w:bCs w:val="1"/>
          <w:color w:val="auto"/>
        </w:rPr>
        <w:t>SECURITIES ACT</w:t>
      </w:r>
      <w:r>
        <w:rPr>
          <w:rFonts w:ascii="Times New Roman" w:cs="Times New Roman" w:eastAsia="Times New Roman" w:hAnsi="Times New Roman"/>
          <w:sz w:val="16"/>
          <w:szCs w:val="16"/>
          <w:color w:val="auto"/>
        </w:rPr>
        <w:t>”), AND MAY NOT BE OFFERED, SOLD, PLEDGED OR OTHERWISE TRANSFERRED EXCEPT IN ACCORDANCE WITH THE FOLLOWING SENTENCE. BY ITS ACQUISITION HEREOF OR OF A BENEFICIAL INTEREST HEREIN, THE ACQUIRER:</w:t>
      </w:r>
    </w:p>
    <w:p>
      <w:pPr>
        <w:spacing w:after="0" w:line="153" w:lineRule="exact"/>
        <w:rPr>
          <w:sz w:val="20"/>
          <w:szCs w:val="20"/>
          <w:color w:val="auto"/>
        </w:rPr>
      </w:pPr>
    </w:p>
    <w:p>
      <w:pPr>
        <w:jc w:val="both"/>
        <w:ind w:right="20" w:firstLine="382"/>
        <w:spacing w:after="0" w:line="257" w:lineRule="auto"/>
        <w:rPr>
          <w:sz w:val="20"/>
          <w:szCs w:val="20"/>
          <w:color w:val="auto"/>
        </w:rPr>
      </w:pPr>
      <w:r>
        <w:rPr>
          <w:rFonts w:ascii="Times New Roman" w:cs="Times New Roman" w:eastAsia="Times New Roman" w:hAnsi="Times New Roman"/>
          <w:sz w:val="16"/>
          <w:szCs w:val="16"/>
          <w:color w:val="auto"/>
        </w:rPr>
        <w:t>AGREES FOR THE BENEFIT OF [●]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THAT IT WILL NOT OFFER, SELL, PLEDGE OR OTHERWISE TRANSFER THIS SECURITY OR ANY BENEFICIAL INTEREST HEREIN PRIOR TO THE DATE THAT IS THE LATER OF (X) ONE YEAR AFTER THE LAST ORIGINAL ISSUE DATE OF THE NOTES UPON THE CONVERSION OF WHICH THIS SECURITY WAS ISSUED OR SUCH SHORTER PERIOD OF TIME AS PERMITTED BY RULE 144 UNDER THE SECURITIES ACT OR ANY SUCCESSOR PROVISION THERETO AND (Y) SUCH LATER DATE, IF ANY, AS MAY BE REQUIRED BY APPLICABLE LAW, EXCEPT:</w:t>
      </w:r>
    </w:p>
    <w:p>
      <w:pPr>
        <w:spacing w:after="0" w:line="164" w:lineRule="exact"/>
        <w:rPr>
          <w:sz w:val="20"/>
          <w:szCs w:val="20"/>
          <w:color w:val="auto"/>
        </w:rPr>
      </w:pPr>
    </w:p>
    <w:p>
      <w:pPr>
        <w:ind w:left="1020" w:hanging="260"/>
        <w:spacing w:after="0"/>
        <w:tabs>
          <w:tab w:leader="none" w:pos="10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COMPANY OR ANY SUBSIDIARY THEREOF, OR</w:t>
      </w:r>
    </w:p>
    <w:p>
      <w:pPr>
        <w:spacing w:after="0" w:line="198" w:lineRule="exact"/>
        <w:rPr>
          <w:rFonts w:ascii="Times New Roman" w:cs="Times New Roman" w:eastAsia="Times New Roman" w:hAnsi="Times New Roman"/>
          <w:sz w:val="16"/>
          <w:szCs w:val="16"/>
          <w:color w:val="auto"/>
        </w:rPr>
      </w:pPr>
    </w:p>
    <w:p>
      <w:pPr>
        <w:ind w:left="380" w:right="20" w:firstLine="380"/>
        <w:spacing w:after="0" w:line="280" w:lineRule="auto"/>
        <w:tabs>
          <w:tab w:leader="none" w:pos="1014"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A REGISTRATION STATEMENT THAT HAS BECOME EFFECTIVE UNDER THE SECURITIES ACT AND IS EFFECTIVE AT THE TIME OF SUCH TRANSFER, OR</w:t>
      </w:r>
    </w:p>
    <w:p>
      <w:pPr>
        <w:spacing w:after="0" w:line="144" w:lineRule="exact"/>
        <w:rPr>
          <w:rFonts w:ascii="Times New Roman" w:cs="Times New Roman" w:eastAsia="Times New Roman" w:hAnsi="Times New Roman"/>
          <w:sz w:val="16"/>
          <w:szCs w:val="16"/>
          <w:color w:val="auto"/>
        </w:rPr>
      </w:pPr>
    </w:p>
    <w:p>
      <w:pPr>
        <w:ind w:left="380" w:firstLine="380"/>
        <w:spacing w:after="0" w:line="280" w:lineRule="auto"/>
        <w:tabs>
          <w:tab w:leader="none" w:pos="1026"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 PERSON REASONABLY BELIEVED TO BE A QUALIFIED INSTITUTIONAL BUYER IN COMPLIANCE WITH RULE 144A UNDER THE SECURITIES ACT, OR</w:t>
      </w:r>
    </w:p>
    <w:p>
      <w:pPr>
        <w:spacing w:after="0" w:line="144" w:lineRule="exact"/>
        <w:rPr>
          <w:rFonts w:ascii="Times New Roman" w:cs="Times New Roman" w:eastAsia="Times New Roman" w:hAnsi="Times New Roman"/>
          <w:sz w:val="16"/>
          <w:szCs w:val="16"/>
          <w:color w:val="auto"/>
        </w:rPr>
      </w:pPr>
    </w:p>
    <w:p>
      <w:pPr>
        <w:ind w:left="380" w:right="20" w:firstLine="380"/>
        <w:spacing w:after="0" w:line="315" w:lineRule="auto"/>
        <w:tabs>
          <w:tab w:leader="none" w:pos="1023"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PURSUANT TO AN EXEMPTION FROM REGISTRATION PROVIDED BY RULE 144 UNDER THE SECURITIES ACT OR ANY OTHER AVAILABLE EXEMPTION FROM THE REGISTRATION REQUIREMENTS OF THE SECURITIES ACT AND ANY APPLICABLE STATE SECURITIES LAWS.</w:t>
      </w:r>
    </w:p>
    <w:p>
      <w:pPr>
        <w:spacing w:after="0" w:line="121"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6"/>
          <w:szCs w:val="16"/>
          <w:color w:val="auto"/>
        </w:rPr>
        <w:t>PRIOR TO THE REGISTRATION OF THIS SECURITY IN CONNECTION WITH ANY TRANSFER IN ACCORDANCE WITH CLAUSE (2)(D) ABOVE, THE COMPANY AND THE TRANSFER AGENT FOR THE COMPANY’S COMMON STOCK RESERVE THE RIGHT TO REQUIRE THE DELIVERY OF SUCH LEGAL OPINIONS, CERTIFICATIONS OR OTHER EVIDENCE AS MAY REASONABLY BE REQUIRED IN ORDER FOR THE COMPANY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62"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6"/>
          <w:szCs w:val="16"/>
          <w:color w:val="auto"/>
        </w:rPr>
        <w:t>Any such Common Stock (i) as to which such restrictions on transfer shall have expired in accordance with their terms, (ii) that has been transferred pursuant to a registration statement that has become or been declared effective under the Securities Act and that continues to be effective at the time of such transfer or (iii) that has been sold pursuant to the exemption from registration provided by Rule 144 or any similar provision then in force under the Securities Act, may, upon surrender of the certificates representing such shares of Common Stock for exchange in accordance with the procedures of the transfer agent for the Common Stock, be exchanged for a new certificate or certificates for a like aggregate number of shares of Common Stock, which shall not bear the restrictive legend required by this Section 2.05(d).</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5" w:name="page46"/>
    <w:bookmarkEnd w:id="45"/>
    <w:p>
      <w:pPr>
        <w:ind w:left="380"/>
        <w:spacing w:after="0"/>
        <w:rPr>
          <w:sz w:val="20"/>
          <w:szCs w:val="20"/>
          <w:color w:val="auto"/>
        </w:rPr>
      </w:pPr>
      <w:r>
        <w:rPr>
          <w:rFonts w:ascii="Times New Roman" w:cs="Times New Roman" w:eastAsia="Times New Roman" w:hAnsi="Times New Roman"/>
          <w:sz w:val="16"/>
          <w:szCs w:val="16"/>
          <w:color w:val="auto"/>
        </w:rPr>
        <w:t>The Company shall cause any Note that is repurchased or owned by it to be surrendered to the Trustee for cancellation in accordance with Section 2.08.</w:t>
      </w:r>
    </w:p>
    <w:p>
      <w:pPr>
        <w:spacing w:after="0" w:line="198" w:lineRule="exact"/>
        <w:rPr>
          <w:sz w:val="20"/>
          <w:szCs w:val="20"/>
          <w:color w:val="auto"/>
        </w:rPr>
      </w:pPr>
    </w:p>
    <w:p>
      <w:pPr>
        <w:jc w:val="both"/>
        <w:ind w:right="20" w:firstLine="382"/>
        <w:spacing w:after="0" w:line="257" w:lineRule="auto"/>
        <w:rPr>
          <w:sz w:val="20"/>
          <w:szCs w:val="20"/>
          <w:color w:val="auto"/>
        </w:rPr>
      </w:pPr>
      <w:r>
        <w:rPr>
          <w:rFonts w:ascii="Times New Roman" w:cs="Times New Roman" w:eastAsia="Times New Roman" w:hAnsi="Times New Roman"/>
          <w:sz w:val="16"/>
          <w:szCs w:val="16"/>
          <w:color w:val="auto"/>
        </w:rPr>
        <w:t>The Trustee and any other agent appointed under this Indenture shall have no obligation or duty to monitor, determine or inquire as to compliance with any restrictions on transfer imposed under this Indenture or under applicable law with respect to any transfer of any interest in any Note (including any transfers between or among Depositary participants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62"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Neither the Trustee nor any agent shall have any responsibility or liability for any actions taken or not taken by the Depositary, and may assume performance absent written notice to the contrary.</w:t>
      </w:r>
    </w:p>
    <w:p>
      <w:pPr>
        <w:spacing w:after="0" w:line="144" w:lineRule="exact"/>
        <w:rPr>
          <w:sz w:val="20"/>
          <w:szCs w:val="20"/>
          <w:color w:val="auto"/>
        </w:rPr>
      </w:pPr>
    </w:p>
    <w:p>
      <w:pPr>
        <w:jc w:val="both"/>
        <w:ind w:firstLine="760"/>
        <w:spacing w:after="0" w:line="259" w:lineRule="auto"/>
        <w:tabs>
          <w:tab w:leader="none" w:pos="981"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Note or Common Stock issued upon conversion of a Note that is repurchased or owned by the Company or any Affiliate of the Company (or any Person who was an Affiliate of the Company at any time during the three months immediately preceding) may not be resold by the Company or such Affiliate (or such Person, as the case may be) unless registered under the Securities Act or resold pursuant to an exemption from the registration requirements of the Securities Act in a transaction that results in such Note or Common Stock, as the case may be, no longer being a “restricted security” (as defined under Rule 144).</w:t>
      </w:r>
    </w:p>
    <w:p>
      <w:pPr>
        <w:spacing w:after="0" w:line="160"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6"/>
          <w:szCs w:val="16"/>
          <w:color w:val="auto"/>
        </w:rPr>
        <w:t xml:space="preserve">Section 2.06. </w:t>
      </w:r>
      <w:r>
        <w:rPr>
          <w:rFonts w:ascii="Times New Roman" w:cs="Times New Roman" w:eastAsia="Times New Roman" w:hAnsi="Times New Roman"/>
          <w:sz w:val="16"/>
          <w:szCs w:val="16"/>
          <w:i w:val="1"/>
          <w:iCs w:val="1"/>
          <w:color w:val="auto"/>
        </w:rPr>
        <w:t>Mutilated, Destroyed, Lost or Stolen Notes.</w:t>
      </w:r>
      <w:r>
        <w:rPr>
          <w:rFonts w:ascii="Times New Roman" w:cs="Times New Roman" w:eastAsia="Times New Roman" w:hAnsi="Times New Roman"/>
          <w:sz w:val="16"/>
          <w:szCs w:val="16"/>
          <w:color w:val="auto"/>
        </w:rPr>
        <w:t xml:space="preserve"> In case any Note shall become mutilated or be destroyed, lost or stolen, the Company in its discretion may execute, and upon receipt of a Company Order the Trustee or an authenticating agent appointed by the Trustee shall authenticate and deliver, a new Note, bearing a registration number not contemporaneously outstanding, in exchange and substitution for the mutilated Note, or in lieu of and in substitution for the Note so destroyed, lost or stolen. In every case the applicant for a substituted Note shall furnish to the Company, to the Trustee and, if applicable, to such authenticating agent such security or indemnity as may be required by them to save each of them harmless from any loss, liability, cost or expense caused by or connected with such substitution, and, in every case of destruction, loss or theft, the applicant shall also furnish to the Company, to the Trustee and, if applicable, to such authenticating agent evidence to their satisfaction of the destruction, loss or theft of such Note and of the ownership thereof.</w:t>
      </w:r>
    </w:p>
    <w:p>
      <w:pPr>
        <w:spacing w:after="0" w:line="163" w:lineRule="exact"/>
        <w:rPr>
          <w:sz w:val="20"/>
          <w:szCs w:val="20"/>
          <w:color w:val="auto"/>
        </w:rPr>
      </w:pPr>
    </w:p>
    <w:p>
      <w:pPr>
        <w:jc w:val="both"/>
        <w:ind w:firstLine="382"/>
        <w:spacing w:after="0" w:line="252" w:lineRule="auto"/>
        <w:rPr>
          <w:sz w:val="20"/>
          <w:szCs w:val="20"/>
          <w:color w:val="auto"/>
        </w:rPr>
      </w:pPr>
      <w:r>
        <w:rPr>
          <w:rFonts w:ascii="Times New Roman" w:cs="Times New Roman" w:eastAsia="Times New Roman" w:hAnsi="Times New Roman"/>
          <w:sz w:val="16"/>
          <w:szCs w:val="16"/>
          <w:color w:val="auto"/>
        </w:rPr>
        <w:t>The Trustee or such authenticating agent may authenticate any such substituted Note and deliver the same upon the receipt of a Company Order and such security or indemnity as the Trustee, the Company and, if applicable, such authenticating agent may require. No service charge shall be imposed by the Company, the Trustee, the Note Registrar, any co-Note Registrar or the Paying Agent upon the issuance of any substitute Note, but the Company may require a Holder to pay a sum sufficient to cover any documentary, stamp or similar issue or transfer tax required in connection therewith as a result of the name of the Holder of the new substitute Note being different from the name of the Holder of the old Note that became mutilated or was destroyed, lost or stolen. In case any Note that has matured or is about to mature or has been surrendered for redemption or required repurchase or is about to be converted in accordance with Article 14 shall become mutilated or be destroyed, lost or stolen, the Company may, in its sole discretion, instead of issuing a substitute Note, pay or authorize the payment of or convert or authorize the conversion of the same (without surrender thereof except in the case of a mutilated Note), as the case may be, if the applicant for such payment or conversion shall furnish to the Company, to the Trustee and, if applicable, to such authenticating agent such security or indemnity as may be required by them to save each of them harmless for any loss, liability, cost or expense caused by or connected with such substitution, and, in every case of destruction, loss or theft, evidence satisfactory to the Company, the Trustee and, if applicable, any Paying Agent or Conversion Agent evidence of their satisfaction of the destruction, loss or theft of such Note and of the ownership thereof.</w:t>
      </w:r>
    </w:p>
    <w:p>
      <w:pPr>
        <w:spacing w:after="0" w:line="169"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6"/>
          <w:szCs w:val="16"/>
          <w:color w:val="auto"/>
        </w:rPr>
        <w:t>Every substitute Note issued pursuant to the provisions of this Section 2.06 by virtue of the fact that any Note is destroyed, lost or stolen shall constitute an additional contractual obligation of the Company,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 condition that the foregoing provisions are exclusive with respect to the replacement, payment, redemption, conversion or repurchase of mutilated, destroyed, lost or stolen Notes and shall preclude any and all other rights or remedies notwithstanding any law or statute existing or hereafter enacted to the contrary with respect to the replacement, payment, redemption, conversion or repurchase of negotiable instruments or other securities without their surrender.</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6" w:name="page47"/>
    <w:bookmarkEnd w:id="46"/>
    <w:p>
      <w:pPr>
        <w:jc w:val="both"/>
        <w:ind w:firstLine="382"/>
        <w:spacing w:after="0" w:line="253" w:lineRule="auto"/>
        <w:rPr>
          <w:sz w:val="20"/>
          <w:szCs w:val="20"/>
          <w:color w:val="auto"/>
        </w:rPr>
      </w:pPr>
      <w:r>
        <w:rPr>
          <w:rFonts w:ascii="Times New Roman" w:cs="Times New Roman" w:eastAsia="Times New Roman" w:hAnsi="Times New Roman"/>
          <w:sz w:val="16"/>
          <w:szCs w:val="16"/>
          <w:color w:val="auto"/>
        </w:rPr>
        <w:t xml:space="preserve">Section 2.07. </w:t>
      </w:r>
      <w:r>
        <w:rPr>
          <w:rFonts w:ascii="Times New Roman" w:cs="Times New Roman" w:eastAsia="Times New Roman" w:hAnsi="Times New Roman"/>
          <w:sz w:val="16"/>
          <w:szCs w:val="16"/>
          <w:i w:val="1"/>
          <w:iCs w:val="1"/>
          <w:color w:val="auto"/>
        </w:rPr>
        <w:t>Temporary Notes.</w:t>
      </w:r>
      <w:r>
        <w:rPr>
          <w:rFonts w:ascii="Times New Roman" w:cs="Times New Roman" w:eastAsia="Times New Roman" w:hAnsi="Times New Roman"/>
          <w:sz w:val="16"/>
          <w:szCs w:val="16"/>
          <w:color w:val="auto"/>
        </w:rPr>
        <w:t xml:space="preserve"> Pending the preparation of Physical Notes, the Company may execute and the Trustee or an authenticating agent appointed by the Trustee shall, upon written request of the Company, authenticate and deliver temporary Notes (printed or lithographed). Temporary Notes shall be issuable in any authorized denomination, and substantially in the form of the Physical Notes but with such omissions, insertions and variations as may be appropriate for temporary Notes, all as may be determined by the Company. Every such temporary Note shall be executed by the Company and authenticated by the Trustee or such authenticating agent upon the same conditions and in substantially the same manner, and with the same effect, as the Physical Notes. Without unreasonable delay, the Company shall execute and deliver to the Trustee or such authenticating agent Physical Notes (other than any Global Note) and thereupon any or all temporary Notes (other than any Global Note) may be surrendered in exchange therefor, at each office or agency maintained by the Company pursuant to Section 4.02 and the Trustee or such authenticating agent upon receipt of a Company Order shall authenticate and deliver in exchange for such temporary Notes an equal aggregate principal amount of Physical Notes. Such exchange shall be made by the Company at its own expense and without any charge therefor. Until so exchanged, the temporary Notes shall in all respects be entitled to the same benefits and subject to the same limitations under this Indenture as Physical Notes authenticated and delivered hereunder.</w:t>
      </w:r>
    </w:p>
    <w:p>
      <w:pPr>
        <w:spacing w:after="0" w:line="164" w:lineRule="exact"/>
        <w:rPr>
          <w:sz w:val="20"/>
          <w:szCs w:val="20"/>
          <w:color w:val="auto"/>
        </w:rPr>
      </w:pPr>
    </w:p>
    <w:p>
      <w:pPr>
        <w:jc w:val="both"/>
        <w:ind w:right="20" w:firstLine="382"/>
        <w:spacing w:after="0" w:line="255" w:lineRule="auto"/>
        <w:rPr>
          <w:sz w:val="20"/>
          <w:szCs w:val="20"/>
          <w:color w:val="auto"/>
        </w:rPr>
      </w:pPr>
      <w:r>
        <w:rPr>
          <w:rFonts w:ascii="Times New Roman" w:cs="Times New Roman" w:eastAsia="Times New Roman" w:hAnsi="Times New Roman"/>
          <w:sz w:val="16"/>
          <w:szCs w:val="16"/>
          <w:color w:val="auto"/>
        </w:rPr>
        <w:t xml:space="preserve">Section 2.08. </w:t>
      </w:r>
      <w:r>
        <w:rPr>
          <w:rFonts w:ascii="Times New Roman" w:cs="Times New Roman" w:eastAsia="Times New Roman" w:hAnsi="Times New Roman"/>
          <w:sz w:val="16"/>
          <w:szCs w:val="16"/>
          <w:i w:val="1"/>
          <w:iCs w:val="1"/>
          <w:color w:val="auto"/>
        </w:rPr>
        <w:t>Cancellation of Notes Paid, Converted, Etc.</w:t>
      </w:r>
      <w:r>
        <w:rPr>
          <w:rFonts w:ascii="Times New Roman" w:cs="Times New Roman" w:eastAsia="Times New Roman" w:hAnsi="Times New Roman"/>
          <w:sz w:val="16"/>
          <w:szCs w:val="16"/>
          <w:color w:val="auto"/>
        </w:rPr>
        <w:t xml:space="preserve"> The Company shall cause all Notes surrendered for the purpose of payment, repurchase (including upon a Fundamental Change but not including Notes repurchased pursuant to cash-settled swaps and other derivatives), redemption, registration of transfer or exchange or conversion (other than any Notes exchanged pursuant to Section 14.12), if surrendered to the Company or any of its agents, Subsidiaries or Affiliates, as applicable, to be surrendered to the Trustee for cancellation. All Notes delivered to the Trustee shall be canceled promptly by it in accordance with its customary procedures. Except for any Notes surrendered for registration of transfer or exchange, or as otherwise expressly permitted by any of the provisions of this Indenture, no Notes shall be authenticated in exchange for any Notes surrendered to the Trustee for cancellation. The Trustee shall dispose of canceled Notes in accordance with its customary procedures and, after such disposition, shall deliver a certificate of such disposition to the Company, at the Company’s written request in a Company Order.</w:t>
      </w:r>
    </w:p>
    <w:p>
      <w:pPr>
        <w:spacing w:after="0" w:line="161" w:lineRule="exact"/>
        <w:rPr>
          <w:sz w:val="20"/>
          <w:szCs w:val="20"/>
          <w:color w:val="auto"/>
        </w:rPr>
      </w:pPr>
    </w:p>
    <w:p>
      <w:pPr>
        <w:jc w:val="both"/>
        <w:ind w:right="20" w:firstLine="382"/>
        <w:spacing w:after="0" w:line="257" w:lineRule="auto"/>
        <w:rPr>
          <w:sz w:val="20"/>
          <w:szCs w:val="20"/>
          <w:color w:val="auto"/>
        </w:rPr>
      </w:pPr>
      <w:r>
        <w:rPr>
          <w:rFonts w:ascii="Times New Roman" w:cs="Times New Roman" w:eastAsia="Times New Roman" w:hAnsi="Times New Roman"/>
          <w:sz w:val="16"/>
          <w:szCs w:val="16"/>
          <w:color w:val="auto"/>
        </w:rPr>
        <w:t xml:space="preserve">Section 2.09. </w:t>
      </w:r>
      <w:r>
        <w:rPr>
          <w:rFonts w:ascii="Times New Roman" w:cs="Times New Roman" w:eastAsia="Times New Roman" w:hAnsi="Times New Roman"/>
          <w:sz w:val="16"/>
          <w:szCs w:val="16"/>
          <w:i w:val="1"/>
          <w:iCs w:val="1"/>
          <w:color w:val="auto"/>
        </w:rPr>
        <w:t>CUSIP Numbers.</w:t>
      </w:r>
      <w:r>
        <w:rPr>
          <w:rFonts w:ascii="Times New Roman" w:cs="Times New Roman" w:eastAsia="Times New Roman" w:hAnsi="Times New Roman"/>
          <w:sz w:val="16"/>
          <w:szCs w:val="16"/>
          <w:color w:val="auto"/>
        </w:rPr>
        <w:t xml:space="preserve"> The Company in issuing the Notes may use “CUSIP” numbers (if then generally in use), and, if so, the Trustee shall use “CUSIP” numbers in all notices issued to Holders as a convenience to such Holders;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Trustee shall have no liability for any defect in the “CUSIP” numbers as they appear on any Note, notice or elsewhere, and, </w:t>
      </w:r>
      <w:r>
        <w:rPr>
          <w:rFonts w:ascii="Times New Roman" w:cs="Times New Roman" w:eastAsia="Times New Roman" w:hAnsi="Times New Roman"/>
          <w:sz w:val="16"/>
          <w:szCs w:val="16"/>
          <w:i w:val="1"/>
          <w:iCs w:val="1"/>
          <w:color w:val="auto"/>
        </w:rPr>
        <w:t>provided, further,</w:t>
      </w:r>
      <w:r>
        <w:rPr>
          <w:rFonts w:ascii="Times New Roman" w:cs="Times New Roman" w:eastAsia="Times New Roman" w:hAnsi="Times New Roman"/>
          <w:sz w:val="16"/>
          <w:szCs w:val="16"/>
          <w:color w:val="auto"/>
        </w:rPr>
        <w:t xml:space="preserve"> that any such notice may state that no representation is made as to the correctness of such numbers either as printed on the Notes or on such notice and that reliance may be placed only on the other identification numbers printed on the Notes. The Company shall promptly notify the Trustee in writing of any change in the “CUSIP” numbers.</w:t>
      </w:r>
    </w:p>
    <w:p>
      <w:pPr>
        <w:spacing w:after="0" w:line="162" w:lineRule="exact"/>
        <w:rPr>
          <w:sz w:val="20"/>
          <w:szCs w:val="20"/>
          <w:color w:val="auto"/>
        </w:rPr>
      </w:pPr>
    </w:p>
    <w:p>
      <w:pPr>
        <w:jc w:val="both"/>
        <w:ind w:firstLine="382"/>
        <w:spacing w:after="0" w:line="252" w:lineRule="auto"/>
        <w:rPr>
          <w:sz w:val="20"/>
          <w:szCs w:val="20"/>
          <w:color w:val="auto"/>
        </w:rPr>
      </w:pPr>
      <w:r>
        <w:rPr>
          <w:rFonts w:ascii="Times New Roman" w:cs="Times New Roman" w:eastAsia="Times New Roman" w:hAnsi="Times New Roman"/>
          <w:sz w:val="16"/>
          <w:szCs w:val="16"/>
          <w:color w:val="auto"/>
        </w:rPr>
        <w:t xml:space="preserve">Section 2.10. </w:t>
      </w:r>
      <w:r>
        <w:rPr>
          <w:rFonts w:ascii="Times New Roman" w:cs="Times New Roman" w:eastAsia="Times New Roman" w:hAnsi="Times New Roman"/>
          <w:sz w:val="16"/>
          <w:szCs w:val="16"/>
          <w:i w:val="1"/>
          <w:iCs w:val="1"/>
          <w:color w:val="auto"/>
        </w:rPr>
        <w:t>Additional Notes; Repurchases.</w:t>
      </w:r>
      <w:r>
        <w:rPr>
          <w:rFonts w:ascii="Times New Roman" w:cs="Times New Roman" w:eastAsia="Times New Roman" w:hAnsi="Times New Roman"/>
          <w:sz w:val="16"/>
          <w:szCs w:val="16"/>
          <w:color w:val="auto"/>
        </w:rPr>
        <w:t xml:space="preserve"> The Company may, notwithstanding Section 2.01, reopen this Indenture and issue additional Notes hereunder with the same terms as the Notes initially issued hereunder (other than differences in the issue date, the issue price, interest accrued prior to the issue date of such additional Notes and, if applicable, restrictions on transfer in respect of such additional Notes) in an aggregate principal amount not to exceed $25.0 million;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it has given written notice to and obtained written consent from the Holders of a majority in aggregate principal amount of the Notes then outstanding prior to such date of issuance of additional Notes; and </w:t>
      </w:r>
      <w:r>
        <w:rPr>
          <w:rFonts w:ascii="Times New Roman" w:cs="Times New Roman" w:eastAsia="Times New Roman" w:hAnsi="Times New Roman"/>
          <w:sz w:val="16"/>
          <w:szCs w:val="16"/>
          <w:i w:val="1"/>
          <w:iCs w:val="1"/>
          <w:color w:val="auto"/>
        </w:rPr>
        <w:t>provided, further,</w:t>
      </w:r>
      <w:r>
        <w:rPr>
          <w:rFonts w:ascii="Times New Roman" w:cs="Times New Roman" w:eastAsia="Times New Roman" w:hAnsi="Times New Roman"/>
          <w:sz w:val="16"/>
          <w:szCs w:val="16"/>
          <w:color w:val="auto"/>
        </w:rPr>
        <w:t xml:space="preserve"> that if any such additional Notes are not fungible with the Notes initially issued hereunder for U.S. federal income tax or securities law purposes, such additional Notes shall not have the same CUSIP numbers as the Notes initially issued hereunder. Prior to the issuance of any such additional Notes, the Company shall deliver to the Trustee (copied to the Paying Agent and Note Registrar) a Company Order, an Officer’s Certificate and an Opinion of Counsel, such Officer’s Certificate and Opinion of Counsel to cover such matters, in addition to those required by Section 18.05, as the Trustee shall reasonably request. In addition, the Company may, to the extent permitted by law, and directly or indirectly (regardless of whether such Notes are surrendered to the Company), repurchase Notes in the open market or otherwise, whether by the Company or its Subsidiaries or through a privately negotiated transaction or public tender or exchange offer or through counterparties to private agreements, including by cash-settled swaps or other derivatives, in each case, without the consent of or notice to the Holders of the Notes. The Company shall cause any Notes so repurchased (other than Notes repurchased pursuant to cash-settled swaps or other derivatives) to be surrendered to the Trustee for cancellation in accordance with Section 2.08 and such Notes shall no longer be considered outstanding under this Indenture upon their repurchase.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6"/>
          <w:szCs w:val="16"/>
          <w:color w:val="auto"/>
        </w:rPr>
        <w:t>ARTICLE 3</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0"/>
          <w:szCs w:val="10"/>
          <w:color w:val="auto"/>
        </w:rPr>
        <w:t>atisfaction and</w:t>
      </w:r>
      <w:r>
        <w:rPr>
          <w:rFonts w:ascii="Times New Roman" w:cs="Times New Roman" w:eastAsia="Times New Roman" w:hAnsi="Times New Roman"/>
          <w:sz w:val="16"/>
          <w:szCs w:val="16"/>
          <w:color w:val="auto"/>
        </w:rPr>
        <w:t xml:space="preserve"> D</w:t>
      </w:r>
      <w:r>
        <w:rPr>
          <w:rFonts w:ascii="Times New Roman" w:cs="Times New Roman" w:eastAsia="Times New Roman" w:hAnsi="Times New Roman"/>
          <w:sz w:val="10"/>
          <w:szCs w:val="10"/>
          <w:color w:val="auto"/>
        </w:rPr>
        <w:t>ischarge</w:t>
      </w:r>
    </w:p>
    <w:p>
      <w:pPr>
        <w:spacing w:after="0" w:line="180" w:lineRule="exact"/>
        <w:rPr>
          <w:sz w:val="20"/>
          <w:szCs w:val="20"/>
          <w:color w:val="auto"/>
        </w:rPr>
      </w:pPr>
    </w:p>
    <w:p>
      <w:pPr>
        <w:jc w:val="both"/>
        <w:ind w:firstLine="382"/>
        <w:spacing w:after="0" w:line="253" w:lineRule="auto"/>
        <w:rPr>
          <w:sz w:val="20"/>
          <w:szCs w:val="20"/>
          <w:color w:val="auto"/>
        </w:rPr>
      </w:pPr>
      <w:r>
        <w:rPr>
          <w:rFonts w:ascii="Times New Roman" w:cs="Times New Roman" w:eastAsia="Times New Roman" w:hAnsi="Times New Roman"/>
          <w:sz w:val="16"/>
          <w:szCs w:val="16"/>
          <w:color w:val="auto"/>
        </w:rPr>
        <w:t xml:space="preserve">Section 3.01. </w:t>
      </w:r>
      <w:r>
        <w:rPr>
          <w:rFonts w:ascii="Times New Roman" w:cs="Times New Roman" w:eastAsia="Times New Roman" w:hAnsi="Times New Roman"/>
          <w:sz w:val="16"/>
          <w:szCs w:val="16"/>
          <w:i w:val="1"/>
          <w:iCs w:val="1"/>
          <w:color w:val="auto"/>
        </w:rPr>
        <w:t>Satisfaction and Discharge.</w:t>
      </w:r>
      <w:r>
        <w:rPr>
          <w:rFonts w:ascii="Times New Roman" w:cs="Times New Roman" w:eastAsia="Times New Roman" w:hAnsi="Times New Roman"/>
          <w:sz w:val="16"/>
          <w:szCs w:val="16"/>
          <w:color w:val="auto"/>
        </w:rPr>
        <w:t xml:space="preserve"> This Indenture and the Notes shall upon request of the Company contained in an Officer’s Certificate cease to be of further effect, and the Trustee, at the expense of the Company, shall execute such instruments reasonably requested by the Company acknowledging satisfaction and discharge of this Indenture and the Notes, when (a) (i) all Notes theretofore authenticated and delivered (other than Notes which have been destroyed, lost or stolen and which have been replaced, paid or converted as provided in Section 2.06) have been delivered to the Trustee for cancellation; or (ii) the Company has deposited with the Trustee or delivered to Holders, as applicable, after the Notes have become due and payable, whether on the Maturity Date, any Redemption Date, any Fundamental Change Repurchase Date, upon conversion or otherwise, cash and/or shares of Common Stock (or other Reference Property) or a combination thereof, as applicable, solely to satisfy the Company’s Conversion Obligation, sufficient to pay all of the outstanding Notes and all other sums due and payable under this Indenture by the Company; and (b) the Company has delivered to the Trustee an Officer’s Certificate and an Opinion of Counsel, each stating that all conditions precedent herein provided for relating to the satisfaction and discharge of this Indenture have been complied with. Notwithstanding the satisfaction and discharge of this Indenture, the obligations of the Company to the Trustee under Section 7.06 shall survive.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4</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w:t>
      </w:r>
      <w:r>
        <w:rPr>
          <w:rFonts w:ascii="Times New Roman" w:cs="Times New Roman" w:eastAsia="Times New Roman" w:hAnsi="Times New Roman"/>
          <w:sz w:val="10"/>
          <w:szCs w:val="10"/>
          <w:color w:val="auto"/>
        </w:rPr>
        <w:t>articular</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0"/>
          <w:szCs w:val="10"/>
          <w:color w:val="auto"/>
        </w:rPr>
        <w:t>ovenants of the</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0"/>
          <w:szCs w:val="10"/>
          <w:color w:val="auto"/>
        </w:rPr>
        <w:t>ompany</w:t>
      </w:r>
    </w:p>
    <w:p>
      <w:pPr>
        <w:spacing w:after="0" w:line="180" w:lineRule="exact"/>
        <w:rPr>
          <w:sz w:val="20"/>
          <w:szCs w:val="20"/>
          <w:color w:val="auto"/>
        </w:rPr>
      </w:pPr>
    </w:p>
    <w:p>
      <w:pPr>
        <w:jc w:val="both"/>
        <w:ind w:firstLine="382"/>
        <w:spacing w:after="0" w:line="266" w:lineRule="auto"/>
        <w:rPr>
          <w:sz w:val="20"/>
          <w:szCs w:val="20"/>
          <w:color w:val="auto"/>
        </w:rPr>
      </w:pPr>
      <w:r>
        <w:rPr>
          <w:rFonts w:ascii="Times New Roman" w:cs="Times New Roman" w:eastAsia="Times New Roman" w:hAnsi="Times New Roman"/>
          <w:sz w:val="16"/>
          <w:szCs w:val="16"/>
          <w:color w:val="auto"/>
        </w:rPr>
        <w:t xml:space="preserve">Section 4.01. </w:t>
      </w:r>
      <w:r>
        <w:rPr>
          <w:rFonts w:ascii="Times New Roman" w:cs="Times New Roman" w:eastAsia="Times New Roman" w:hAnsi="Times New Roman"/>
          <w:sz w:val="16"/>
          <w:szCs w:val="16"/>
          <w:i w:val="1"/>
          <w:iCs w:val="1"/>
          <w:color w:val="auto"/>
        </w:rPr>
        <w:t>Payment of Principal and Interest.</w:t>
      </w:r>
      <w:r>
        <w:rPr>
          <w:rFonts w:ascii="Times New Roman" w:cs="Times New Roman" w:eastAsia="Times New Roman" w:hAnsi="Times New Roman"/>
          <w:sz w:val="16"/>
          <w:szCs w:val="16"/>
          <w:color w:val="auto"/>
        </w:rPr>
        <w:t xml:space="preserve"> The Company covenants and agrees that it will cause to be paid the principal (including the Redemption Price and the Fundamental Change Repurchase Price, if applicable) of, and accrued and unpaid interest on, each of the Notes at the places, at the respective times and in the manner provided herein and in the Notes.</w:t>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On the Maturity Date, the Company shall repay the principal of each of the Notes (the “</w:t>
      </w:r>
      <w:r>
        <w:rPr>
          <w:rFonts w:ascii="Times New Roman" w:cs="Times New Roman" w:eastAsia="Times New Roman" w:hAnsi="Times New Roman"/>
          <w:sz w:val="16"/>
          <w:szCs w:val="16"/>
          <w:b w:val="1"/>
          <w:bCs w:val="1"/>
          <w:color w:val="auto"/>
        </w:rPr>
        <w:t>Maturity Obligation</w:t>
      </w:r>
      <w:r>
        <w:rPr>
          <w:rFonts w:ascii="Times New Roman" w:cs="Times New Roman" w:eastAsia="Times New Roman" w:hAnsi="Times New Roman"/>
          <w:sz w:val="16"/>
          <w:szCs w:val="16"/>
          <w:color w:val="auto"/>
        </w:rPr>
        <w:t>”) by Cash Settlement.</w:t>
      </w:r>
    </w:p>
    <w:p>
      <w:pPr>
        <w:spacing w:after="0" w:line="198" w:lineRule="exact"/>
        <w:rPr>
          <w:sz w:val="20"/>
          <w:szCs w:val="20"/>
          <w:color w:val="auto"/>
        </w:rPr>
      </w:pPr>
    </w:p>
    <w:p>
      <w:pPr>
        <w:jc w:val="both"/>
        <w:ind w:firstLine="382"/>
        <w:spacing w:after="0" w:line="283" w:lineRule="auto"/>
        <w:rPr>
          <w:sz w:val="20"/>
          <w:szCs w:val="20"/>
          <w:color w:val="auto"/>
        </w:rPr>
      </w:pPr>
      <w:r>
        <w:rPr>
          <w:rFonts w:ascii="Times New Roman" w:cs="Times New Roman" w:eastAsia="Times New Roman" w:hAnsi="Times New Roman"/>
          <w:sz w:val="16"/>
          <w:szCs w:val="16"/>
          <w:color w:val="auto"/>
        </w:rPr>
        <w:t xml:space="preserve">Interest on the Notes shall be paid in Cash Interest and PIK Interest;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Company shall make all payments of interest payable upon a redemption or in connection with a Fundamental Change in cash, assuming all PIK Interest is payable in cash.</w:t>
      </w:r>
    </w:p>
    <w:p>
      <w:pPr>
        <w:spacing w:after="0" w:line="142"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Interest on the Notes shall be paid at an interest rate of 20.0% per annum, with the Cash Interest portion accruing interest a rate of 15.0% per annum and the PIK Interest portion accruing interest and compounding on each Interest Payment Date at a rate of 5.0% per annum.</w:t>
      </w:r>
    </w:p>
    <w:p>
      <w:pPr>
        <w:spacing w:after="0" w:line="144" w:lineRule="exact"/>
        <w:rPr>
          <w:sz w:val="20"/>
          <w:szCs w:val="20"/>
          <w:color w:val="auto"/>
        </w:rPr>
      </w:pPr>
    </w:p>
    <w:p>
      <w:pPr>
        <w:jc w:val="both"/>
        <w:ind w:firstLine="382"/>
        <w:spacing w:after="0" w:line="315" w:lineRule="auto"/>
        <w:rPr>
          <w:sz w:val="20"/>
          <w:szCs w:val="20"/>
          <w:color w:val="auto"/>
        </w:rPr>
      </w:pPr>
      <w:r>
        <w:rPr>
          <w:rFonts w:ascii="Times New Roman" w:cs="Times New Roman" w:eastAsia="Times New Roman" w:hAnsi="Times New Roman"/>
          <w:sz w:val="15"/>
          <w:szCs w:val="15"/>
          <w:color w:val="auto"/>
        </w:rPr>
        <w:t>Cash Interest shall be considered paid on the date due if the Paying Agent, if other than the Company or a Subsidiary, holds as of 10:00 a.m. (New York City time) on the due date money deposited by the Company in immediately available funds and designated for and sufficient to pay all principal, premium, if any, and Cash Interest then due.</w:t>
      </w:r>
    </w:p>
    <w:p>
      <w:pPr>
        <w:spacing w:after="0" w:line="121" w:lineRule="exact"/>
        <w:rPr>
          <w:sz w:val="20"/>
          <w:szCs w:val="20"/>
          <w:color w:val="auto"/>
        </w:rPr>
      </w:pPr>
    </w:p>
    <w:p>
      <w:pPr>
        <w:jc w:val="both"/>
        <w:ind w:firstLine="382"/>
        <w:spacing w:after="0" w:line="280" w:lineRule="auto"/>
        <w:rPr>
          <w:sz w:val="20"/>
          <w:szCs w:val="20"/>
          <w:color w:val="auto"/>
        </w:rPr>
      </w:pPr>
      <w:r>
        <w:rPr>
          <w:rFonts w:ascii="Times New Roman" w:cs="Times New Roman" w:eastAsia="Times New Roman" w:hAnsi="Times New Roman"/>
          <w:sz w:val="16"/>
          <w:szCs w:val="16"/>
          <w:color w:val="auto"/>
        </w:rPr>
        <w:t>PIK Interest shall be considered paid on the date due if on such date the Trustee has received (i) an Authentication Order to increase the balance of any Global Note to reflect such PIK Interest or (ii) PIK Notes duly executed by the Company together with Authentication Order requesting the authentication of such PIK Notes by the Trustee.</w:t>
      </w:r>
    </w:p>
    <w:p>
      <w:pPr>
        <w:spacing w:after="0" w:line="142" w:lineRule="exact"/>
        <w:rPr>
          <w:sz w:val="20"/>
          <w:szCs w:val="20"/>
          <w:color w:val="auto"/>
        </w:rPr>
      </w:pPr>
    </w:p>
    <w:p>
      <w:pPr>
        <w:jc w:val="both"/>
        <w:ind w:right="20" w:firstLine="382"/>
        <w:spacing w:after="0" w:line="256" w:lineRule="auto"/>
        <w:rPr>
          <w:sz w:val="20"/>
          <w:szCs w:val="20"/>
          <w:color w:val="auto"/>
        </w:rPr>
      </w:pPr>
      <w:r>
        <w:rPr>
          <w:rFonts w:ascii="Times New Roman" w:cs="Times New Roman" w:eastAsia="Times New Roman" w:hAnsi="Times New Roman"/>
          <w:sz w:val="16"/>
          <w:szCs w:val="16"/>
          <w:color w:val="auto"/>
        </w:rPr>
        <w:t xml:space="preserve">Section 4.02. </w:t>
      </w:r>
      <w:r>
        <w:rPr>
          <w:rFonts w:ascii="Times New Roman" w:cs="Times New Roman" w:eastAsia="Times New Roman" w:hAnsi="Times New Roman"/>
          <w:sz w:val="16"/>
          <w:szCs w:val="16"/>
          <w:i w:val="1"/>
          <w:iCs w:val="1"/>
          <w:color w:val="auto"/>
        </w:rPr>
        <w:t>Maintenance of Office or Agency.</w:t>
      </w:r>
      <w:r>
        <w:rPr>
          <w:rFonts w:ascii="Times New Roman" w:cs="Times New Roman" w:eastAsia="Times New Roman" w:hAnsi="Times New Roman"/>
          <w:sz w:val="16"/>
          <w:szCs w:val="16"/>
          <w:color w:val="auto"/>
        </w:rPr>
        <w:t xml:space="preserve"> The Company will maintain in the United States of America, an office or agency where the Notes may be surrendered for registration of transfer or exchange or for presentation for payment or repurchase or redemption (“</w:t>
      </w:r>
      <w:r>
        <w:rPr>
          <w:rFonts w:ascii="Times New Roman" w:cs="Times New Roman" w:eastAsia="Times New Roman" w:hAnsi="Times New Roman"/>
          <w:sz w:val="16"/>
          <w:szCs w:val="16"/>
          <w:b w:val="1"/>
          <w:bCs w:val="1"/>
          <w:color w:val="auto"/>
        </w:rPr>
        <w:t>Paying Agent</w:t>
      </w:r>
      <w:r>
        <w:rPr>
          <w:rFonts w:ascii="Times New Roman" w:cs="Times New Roman" w:eastAsia="Times New Roman" w:hAnsi="Times New Roman"/>
          <w:sz w:val="16"/>
          <w:szCs w:val="16"/>
          <w:color w:val="auto"/>
        </w:rPr>
        <w:t>”) or for conversion (“</w:t>
      </w:r>
      <w:r>
        <w:rPr>
          <w:rFonts w:ascii="Times New Roman" w:cs="Times New Roman" w:eastAsia="Times New Roman" w:hAnsi="Times New Roman"/>
          <w:sz w:val="16"/>
          <w:szCs w:val="16"/>
          <w:b w:val="1"/>
          <w:bCs w:val="1"/>
          <w:color w:val="auto"/>
        </w:rPr>
        <w:t>Conversion Agent</w:t>
      </w:r>
      <w:r>
        <w:rPr>
          <w:rFonts w:ascii="Times New Roman" w:cs="Times New Roman" w:eastAsia="Times New Roman" w:hAnsi="Times New Roman"/>
          <w:sz w:val="16"/>
          <w:szCs w:val="16"/>
          <w:color w:val="auto"/>
        </w:rPr>
        <w:t>”) and where notices and demands to or upon the Company in respect of the Notes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or the office or agency of the Trustee located in the United States.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8" w:name="page49"/>
    <w:bookmarkEnd w:id="48"/>
    <w:p>
      <w:pPr>
        <w:jc w:val="both"/>
        <w:ind w:right="20" w:firstLine="382"/>
        <w:spacing w:after="0" w:line="257" w:lineRule="auto"/>
        <w:rPr>
          <w:sz w:val="20"/>
          <w:szCs w:val="20"/>
          <w:color w:val="auto"/>
        </w:rPr>
      </w:pPr>
      <w:r>
        <w:rPr>
          <w:rFonts w:ascii="Times New Roman" w:cs="Times New Roman" w:eastAsia="Times New Roman" w:hAnsi="Times New Roman"/>
          <w:sz w:val="16"/>
          <w:szCs w:val="16"/>
          <w:color w:val="auto"/>
        </w:rPr>
        <w:t xml:space="preserve">The Company may also from time to time designate as co-Note Registrars one or more other offices or agencies where the Notes may be presented or surrendered for any or all such purposes and may from time to time rescind such designations;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 such designation or rescission shall in any manner relieve the Company of its obligation to maintain an office or agency in the United States of America, for such purposes. The Company will give prompt written notice to the Trustee of any such designation or rescission and of any change in the location of any such other office or agency. The terms “</w:t>
      </w:r>
      <w:r>
        <w:rPr>
          <w:rFonts w:ascii="Times New Roman" w:cs="Times New Roman" w:eastAsia="Times New Roman" w:hAnsi="Times New Roman"/>
          <w:sz w:val="16"/>
          <w:szCs w:val="16"/>
          <w:b w:val="1"/>
          <w:bCs w:val="1"/>
          <w:color w:val="auto"/>
        </w:rPr>
        <w:t>Paying Agent</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b w:val="1"/>
          <w:bCs w:val="1"/>
          <w:color w:val="auto"/>
        </w:rPr>
        <w:t>Conversion Agent</w:t>
      </w:r>
      <w:r>
        <w:rPr>
          <w:rFonts w:ascii="Times New Roman" w:cs="Times New Roman" w:eastAsia="Times New Roman" w:hAnsi="Times New Roman"/>
          <w:sz w:val="16"/>
          <w:szCs w:val="16"/>
          <w:color w:val="auto"/>
        </w:rPr>
        <w:t>” include any such additional or other offices or agencies, as applicable.</w:t>
      </w:r>
    </w:p>
    <w:p>
      <w:pPr>
        <w:spacing w:after="0" w:line="162"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6"/>
          <w:szCs w:val="16"/>
          <w:color w:val="auto"/>
        </w:rPr>
        <w:t>The Company hereby initially designates the Trustee as the Paying Agent, Note Registrar, Custodian and Conversion Agent and the Corporate Trust Office as the office or agency in the contiguous United States, where Notes may be surrendered for registration of transfer or exchange or for presentation for payment or repurchase or redemption or for conversion and where notices and demands to or upon the Company in respect of the Notes and this Indenture may be served; provided that the Corporate Trust Office shall not be a place for service of legal process for the Company.</w:t>
      </w:r>
    </w:p>
    <w:p>
      <w:pPr>
        <w:spacing w:after="0" w:line="160" w:lineRule="exact"/>
        <w:rPr>
          <w:sz w:val="20"/>
          <w:szCs w:val="20"/>
          <w:color w:val="auto"/>
        </w:rPr>
      </w:pPr>
    </w:p>
    <w:p>
      <w:pPr>
        <w:jc w:val="both"/>
        <w:ind w:firstLine="382"/>
        <w:spacing w:after="0" w:line="283" w:lineRule="auto"/>
        <w:rPr>
          <w:sz w:val="20"/>
          <w:szCs w:val="20"/>
          <w:color w:val="auto"/>
        </w:rPr>
      </w:pPr>
      <w:r>
        <w:rPr>
          <w:rFonts w:ascii="Times New Roman" w:cs="Times New Roman" w:eastAsia="Times New Roman" w:hAnsi="Times New Roman"/>
          <w:sz w:val="16"/>
          <w:szCs w:val="16"/>
          <w:color w:val="auto"/>
        </w:rPr>
        <w:t xml:space="preserve">Section 4.03. </w:t>
      </w:r>
      <w:r>
        <w:rPr>
          <w:rFonts w:ascii="Times New Roman" w:cs="Times New Roman" w:eastAsia="Times New Roman" w:hAnsi="Times New Roman"/>
          <w:sz w:val="16"/>
          <w:szCs w:val="16"/>
          <w:i w:val="1"/>
          <w:iCs w:val="1"/>
          <w:color w:val="auto"/>
        </w:rPr>
        <w:t>Appointments to Fill Vacancies in Trustee’s Office.</w:t>
      </w:r>
      <w:r>
        <w:rPr>
          <w:rFonts w:ascii="Times New Roman" w:cs="Times New Roman" w:eastAsia="Times New Roman" w:hAnsi="Times New Roman"/>
          <w:sz w:val="16"/>
          <w:szCs w:val="16"/>
          <w:color w:val="auto"/>
        </w:rPr>
        <w:t xml:space="preserve"> The Company, whenever necessary to avoid or fill a vacancy in the office of Trustee, will appoint, in the manner provided in Section 7.09, a Trustee, so that there shall at all times be a Trustee hereunder.</w:t>
      </w:r>
    </w:p>
    <w:p>
      <w:pPr>
        <w:spacing w:after="0" w:line="140" w:lineRule="exact"/>
        <w:rPr>
          <w:sz w:val="20"/>
          <w:szCs w:val="20"/>
          <w:color w:val="auto"/>
        </w:rPr>
      </w:pPr>
    </w:p>
    <w:p>
      <w:pPr>
        <w:jc w:val="both"/>
        <w:ind w:right="20" w:firstLine="382"/>
        <w:spacing w:after="0" w:line="283" w:lineRule="auto"/>
        <w:rPr>
          <w:sz w:val="20"/>
          <w:szCs w:val="20"/>
          <w:color w:val="auto"/>
        </w:rPr>
      </w:pPr>
      <w:r>
        <w:rPr>
          <w:rFonts w:ascii="Times New Roman" w:cs="Times New Roman" w:eastAsia="Times New Roman" w:hAnsi="Times New Roman"/>
          <w:sz w:val="16"/>
          <w:szCs w:val="16"/>
          <w:color w:val="auto"/>
        </w:rPr>
        <w:t xml:space="preserve">Section 4.04. </w:t>
      </w:r>
      <w:r>
        <w:rPr>
          <w:rFonts w:ascii="Times New Roman" w:cs="Times New Roman" w:eastAsia="Times New Roman" w:hAnsi="Times New Roman"/>
          <w:sz w:val="16"/>
          <w:szCs w:val="16"/>
          <w:i w:val="1"/>
          <w:iCs w:val="1"/>
          <w:color w:val="auto"/>
        </w:rPr>
        <w:t>Provisions as to Paying Agent.</w:t>
      </w:r>
      <w:r>
        <w:rPr>
          <w:rFonts w:ascii="Times New Roman" w:cs="Times New Roman" w:eastAsia="Times New Roman" w:hAnsi="Times New Roman"/>
          <w:sz w:val="16"/>
          <w:szCs w:val="16"/>
          <w:color w:val="auto"/>
        </w:rPr>
        <w:t xml:space="preserve"> (a) If the Company shall appoint a Paying Agent other than the Trustee, the Company will cause such Paying Agent to execute and deliver to the Trustee an instrument in which such agent shall agree with the Trustee, subject to the provisions of this Section 4.04:</w:t>
      </w:r>
    </w:p>
    <w:p>
      <w:pPr>
        <w:spacing w:after="0" w:line="142" w:lineRule="exact"/>
        <w:rPr>
          <w:sz w:val="20"/>
          <w:szCs w:val="20"/>
          <w:color w:val="auto"/>
        </w:rPr>
      </w:pPr>
    </w:p>
    <w:p>
      <w:pPr>
        <w:ind w:right="20" w:firstLine="1143"/>
        <w:spacing w:after="0" w:line="280" w:lineRule="auto"/>
        <w:tabs>
          <w:tab w:leader="none" w:pos="1337"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it will hold all sums and PIK Notes held by it as such agent for the payment of the principal (including the Redemption Price and the Fundamental Change Repurchase Price, if applicable) of, or accrued and unpaid interest on, the Notes in trust for the benefit of the Holders of the Notes;</w:t>
      </w:r>
    </w:p>
    <w:p>
      <w:pPr>
        <w:spacing w:after="0" w:line="144" w:lineRule="exact"/>
        <w:rPr>
          <w:rFonts w:ascii="Times New Roman" w:cs="Times New Roman" w:eastAsia="Times New Roman" w:hAnsi="Times New Roman"/>
          <w:sz w:val="16"/>
          <w:szCs w:val="16"/>
          <w:color w:val="auto"/>
        </w:rPr>
      </w:pPr>
    </w:p>
    <w:p>
      <w:pPr>
        <w:ind w:firstLine="1143"/>
        <w:spacing w:after="0" w:line="280" w:lineRule="auto"/>
        <w:tabs>
          <w:tab w:leader="none" w:pos="1382"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it will give the Trustee prompt notice of any failure by the Company to make any payment of the principal (including the Redemption Price and the Fundamental Change Repurchase Price, if applicable) of, and accrued and unpaid interest on, the Notes when the same shall be due and payable; and</w:t>
      </w:r>
    </w:p>
    <w:p>
      <w:pPr>
        <w:spacing w:after="0" w:line="144" w:lineRule="exact"/>
        <w:rPr>
          <w:rFonts w:ascii="Times New Roman" w:cs="Times New Roman" w:eastAsia="Times New Roman" w:hAnsi="Times New Roman"/>
          <w:sz w:val="16"/>
          <w:szCs w:val="16"/>
          <w:color w:val="auto"/>
        </w:rPr>
      </w:pPr>
    </w:p>
    <w:p>
      <w:pPr>
        <w:ind w:left="1420" w:hanging="277"/>
        <w:spacing w:after="0"/>
        <w:tabs>
          <w:tab w:leader="none" w:pos="14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at any time during the continuance of an Event of Default, upon request of the Trustee, it will forthwith pay to the Trustee all sums or PIK Notes so</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held in trust.</w:t>
      </w:r>
    </w:p>
    <w:p>
      <w:pPr>
        <w:spacing w:after="0" w:line="182" w:lineRule="exact"/>
        <w:rPr>
          <w:sz w:val="20"/>
          <w:szCs w:val="20"/>
          <w:color w:val="auto"/>
        </w:rPr>
      </w:pPr>
    </w:p>
    <w:p>
      <w:pPr>
        <w:jc w:val="both"/>
        <w:ind w:right="20" w:firstLine="382"/>
        <w:spacing w:after="0" w:line="259" w:lineRule="auto"/>
        <w:rPr>
          <w:sz w:val="20"/>
          <w:szCs w:val="20"/>
          <w:color w:val="auto"/>
        </w:rPr>
      </w:pPr>
      <w:r>
        <w:rPr>
          <w:rFonts w:ascii="Times New Roman" w:cs="Times New Roman" w:eastAsia="Times New Roman" w:hAnsi="Times New Roman"/>
          <w:sz w:val="16"/>
          <w:szCs w:val="16"/>
          <w:color w:val="auto"/>
        </w:rPr>
        <w:t xml:space="preserve">The Company shall, on or before each due date of the principal (including the Redemption Price and the Fundamental Change Repurchase Price, if applicable) of, or accrued and unpaid interest on, the Notes, deposit with the Paying Agent a sum sufficient to pay such principal (including the Redemption Price and the Fundamental Change Repurchase Price, if applicable) or accrued and unpaid interest, and (unless such Paying Agent is the Trustee) the Company will promptly notify the Trustee of any failure to take such action;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such deposit is made on the due date, such deposit must be received by the Paying Agent by 10:00 a.m., New York City time, on such date.</w:t>
      </w:r>
    </w:p>
    <w:p>
      <w:pPr>
        <w:spacing w:after="0" w:line="162" w:lineRule="exact"/>
        <w:rPr>
          <w:sz w:val="20"/>
          <w:szCs w:val="20"/>
          <w:color w:val="auto"/>
        </w:rPr>
      </w:pPr>
    </w:p>
    <w:p>
      <w:pPr>
        <w:jc w:val="both"/>
        <w:ind w:firstLine="760"/>
        <w:spacing w:after="0" w:line="255" w:lineRule="auto"/>
        <w:tabs>
          <w:tab w:leader="none" w:pos="99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acts as its own Paying Agent, it shall, on or before each due date of the principal (including the Redemption Price and the Fundamental Change Repurchase Price, if applicable) of, and accrued and unpaid interest on, the Notes, set aside, segregate and hold in trust for the benefit of the Holders of the Notes a sum sufficient to pay such principal (including the Redemption Price and the Fundamental Change Repurchase Price, if applicable) and accrued and unpaid interest so becoming due and will promptly notify the Trustee in writing of any failure to take such action and of any failure by the Company to make any payment of the principal (including the Redemption Price and the Fundamental Change Repurchase Price, if applicable) of, or accrued and unpaid interest on, the Notes when the same shall become due and payable. On the occurrence of any Event of Default under Section 6.01(h) or Section 6.01(i), the Trustee shall automatically become the Paying Agent.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9" w:name="page50"/>
    <w:bookmarkEnd w:id="49"/>
    <w:p>
      <w:pPr>
        <w:jc w:val="both"/>
        <w:ind w:firstLine="760"/>
        <w:spacing w:after="0" w:line="259" w:lineRule="auto"/>
        <w:tabs>
          <w:tab w:leader="none" w:pos="981"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Anything in this Section 4.04 to the contrary notwithstanding, the Company may, at any time, for the purpose of obtaining a satisfaction and discharge of this Indenture, or for any other reason, pay, cause to be paid or deliver to the Trustee all sums or amounts held in trust by the Company or any Paying Agent hereunder as required by this Section 4.04, such sums or amounts to be held by the Trustee upon the trusts herein contained and upon such payment or delivery by the Company or any Paying Agent to the Trustee, the Company or such Paying Agent shall be released from all further liability but only with respect to such sums or amounts.</w:t>
      </w:r>
    </w:p>
    <w:p>
      <w:pPr>
        <w:spacing w:after="0" w:line="161" w:lineRule="exact"/>
        <w:rPr>
          <w:rFonts w:ascii="Times New Roman" w:cs="Times New Roman" w:eastAsia="Times New Roman" w:hAnsi="Times New Roman"/>
          <w:sz w:val="16"/>
          <w:szCs w:val="16"/>
          <w:color w:val="auto"/>
        </w:rPr>
      </w:pPr>
    </w:p>
    <w:p>
      <w:pPr>
        <w:jc w:val="both"/>
        <w:ind w:firstLine="760"/>
        <w:spacing w:after="0" w:line="253" w:lineRule="auto"/>
        <w:tabs>
          <w:tab w:leader="none" w:pos="99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applicable escheatment laws, any money and shares of Common Stock deposited with the Trustee, the Conversion Agent or any Paying Agent or then held by the Company, in trust for the payment of the principal (including the Redemption Price and the Fundamental Change Repurchase Price, if applicable) of, accrued and unpaid interest on and the consideration due upon conversion of any Note and remaining unclaimed for two years after such principal (including the Redemption Price and the Fundamental Change Repurchase Price, if applicable), interest or consideration due upon conversion has become due and payable shall be paid to the Company on request of the Company contained in an Officer’s Certificate, or (if then held by the Company) shall be discharged from such trust and the Trustee shall have no further liability with respect to such fund or property; and the Holder of such Note shall thereafter, as an unsecured general creditor, look only to the Company for payment thereof, and all liability of the Trustee, the Conversion Agent or such Paying Agent with respect to such trust money and shares of Common Stock, and all liability of the Company as trustee thereof, shall thereupon cease.</w:t>
      </w:r>
    </w:p>
    <w:p>
      <w:pPr>
        <w:spacing w:after="0" w:line="167" w:lineRule="exact"/>
        <w:rPr>
          <w:sz w:val="20"/>
          <w:szCs w:val="20"/>
          <w:color w:val="auto"/>
        </w:rPr>
      </w:pPr>
    </w:p>
    <w:p>
      <w:pPr>
        <w:jc w:val="both"/>
        <w:ind w:right="20" w:firstLine="382"/>
        <w:spacing w:after="0" w:line="283" w:lineRule="auto"/>
        <w:rPr>
          <w:sz w:val="20"/>
          <w:szCs w:val="20"/>
          <w:color w:val="auto"/>
        </w:rPr>
      </w:pPr>
      <w:r>
        <w:rPr>
          <w:rFonts w:ascii="Times New Roman" w:cs="Times New Roman" w:eastAsia="Times New Roman" w:hAnsi="Times New Roman"/>
          <w:sz w:val="16"/>
          <w:szCs w:val="16"/>
          <w:color w:val="auto"/>
        </w:rPr>
        <w:t xml:space="preserve">Section 4.05. </w:t>
      </w:r>
      <w:r>
        <w:rPr>
          <w:rFonts w:ascii="Times New Roman" w:cs="Times New Roman" w:eastAsia="Times New Roman" w:hAnsi="Times New Roman"/>
          <w:sz w:val="16"/>
          <w:szCs w:val="16"/>
          <w:i w:val="1"/>
          <w:iCs w:val="1"/>
          <w:color w:val="auto"/>
        </w:rPr>
        <w:t>Existence.</w:t>
      </w:r>
      <w:r>
        <w:rPr>
          <w:rFonts w:ascii="Times New Roman" w:cs="Times New Roman" w:eastAsia="Times New Roman" w:hAnsi="Times New Roman"/>
          <w:sz w:val="16"/>
          <w:szCs w:val="16"/>
          <w:color w:val="auto"/>
        </w:rPr>
        <w:t xml:space="preserve"> Subject to Article 11, the Company shall do or cause to be done all things necessary to preserve and keep in full force and effect its corporate existence.</w:t>
      </w:r>
    </w:p>
    <w:p>
      <w:pPr>
        <w:spacing w:after="0" w:line="140"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6"/>
          <w:szCs w:val="16"/>
          <w:color w:val="auto"/>
        </w:rPr>
        <w:t xml:space="preserve">Section 4.06. </w:t>
      </w:r>
      <w:r>
        <w:rPr>
          <w:rFonts w:ascii="Times New Roman" w:cs="Times New Roman" w:eastAsia="Times New Roman" w:hAnsi="Times New Roman"/>
          <w:sz w:val="16"/>
          <w:szCs w:val="16"/>
          <w:i w:val="1"/>
          <w:iCs w:val="1"/>
          <w:color w:val="auto"/>
        </w:rPr>
        <w:t>Rule 144A Information Requirement and Annual Reports.</w:t>
      </w:r>
      <w:r>
        <w:rPr>
          <w:rFonts w:ascii="Times New Roman" w:cs="Times New Roman" w:eastAsia="Times New Roman" w:hAnsi="Times New Roman"/>
          <w:sz w:val="16"/>
          <w:szCs w:val="16"/>
          <w:color w:val="auto"/>
        </w:rPr>
        <w:t xml:space="preserve"> (a) At any time the Company is not subject to Section 13 or 15(d) of the Exchange Act, the Company shall, so long as any of the Notes or any shares of Common Stock issuable upon conversion thereof shall, at such time, constitute “restricted securities” within the meaning of Rule 144(a)(3) under the Securities Act, promptly provide to the Trustee and, upon written request, any Holder, beneficial owner or prospective purchaser of such Notes or any shares of Common Stock issuable upon conversion of such Notes, the information required to be delivered pursuant to Rule 144A(d)(4) under the Securities Act to facilitate the resale of such Notes or shares of Common Stock pursuant to Rule 144A.</w:t>
      </w:r>
    </w:p>
    <w:p>
      <w:pPr>
        <w:spacing w:after="0" w:line="164" w:lineRule="exact"/>
        <w:rPr>
          <w:sz w:val="20"/>
          <w:szCs w:val="20"/>
          <w:color w:val="auto"/>
        </w:rPr>
      </w:pPr>
    </w:p>
    <w:p>
      <w:pPr>
        <w:jc w:val="both"/>
        <w:ind w:firstLine="760"/>
        <w:spacing w:after="0" w:line="254" w:lineRule="auto"/>
        <w:tabs>
          <w:tab w:leader="none" w:pos="99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file with the Trustee, within 15 days after the same are required to be filed with the Commission, copies of any annual or quarterly reports (on Form 10-K or Form 10-Q or any respective successor form) that the Company is required to file with the Commission pursuant to Section 13 or 15(d) of the Exchange Act (excluding any such information, documents or reports, or portions thereof, subject to, or with respect to which the Company is actively seeking, confidential treatment and any correspondence with the Commission, and giving effect to any grace period provided by Rule 12b-25 under the Exchange Act (or any successor thereto)). Any such document or report that the Company files with the Commission via the Commission’s EDGAR system (or any successor system) shall be deemed to be filed with the Trustee for purposes of this Section 4.06(b) at the time such documents are filed via the EDGAR system (or such successor). The Trustee shall have no responsibility to determine whether such posting has occurred.</w:t>
      </w:r>
    </w:p>
    <w:p>
      <w:pPr>
        <w:spacing w:after="0" w:line="166" w:lineRule="exact"/>
        <w:rPr>
          <w:rFonts w:ascii="Times New Roman" w:cs="Times New Roman" w:eastAsia="Times New Roman" w:hAnsi="Times New Roman"/>
          <w:sz w:val="16"/>
          <w:szCs w:val="16"/>
          <w:color w:val="auto"/>
        </w:rPr>
      </w:pPr>
    </w:p>
    <w:p>
      <w:pPr>
        <w:jc w:val="both"/>
        <w:ind w:firstLine="760"/>
        <w:spacing w:after="0" w:line="265" w:lineRule="auto"/>
        <w:tabs>
          <w:tab w:leader="none" w:pos="981"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Delivery of the reports, information and documents described in subsection (b) above to the Trustee is for informational purposes only, and the information and the Trustee’s receipt of such shall not constitute constructive notice of any information contained therein or determinable from information contained therein, including the Company’s compliance with any of its covenants hereunder (as to which the Trustee is entitled to conclusively rely on an Officer’s Certificate).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0" w:name="page51"/>
    <w:bookmarkEnd w:id="50"/>
    <w:p>
      <w:pPr>
        <w:jc w:val="both"/>
        <w:ind w:left="4" w:firstLine="760"/>
        <w:spacing w:after="0" w:line="252" w:lineRule="auto"/>
        <w:tabs>
          <w:tab w:leader="none" w:pos="1001"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at any time following the one year anniversary of the Last Original Issue Date, the Company fails to timely file any document or report that it is required to file with the Commission pursuant to Section 13 or 15(d) of the Exchange Act, as applicable (after giving effect to all applicable grace periods thereunder and other than reports on Form 8-K), or the Notes are not otherwise freely tradable pursuant to Rule 144 by Holders other than the Company’s Affiliates or Holders that were the Company’s Affiliates at any time during the three months immediately preceding (as a result of restrictions pursuant to U.S. securities laws or the terms of this Indenture or the Notes) or the Notes fail to be subject to a registration statement that has become effective or been declared effective under the Securities Act and that continues to be effective in accordance with the terms of the Registration Rights Agreement, the Company shall pay Additional Interest on the Notes. Such Additional Interest shall accrue on the Notes at the rate of (i) 0.25% per annum of the principal amount of the Notes outstanding for each of the first 90 days and (ii) 0.50% per annum of the principal amount of the Notes</w:t>
      </w:r>
    </w:p>
    <w:p>
      <w:pPr>
        <w:spacing w:after="0" w:line="3" w:lineRule="exact"/>
        <w:rPr>
          <w:sz w:val="20"/>
          <w:szCs w:val="20"/>
          <w:color w:val="auto"/>
        </w:rPr>
      </w:pPr>
    </w:p>
    <w:p>
      <w:pPr>
        <w:jc w:val="both"/>
        <w:ind w:left="4"/>
        <w:spacing w:after="0" w:line="235" w:lineRule="auto"/>
        <w:rPr>
          <w:sz w:val="20"/>
          <w:szCs w:val="20"/>
          <w:color w:val="auto"/>
        </w:rPr>
      </w:pPr>
      <w:r>
        <w:rPr>
          <w:rFonts w:ascii="Times New Roman" w:cs="Times New Roman" w:eastAsia="Times New Roman" w:hAnsi="Times New Roman"/>
          <w:sz w:val="16"/>
          <w:szCs w:val="16"/>
          <w:color w:val="auto"/>
        </w:rPr>
        <w:t>outstanding for each day from, and including, the 91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6"/>
          <w:szCs w:val="16"/>
          <w:color w:val="auto"/>
        </w:rPr>
        <w:t xml:space="preserve"> day during such period for which the Company’s failure to file has occurred and is continuing or the Notes are not otherwise freely tradable pursuant to Rule 144 by Holders other than the Company’s Affiliates (or Holders that were the Company’s Affiliates at any time during the three months immediately preceding) without restrictions pursuant to U.S. securities laws or the terms of this Indenture or the Notes. As used in this Section 4.06(d), documents or reports that the Company is required to “file” with the Commission pursuant to Section 13 or 15(d) of the Exchange Act does not include documents or reports that the Company furnishes to the Commission pursuant to Section 13 or 15(d) of the Exchange Act. For purposes of this Section 4.06(d), the phrase “restrictions pursuant to U.S. securities laws or the terms of this Indenture or the Notes” shall not include, for the avoidance of doubt, the assignment of a restricted CUSIP number, the existence of the Restrictive Notes Legend on Notes in compliance with Section 2.05(c).</w:t>
      </w:r>
    </w:p>
    <w:p>
      <w:pPr>
        <w:spacing w:after="0" w:line="175" w:lineRule="exact"/>
        <w:rPr>
          <w:sz w:val="20"/>
          <w:szCs w:val="20"/>
          <w:color w:val="auto"/>
        </w:rPr>
      </w:pPr>
    </w:p>
    <w:p>
      <w:pPr>
        <w:ind w:left="984" w:hanging="220"/>
        <w:spacing w:after="0"/>
        <w:tabs>
          <w:tab w:leader="none" w:pos="984"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 Interest will be payable in cash in arrears on each Interest Payment Date following accrual in the same manner as regular interest on the Notes.</w:t>
      </w:r>
    </w:p>
    <w:p>
      <w:pPr>
        <w:spacing w:after="0" w:line="198" w:lineRule="exact"/>
        <w:rPr>
          <w:rFonts w:ascii="Times New Roman" w:cs="Times New Roman" w:eastAsia="Times New Roman" w:hAnsi="Times New Roman"/>
          <w:sz w:val="16"/>
          <w:szCs w:val="16"/>
          <w:color w:val="auto"/>
        </w:rPr>
      </w:pPr>
    </w:p>
    <w:p>
      <w:pPr>
        <w:jc w:val="both"/>
        <w:ind w:left="4" w:right="20" w:firstLine="760"/>
        <w:spacing w:after="0" w:line="254" w:lineRule="auto"/>
        <w:tabs>
          <w:tab w:leader="none" w:pos="968"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immediately succeeding sentence, the Additional Interest that is payable in accordance with Section 4.06(d) shall be in addition to, and not in lieu of, any Additional Interest that may be payable as a result of the Company’s election pursuant to Section 6.03. However, in no event shall Additional Interest payable for the Company’s failure to comply with its obligations to timely file any document or report that the Company is required to file with the Commission pursuant to Section 13 or 15(d) of the Exchange Act, as applicable (after giving effect to all applicable grace periods thereunder and other than reports on Form 8-K), as set forth in Section 4.06(d), together with any Additional Interest that may accrue at the Company’s election as a result of the Company’s failure to comply with its reporting obligations pursuant to Section 6.03, accrue at a rate in excess of 0.50% per annum pursuant to this Indenture, regardless of the number of events or circumstances giving rise to the requirement to pay such Additional Interest.</w:t>
      </w:r>
    </w:p>
    <w:p>
      <w:pPr>
        <w:spacing w:after="0" w:line="166" w:lineRule="exact"/>
        <w:rPr>
          <w:rFonts w:ascii="Times New Roman" w:cs="Times New Roman" w:eastAsia="Times New Roman" w:hAnsi="Times New Roman"/>
          <w:sz w:val="16"/>
          <w:szCs w:val="16"/>
          <w:color w:val="auto"/>
        </w:rPr>
      </w:pPr>
    </w:p>
    <w:p>
      <w:pPr>
        <w:jc w:val="both"/>
        <w:ind w:left="4" w:right="20" w:firstLine="760"/>
        <w:spacing w:after="0" w:line="257" w:lineRule="auto"/>
        <w:tabs>
          <w:tab w:leader="none" w:pos="995"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Additional Interest is payable by the Company pursuant to Section 4.06(d), the Company shall deliver to the Trustee (copied to the Paying Agent) an Officer’s Certificate to that effect stating (i) the amount of such Additional Interest that is payable and (ii) the date on which such Additional Interest is payable. Unless and until a Responsible Officer of the Trustee receives at the Corporate Trust Office such a certificate, the Trustee may assume without inquiry that no such Additional Interest is payable and the Trustee shall not have any duty to verify the Company’s calculation of Additional Interest. If the Company has paid Additional Interest directly to the Persons entitled to it, the Company shall deliver to the Trustee an Officer’s Certificate setting forth the particulars of such payment.</w:t>
      </w:r>
    </w:p>
    <w:p>
      <w:pPr>
        <w:spacing w:after="0" w:line="160" w:lineRule="exact"/>
        <w:rPr>
          <w:sz w:val="20"/>
          <w:szCs w:val="20"/>
          <w:color w:val="auto"/>
        </w:rPr>
      </w:pPr>
    </w:p>
    <w:p>
      <w:pPr>
        <w:jc w:val="both"/>
        <w:ind w:left="4" w:firstLine="382"/>
        <w:spacing w:after="0" w:line="256" w:lineRule="auto"/>
        <w:rPr>
          <w:sz w:val="20"/>
          <w:szCs w:val="20"/>
          <w:color w:val="auto"/>
        </w:rPr>
      </w:pPr>
      <w:r>
        <w:rPr>
          <w:rFonts w:ascii="Times New Roman" w:cs="Times New Roman" w:eastAsia="Times New Roman" w:hAnsi="Times New Roman"/>
          <w:sz w:val="16"/>
          <w:szCs w:val="16"/>
          <w:color w:val="auto"/>
        </w:rPr>
        <w:t xml:space="preserve">Section 4.07. </w:t>
      </w:r>
      <w:r>
        <w:rPr>
          <w:rFonts w:ascii="Times New Roman" w:cs="Times New Roman" w:eastAsia="Times New Roman" w:hAnsi="Times New Roman"/>
          <w:sz w:val="16"/>
          <w:szCs w:val="16"/>
          <w:i w:val="1"/>
          <w:iCs w:val="1"/>
          <w:color w:val="auto"/>
        </w:rPr>
        <w:t>Stay, Extension and Usury Laws.</w:t>
      </w:r>
      <w:r>
        <w:rPr>
          <w:rFonts w:ascii="Times New Roman" w:cs="Times New Roman" w:eastAsia="Times New Roman" w:hAnsi="Times New Roman"/>
          <w:sz w:val="16"/>
          <w:szCs w:val="16"/>
          <w:color w:val="auto"/>
        </w:rPr>
        <w:t xml:space="preserve"> The Company covenants (to the extent that it may lawfully do so) that it shall not at any time insist upon, plead, or in any manner whatsoever claim or take the benefit or advantage of, any stay, extension or usury law or other law that would prohibit or forgive the Company from paying all or any portion of the principal of or interest on the Notes as contemplated herein, wherever enacted, now or at any time hereafter in force, or that may affect the covenants or the performance of this Indenture;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w:t>
      </w:r>
    </w:p>
    <w:p>
      <w:pPr>
        <w:spacing w:after="0" w:line="161" w:lineRule="exact"/>
        <w:rPr>
          <w:sz w:val="20"/>
          <w:szCs w:val="20"/>
          <w:color w:val="auto"/>
        </w:rPr>
      </w:pPr>
    </w:p>
    <w:p>
      <w:pPr>
        <w:jc w:val="both"/>
        <w:ind w:left="4" w:right="20" w:firstLine="382"/>
        <w:spacing w:after="0" w:line="226" w:lineRule="auto"/>
        <w:rPr>
          <w:sz w:val="20"/>
          <w:szCs w:val="20"/>
          <w:color w:val="auto"/>
        </w:rPr>
      </w:pPr>
      <w:r>
        <w:rPr>
          <w:rFonts w:ascii="Times New Roman" w:cs="Times New Roman" w:eastAsia="Times New Roman" w:hAnsi="Times New Roman"/>
          <w:sz w:val="16"/>
          <w:szCs w:val="16"/>
          <w:color w:val="auto"/>
        </w:rPr>
        <w:t xml:space="preserve">Section 4.08. </w:t>
      </w:r>
      <w:r>
        <w:rPr>
          <w:rFonts w:ascii="Times New Roman" w:cs="Times New Roman" w:eastAsia="Times New Roman" w:hAnsi="Times New Roman"/>
          <w:sz w:val="16"/>
          <w:szCs w:val="16"/>
          <w:i w:val="1"/>
          <w:iCs w:val="1"/>
          <w:color w:val="auto"/>
        </w:rPr>
        <w:t>Compliance Certificate; Statements as to Defaults.</w:t>
      </w:r>
      <w:r>
        <w:rPr>
          <w:rFonts w:ascii="Times New Roman" w:cs="Times New Roman" w:eastAsia="Times New Roman" w:hAnsi="Times New Roman"/>
          <w:sz w:val="16"/>
          <w:szCs w:val="16"/>
          <w:color w:val="auto"/>
        </w:rPr>
        <w:t xml:space="preserve"> The Company shall deliver to the Trustee within 120 days after the end of each fiscal year of the Company (beginning with the fiscal year ending on [June 30, 2022]</w:t>
      </w:r>
      <w:r>
        <w:rPr>
          <w:rFonts w:ascii="Times New Roman" w:cs="Times New Roman" w:eastAsia="Times New Roman" w:hAnsi="Times New Roman"/>
          <w:sz w:val="26"/>
          <w:szCs w:val="26"/>
          <w:color w:val="auto"/>
          <w:vertAlign w:val="superscript"/>
        </w:rPr>
        <w:t>7</w:t>
      </w:r>
      <w:r>
        <w:rPr>
          <w:rFonts w:ascii="Times New Roman" w:cs="Times New Roman" w:eastAsia="Times New Roman" w:hAnsi="Times New Roman"/>
          <w:sz w:val="16"/>
          <w:szCs w:val="16"/>
          <w:color w:val="auto"/>
        </w:rPr>
        <w:t>) an Officer’s Certificate stating whether the signers thereof have knowledge of any Default or Event of Default that occurred during the previous year and, if so, specifying each such Default or Event of Default and the nature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1790700"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190" w:lineRule="exact"/>
        <w:rPr>
          <w:sz w:val="20"/>
          <w:szCs w:val="20"/>
          <w:color w:val="auto"/>
        </w:rPr>
      </w:pPr>
    </w:p>
    <w:p>
      <w:pPr>
        <w:ind w:left="284" w:hanging="284"/>
        <w:spacing w:after="0"/>
        <w:tabs>
          <w:tab w:leader="none" w:pos="284"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NTD: Insert end of first fiscal year after issuance</w:t>
      </w:r>
    </w:p>
    <w:p>
      <w:pPr>
        <w:spacing w:after="0" w:line="3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51" w:name="page52"/>
    <w:bookmarkEnd w:id="51"/>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In addition, the Company shall deliver to the Trustee, within 30 days after the occurrence of any Event of Default or Default, an Officer’s Certificate setting forth the details of such Event of Default or Default, its status and the action that the Company is taking or proposing to take in respect thereof; provided that the Company shall not be required to deliver such Officer’s Certificate if such Default or Event of Default has been cured within the applicable grace period (if any) provided for in this Indenture.</w:t>
      </w:r>
    </w:p>
    <w:p>
      <w:pPr>
        <w:spacing w:after="0" w:line="153" w:lineRule="exact"/>
        <w:rPr>
          <w:sz w:val="20"/>
          <w:szCs w:val="20"/>
          <w:color w:val="auto"/>
        </w:rPr>
      </w:pPr>
    </w:p>
    <w:p>
      <w:pPr>
        <w:jc w:val="both"/>
        <w:ind w:firstLine="382"/>
        <w:spacing w:after="0" w:line="283" w:lineRule="auto"/>
        <w:rPr>
          <w:sz w:val="20"/>
          <w:szCs w:val="20"/>
          <w:color w:val="auto"/>
        </w:rPr>
      </w:pPr>
      <w:r>
        <w:rPr>
          <w:rFonts w:ascii="Times New Roman" w:cs="Times New Roman" w:eastAsia="Times New Roman" w:hAnsi="Times New Roman"/>
          <w:sz w:val="16"/>
          <w:szCs w:val="16"/>
          <w:color w:val="auto"/>
        </w:rPr>
        <w:t xml:space="preserve">Section 4.09. </w:t>
      </w:r>
      <w:r>
        <w:rPr>
          <w:rFonts w:ascii="Times New Roman" w:cs="Times New Roman" w:eastAsia="Times New Roman" w:hAnsi="Times New Roman"/>
          <w:sz w:val="16"/>
          <w:szCs w:val="16"/>
          <w:i w:val="1"/>
          <w:iCs w:val="1"/>
          <w:color w:val="auto"/>
        </w:rPr>
        <w:t>Further Instruments and Acts.</w:t>
      </w:r>
      <w:r>
        <w:rPr>
          <w:rFonts w:ascii="Times New Roman" w:cs="Times New Roman" w:eastAsia="Times New Roman" w:hAnsi="Times New Roman"/>
          <w:sz w:val="16"/>
          <w:szCs w:val="16"/>
          <w:color w:val="auto"/>
        </w:rPr>
        <w:t xml:space="preserve"> Upon request of the Trustee, the Company will execute and deliver such further instruments and do such further acts as may be reasonably necessary or proper to carry out more effectively the purposes of this Indenture.</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4.10. </w:t>
      </w:r>
      <w:r>
        <w:rPr>
          <w:rFonts w:ascii="Times New Roman" w:cs="Times New Roman" w:eastAsia="Times New Roman" w:hAnsi="Times New Roman"/>
          <w:sz w:val="16"/>
          <w:szCs w:val="16"/>
          <w:i w:val="1"/>
          <w:iCs w:val="1"/>
          <w:color w:val="auto"/>
        </w:rPr>
        <w:t>Limitations on Certain Restricted Payments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980" w:hanging="220"/>
        <w:spacing w:after="0"/>
        <w:tabs>
          <w:tab w:leader="none" w:pos="9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and shall not permit any of its Subsidiaries to, directly or indirectly:</w:t>
      </w:r>
    </w:p>
    <w:p>
      <w:pPr>
        <w:spacing w:after="0" w:line="198"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49"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declare or pay any dividend on, or make any other payment or distribution in respect of, its Equity Interests or similar payment to the direct or indirect holders thereof in their capacity as such (other than any dividends or distributions payable solely in its Equity Interests and dividends or distributions payable to the Company or any of its Subsidiaries (and, if such Subsidiary has stockholders other than the Company or other Subsidiaries, to its other stockholders on no more than a pro rata basis));</w:t>
      </w:r>
    </w:p>
    <w:p>
      <w:pPr>
        <w:spacing w:after="0" w:line="155" w:lineRule="exact"/>
        <w:rPr>
          <w:rFonts w:ascii="Times New Roman" w:cs="Times New Roman" w:eastAsia="Times New Roman" w:hAnsi="Times New Roman"/>
          <w:sz w:val="16"/>
          <w:szCs w:val="16"/>
          <w:color w:val="auto"/>
        </w:rPr>
      </w:pPr>
    </w:p>
    <w:p>
      <w:pPr>
        <w:ind w:right="20" w:firstLine="1143"/>
        <w:spacing w:after="0" w:line="280" w:lineRule="auto"/>
        <w:tabs>
          <w:tab w:leader="none" w:pos="1405"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 redeem or otherwise acquire or retire for value any Equity Interests of the Company held by any Person or any Equity Interests of any Subsidiary of the Company held by any Affiliate of the Company (in each case other than held by the Company or a Subsidiary of the Company);</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426"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purchase, repurchase, redemption, defeasance or other acquisition or retirement for value, prior to the scheduled maturity, scheduled repayment or scheduled sinking fund payment of any Indebtedness that is contractually subordinated in right of payment to the Notes; or</w:t>
      </w:r>
    </w:p>
    <w:p>
      <w:pPr>
        <w:spacing w:after="0" w:line="144" w:lineRule="exact"/>
        <w:rPr>
          <w:rFonts w:ascii="Times New Roman" w:cs="Times New Roman" w:eastAsia="Times New Roman" w:hAnsi="Times New Roman"/>
          <w:sz w:val="16"/>
          <w:szCs w:val="16"/>
          <w:color w:val="auto"/>
        </w:rPr>
      </w:pPr>
    </w:p>
    <w:p>
      <w:pPr>
        <w:ind w:left="1420" w:hanging="277"/>
        <w:spacing w:after="0"/>
        <w:tabs>
          <w:tab w:leader="none" w:pos="1420"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Restricted Investment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such payments and other actions set forth in clauses (i) through (iv) above being collectively referred to as “</w:t>
      </w:r>
      <w:r>
        <w:rPr>
          <w:rFonts w:ascii="Times New Roman" w:cs="Times New Roman" w:eastAsia="Times New Roman" w:hAnsi="Times New Roman"/>
          <w:sz w:val="16"/>
          <w:szCs w:val="16"/>
          <w:b w:val="1"/>
          <w:bCs w:val="1"/>
          <w:color w:val="auto"/>
        </w:rPr>
        <w:t>Restricted Payments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(b) The foregoing provisions will not prohibit:</w:t>
      </w:r>
    </w:p>
    <w:p>
      <w:pPr>
        <w:spacing w:after="0" w:line="198" w:lineRule="exact"/>
        <w:rPr>
          <w:sz w:val="20"/>
          <w:szCs w:val="20"/>
          <w:color w:val="auto"/>
        </w:rPr>
      </w:pPr>
    </w:p>
    <w:p>
      <w:pPr>
        <w:jc w:val="both"/>
        <w:ind w:right="20" w:firstLine="378"/>
        <w:spacing w:after="0" w:line="257" w:lineRule="auto"/>
        <w:tabs>
          <w:tab w:leader="none" w:pos="608"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redemption, repurchase, retirement or other acquisition for value of any Equity Interests of the Company or any Subsidiary of the Company held by employees, former employees, directors, former directors, consultants or former consultants of the Company (or any of its Subsidiaries) (including any redemption, repurchase, retirement or other acquisition by reason of the Company or any of its Subsidiaries retaining any capital stock or other option, warrant or other right in respect of tax withholding obligations, and any related payment in respect of any such obligation);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aggregate amount of such repurchases and other acquisitions shall not exceed $3.0 million in any fiscal year (with unused amounts in any fiscal year being carried over to succeeding fiscal years subject to a maximum of $6.0 million in any calendar year);</w:t>
      </w:r>
    </w:p>
    <w:p>
      <w:pPr>
        <w:spacing w:after="0" w:line="162" w:lineRule="exact"/>
        <w:rPr>
          <w:rFonts w:ascii="Times New Roman" w:cs="Times New Roman" w:eastAsia="Times New Roman" w:hAnsi="Times New Roman"/>
          <w:sz w:val="16"/>
          <w:szCs w:val="16"/>
          <w:color w:val="auto"/>
        </w:rPr>
      </w:pPr>
    </w:p>
    <w:p>
      <w:pPr>
        <w:ind w:firstLine="378"/>
        <w:spacing w:after="0" w:line="280" w:lineRule="auto"/>
        <w:tabs>
          <w:tab w:leader="none" w:pos="62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repurchases of Capital Stock of the Company deemed to occur upon exercise of stock options, warrants or similar instruments if such Capital Stock represents a portion of the exercise price of such options, warrants or similar instruments;</w:t>
      </w:r>
    </w:p>
    <w:p>
      <w:pPr>
        <w:spacing w:after="0" w:line="144" w:lineRule="exact"/>
        <w:rPr>
          <w:rFonts w:ascii="Times New Roman" w:cs="Times New Roman" w:eastAsia="Times New Roman" w:hAnsi="Times New Roman"/>
          <w:sz w:val="16"/>
          <w:szCs w:val="16"/>
          <w:color w:val="auto"/>
        </w:rPr>
      </w:pPr>
    </w:p>
    <w:p>
      <w:pPr>
        <w:ind w:firstLine="378"/>
        <w:spacing w:after="0" w:line="280" w:lineRule="auto"/>
        <w:tabs>
          <w:tab w:leader="none" w:pos="608"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payments in lieu of the issuance of fractional shares in connection with the exercise of warrants, options or other securities convertible into or exchangeable for Capital Stock of the Company;</w:t>
      </w:r>
    </w:p>
    <w:p>
      <w:pPr>
        <w:spacing w:after="0" w:line="144" w:lineRule="exact"/>
        <w:rPr>
          <w:rFonts w:ascii="Times New Roman" w:cs="Times New Roman" w:eastAsia="Times New Roman" w:hAnsi="Times New Roman"/>
          <w:sz w:val="16"/>
          <w:szCs w:val="16"/>
          <w:color w:val="auto"/>
        </w:rPr>
      </w:pPr>
    </w:p>
    <w:p>
      <w:pPr>
        <w:jc w:val="both"/>
        <w:ind w:right="20" w:firstLine="378"/>
        <w:spacing w:after="0" w:line="265" w:lineRule="auto"/>
        <w:tabs>
          <w:tab w:leader="none" w:pos="608"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Restricted Payment made in exchange (including any such exchange pursuant to the exercise of a conversion right or privilege in connection with which cash is paid in lieu of the issuance of fractional shares) for, or with the net cash proceeds from, the substantially concurrent sale of Equity Interests of the Company (other than (i) Disqualified Capital Stock and (ii) Capital Stock issued or sold to a Subsidiary or any employee, director, consultant pursuant to an employee stock ownership plan); and</w:t>
      </w:r>
    </w:p>
    <w:p>
      <w:pPr>
        <w:spacing w:after="0" w:line="155" w:lineRule="exact"/>
        <w:rPr>
          <w:rFonts w:ascii="Times New Roman" w:cs="Times New Roman" w:eastAsia="Times New Roman" w:hAnsi="Times New Roman"/>
          <w:sz w:val="16"/>
          <w:szCs w:val="16"/>
          <w:color w:val="auto"/>
        </w:rPr>
      </w:pPr>
    </w:p>
    <w:p>
      <w:pPr>
        <w:ind w:left="600" w:hanging="222"/>
        <w:spacing w:after="0"/>
        <w:tabs>
          <w:tab w:leader="none" w:pos="60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distributions, dividends or other payments by the Company or any Subsidiary of the Company solely to pay income tax obligations then due.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2" w:name="page53"/>
    <w:bookmarkEnd w:id="52"/>
    <w:p>
      <w:pPr>
        <w:ind w:left="380"/>
        <w:spacing w:after="0"/>
        <w:rPr>
          <w:sz w:val="20"/>
          <w:szCs w:val="20"/>
          <w:color w:val="auto"/>
        </w:rPr>
      </w:pPr>
      <w:r>
        <w:rPr>
          <w:rFonts w:ascii="Times New Roman" w:cs="Times New Roman" w:eastAsia="Times New Roman" w:hAnsi="Times New Roman"/>
          <w:sz w:val="16"/>
          <w:szCs w:val="16"/>
          <w:color w:val="auto"/>
        </w:rPr>
        <w:t xml:space="preserve">Section 4.11. </w:t>
      </w:r>
      <w:r>
        <w:rPr>
          <w:rFonts w:ascii="Times New Roman" w:cs="Times New Roman" w:eastAsia="Times New Roman" w:hAnsi="Times New Roman"/>
          <w:sz w:val="16"/>
          <w:szCs w:val="16"/>
          <w:i w:val="1"/>
          <w:iCs w:val="1"/>
          <w:color w:val="auto"/>
        </w:rPr>
        <w:t>Limitation on Incurrence of Additional Indebtedness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firstLine="760"/>
        <w:spacing w:after="0" w:line="280" w:lineRule="auto"/>
        <w:tabs>
          <w:tab w:leader="none" w:pos="1005"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and shall not permit any of its Subsidiaries to, directly or indirectly, create, incur, assume, guarantee, acquire, become liable, contingently or otherwise, with respect to or otherwise become responsible for payment of (collectively, “</w:t>
      </w:r>
      <w:r>
        <w:rPr>
          <w:rFonts w:ascii="Times New Roman" w:cs="Times New Roman" w:eastAsia="Times New Roman" w:hAnsi="Times New Roman"/>
          <w:sz w:val="16"/>
          <w:szCs w:val="16"/>
          <w:b w:val="1"/>
          <w:bCs w:val="1"/>
          <w:color w:val="auto"/>
        </w:rPr>
        <w:t>incur</w:t>
      </w:r>
      <w:r>
        <w:rPr>
          <w:rFonts w:ascii="Times New Roman" w:cs="Times New Roman" w:eastAsia="Times New Roman" w:hAnsi="Times New Roman"/>
          <w:sz w:val="16"/>
          <w:szCs w:val="16"/>
          <w:color w:val="auto"/>
        </w:rPr>
        <w:t>”) any Indebtedness (including Acquired Indebtedness).</w:t>
      </w:r>
    </w:p>
    <w:p>
      <w:pPr>
        <w:spacing w:after="0" w:line="144" w:lineRule="exact"/>
        <w:rPr>
          <w:rFonts w:ascii="Times New Roman" w:cs="Times New Roman" w:eastAsia="Times New Roman" w:hAnsi="Times New Roman"/>
          <w:sz w:val="16"/>
          <w:szCs w:val="16"/>
          <w:color w:val="auto"/>
        </w:rPr>
      </w:pPr>
    </w:p>
    <w:p>
      <w:pPr>
        <w:ind w:firstLine="760"/>
        <w:spacing w:after="0" w:line="280" w:lineRule="auto"/>
        <w:tabs>
          <w:tab w:leader="none" w:pos="990"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clause (a) of this Section 4.11, the Company and its Subsidiaries may incur, without duplication, any of the following items of Indebtedness (“</w:t>
      </w:r>
      <w:r>
        <w:rPr>
          <w:rFonts w:ascii="Times New Roman" w:cs="Times New Roman" w:eastAsia="Times New Roman" w:hAnsi="Times New Roman"/>
          <w:sz w:val="16"/>
          <w:szCs w:val="16"/>
          <w:b w:val="1"/>
          <w:bCs w:val="1"/>
          <w:color w:val="auto"/>
        </w:rPr>
        <w:t>Permitted Indebtedness</w:t>
      </w:r>
      <w:r>
        <w:rPr>
          <w:rFonts w:ascii="Times New Roman" w:cs="Times New Roman" w:eastAsia="Times New Roman" w:hAnsi="Times New Roman"/>
          <w:sz w:val="16"/>
          <w:szCs w:val="16"/>
          <w:color w:val="auto"/>
        </w:rPr>
        <w:t>”):</w:t>
      </w:r>
    </w:p>
    <w:p>
      <w:pPr>
        <w:spacing w:after="0" w:line="144" w:lineRule="exact"/>
        <w:rPr>
          <w:rFonts w:ascii="Times New Roman" w:cs="Times New Roman" w:eastAsia="Times New Roman" w:hAnsi="Times New Roman"/>
          <w:sz w:val="16"/>
          <w:szCs w:val="16"/>
          <w:color w:val="auto"/>
        </w:rPr>
      </w:pPr>
    </w:p>
    <w:p>
      <w:pPr>
        <w:jc w:val="both"/>
        <w:ind w:right="20" w:firstLine="378"/>
        <w:spacing w:after="0" w:line="265" w:lineRule="auto"/>
        <w:tabs>
          <w:tab w:leader="none" w:pos="608"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(X) the Horizon Revolving Credit Facility and (Y) provided that the Horizon Revolving Credit Facility has been permanently repaid, Indebtedness incurred under any Credit Facility by the Company or any of its Subsidiaries (including letters of credit or bankers’ acceptances issued or created under any Credit Facility) not to exceed $15.0 million at any one time outstanding and any Refinancing Indebtedness in respect thereof;</w:t>
      </w:r>
    </w:p>
    <w:p>
      <w:pPr>
        <w:spacing w:after="0" w:line="155" w:lineRule="exact"/>
        <w:rPr>
          <w:rFonts w:ascii="Times New Roman" w:cs="Times New Roman" w:eastAsia="Times New Roman" w:hAnsi="Times New Roman"/>
          <w:sz w:val="16"/>
          <w:szCs w:val="16"/>
          <w:color w:val="auto"/>
        </w:rPr>
      </w:pPr>
    </w:p>
    <w:p>
      <w:pPr>
        <w:ind w:right="20" w:firstLine="378"/>
        <w:spacing w:after="0" w:line="280" w:lineRule="auto"/>
        <w:tabs>
          <w:tab w:leader="none" w:pos="632"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Indebtedness represented by the Notes and the Guarantees (including PIK Notes issued in connection with the payment of PIK Interest, but not including any additional Notes other than up to $25.0 million of additional Notes (including PIK Notes in connection therewith) in accordance with Section 2.10);</w:t>
      </w:r>
    </w:p>
    <w:p>
      <w:pPr>
        <w:spacing w:after="0" w:line="144" w:lineRule="exact"/>
        <w:rPr>
          <w:rFonts w:ascii="Times New Roman" w:cs="Times New Roman" w:eastAsia="Times New Roman" w:hAnsi="Times New Roman"/>
          <w:sz w:val="16"/>
          <w:szCs w:val="16"/>
          <w:color w:val="auto"/>
        </w:rPr>
      </w:pPr>
    </w:p>
    <w:p>
      <w:pPr>
        <w:ind w:left="600" w:hanging="222"/>
        <w:spacing w:after="0"/>
        <w:tabs>
          <w:tab w:leader="none" w:pos="60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Indebtedness of the Company and its Subsidiaries in existence on the Issue Date (other than the Notes, the Guarantees and any Credit Facility);</w:t>
      </w:r>
    </w:p>
    <w:p>
      <w:pPr>
        <w:spacing w:after="0" w:line="198" w:lineRule="exact"/>
        <w:rPr>
          <w:rFonts w:ascii="Times New Roman" w:cs="Times New Roman" w:eastAsia="Times New Roman" w:hAnsi="Times New Roman"/>
          <w:sz w:val="16"/>
          <w:szCs w:val="16"/>
          <w:color w:val="auto"/>
        </w:rPr>
      </w:pPr>
    </w:p>
    <w:p>
      <w:pPr>
        <w:ind w:right="20" w:firstLine="378"/>
        <w:spacing w:after="0" w:line="280" w:lineRule="auto"/>
        <w:tabs>
          <w:tab w:leader="none" w:pos="608"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Indebtedness arising from the honoring by a bank or other financial institution of a check, draft or similar instrument (except in the case of daylight overdrafts) drawn against insufficient funds in the ordinary course of business;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such Indebtedness is extinguished within ten Business Days of incurrence;</w:t>
      </w:r>
    </w:p>
    <w:p>
      <w:pPr>
        <w:spacing w:after="0" w:line="144" w:lineRule="exact"/>
        <w:rPr>
          <w:rFonts w:ascii="Times New Roman" w:cs="Times New Roman" w:eastAsia="Times New Roman" w:hAnsi="Times New Roman"/>
          <w:sz w:val="16"/>
          <w:szCs w:val="16"/>
          <w:color w:val="auto"/>
        </w:rPr>
      </w:pPr>
    </w:p>
    <w:p>
      <w:pPr>
        <w:jc w:val="both"/>
        <w:ind w:firstLine="378"/>
        <w:spacing w:after="0" w:line="254" w:lineRule="auto"/>
        <w:tabs>
          <w:tab w:leader="none" w:pos="632"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Indebtedness in respect of (i) workers’ compensation claims, self-insurance obligations, customer guarantees, performance, indemnity, surety, judgment, appeal, advance payment (including progress premiums), customs, value added or other tax or other guarantees or other similar bonds, instruments or obligations and completion guarantees and warranties provided by the Company or a Subsidiary or relating to liabilities, obligations or guarantees incurred in the ordinary course of business, (ii) customer deposits and advance payments (including progress premiums) or similar arrangements received in the ordinary course of business from customers, suppliers or vendors for goods or services purchased in the ordinary course of business, or (iii) any customary treasury, depositary, cash management, automatic clearinghouse arrangements, overdraft protections, credit or debit card, purchase card, electronic funds transfer, cash pooling or netting or setting off arrangements or similar arrangements in the ordinary course of business;</w:t>
      </w:r>
    </w:p>
    <w:p>
      <w:pPr>
        <w:spacing w:after="0" w:line="166" w:lineRule="exact"/>
        <w:rPr>
          <w:rFonts w:ascii="Times New Roman" w:cs="Times New Roman" w:eastAsia="Times New Roman" w:hAnsi="Times New Roman"/>
          <w:sz w:val="16"/>
          <w:szCs w:val="16"/>
          <w:color w:val="auto"/>
        </w:rPr>
      </w:pPr>
    </w:p>
    <w:p>
      <w:pPr>
        <w:jc w:val="both"/>
        <w:ind w:firstLine="378"/>
        <w:spacing w:after="0" w:line="257" w:lineRule="auto"/>
        <w:tabs>
          <w:tab w:leader="none" w:pos="608"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Indebtedness (including Capitalized Lease Obligations) of the Company or any of its Subsidiaries incurred to finance the purchase, lease, construction or improvement of any property, plant or equipment used or to be used in the business of the Company or such Subsidiary through the direct purchase of such property, plant or equipment, and any Refinancing Indebtedness which serves to refund or refinance any Indebtedness incurred pursuant to this clause in an aggregate outstanding principal amount which, when taken together with the principal amount of all other Indebtedness incurred pursuant to this clause and then outstanding, will not exceed $10.0 million at any one time outstanding;</w:t>
      </w:r>
    </w:p>
    <w:p>
      <w:pPr>
        <w:spacing w:after="0" w:line="162" w:lineRule="exact"/>
        <w:rPr>
          <w:rFonts w:ascii="Times New Roman" w:cs="Times New Roman" w:eastAsia="Times New Roman" w:hAnsi="Times New Roman"/>
          <w:sz w:val="16"/>
          <w:szCs w:val="16"/>
          <w:color w:val="auto"/>
        </w:rPr>
      </w:pPr>
    </w:p>
    <w:p>
      <w:pPr>
        <w:jc w:val="both"/>
        <w:ind w:right="20" w:firstLine="378"/>
        <w:spacing w:after="0" w:line="265" w:lineRule="auto"/>
        <w:tabs>
          <w:tab w:leader="none" w:pos="608"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Section 4.19, Indebtedness of (x) the Company or any of its Subsidiaries incurred or issued to finance an acquisition or (y) Persons that are acquired by the Company or any of its Subsidiaries or merged into, amalgamated or consolidated with the Company or any of its Subsidiaries in accordance with the terms of this Indenture;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Indebtedness is in an aggregate amount not to exceed $10.0 million at any one time outstanding;</w:t>
      </w:r>
    </w:p>
    <w:p>
      <w:pPr>
        <w:spacing w:after="0" w:line="155" w:lineRule="exact"/>
        <w:rPr>
          <w:rFonts w:ascii="Times New Roman" w:cs="Times New Roman" w:eastAsia="Times New Roman" w:hAnsi="Times New Roman"/>
          <w:sz w:val="16"/>
          <w:szCs w:val="16"/>
          <w:color w:val="auto"/>
        </w:rPr>
      </w:pPr>
    </w:p>
    <w:p>
      <w:pPr>
        <w:jc w:val="both"/>
        <w:ind w:right="20" w:firstLine="378"/>
        <w:spacing w:after="0" w:line="265" w:lineRule="auto"/>
        <w:tabs>
          <w:tab w:leader="none" w:pos="62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guarantees by the Company or any of its Subsidiaries of Indebtedness of the Company or any of its Subsidiaries so long as the incurrence of such Indebtedness is permitted by the terms of this Indenture;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any Subsidiary which guarantees Indebtedness of the Company (other than the Notes) or of any other Subsidiary will concurrently provide a guarantee of the Notes;</w:t>
      </w:r>
    </w:p>
    <w:p>
      <w:pPr>
        <w:spacing w:after="0" w:line="155" w:lineRule="exact"/>
        <w:rPr>
          <w:rFonts w:ascii="Times New Roman" w:cs="Times New Roman" w:eastAsia="Times New Roman" w:hAnsi="Times New Roman"/>
          <w:sz w:val="16"/>
          <w:szCs w:val="16"/>
          <w:color w:val="auto"/>
        </w:rPr>
      </w:pPr>
    </w:p>
    <w:p>
      <w:pPr>
        <w:jc w:val="both"/>
        <w:ind w:firstLine="378"/>
        <w:spacing w:after="0" w:line="257" w:lineRule="auto"/>
        <w:tabs>
          <w:tab w:leader="none" w:pos="62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Indebtedness of the Company owing to and held by any Subsidiary of the Company or Indebtedness of a Subsidiary of the Company owing to and held by the Company or any other Subsidiary of the Company;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any subsequent issuance or transfer of Capital Stock or any other event which results in any such Indebtedness being beneficially held by a Person other than the Company or a Subsidiary of the Company; and any sale or other transfer of any such Indebtedness to a Person other than the Company or a Subsidiary of the Company shall be deemed, in each case under this clause (9) of this Section 4.11(b), to constitute an incurrence of such Indebtedness on the date of any such issuance, sale or transfer by the Company or such Subsidiary, as the case may be;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53" w:name="page54"/>
    <w:bookmarkEnd w:id="53"/>
    <w:p>
      <w:pPr>
        <w:jc w:val="both"/>
        <w:ind w:left="4" w:firstLine="378"/>
        <w:spacing w:after="0" w:line="268" w:lineRule="auto"/>
        <w:tabs>
          <w:tab w:leader="none" w:pos="694" w:val="left"/>
        </w:tabs>
        <w:numPr>
          <w:ilvl w:val="1"/>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incurrence by the Company or any of its Subsidiaries of Indebtedness that serves to refund, refinance, replace, renew, extend or defease (collectively, “refinance” with “refinances,” “refinanced” and “refinancing” having a correlative meaning) any Indebtedness of the Company or any of its Subsidiaries incurred pursuant to Section 4.11(b)(2), (3) or (7) (“</w:t>
      </w:r>
      <w:r>
        <w:rPr>
          <w:rFonts w:ascii="Times New Roman" w:cs="Times New Roman" w:eastAsia="Times New Roman" w:hAnsi="Times New Roman"/>
          <w:sz w:val="15"/>
          <w:szCs w:val="15"/>
          <w:b w:val="1"/>
          <w:bCs w:val="1"/>
          <w:color w:val="auto"/>
        </w:rPr>
        <w:t>Refinancing Indebtedness</w:t>
      </w:r>
      <w:r>
        <w:rPr>
          <w:rFonts w:ascii="Times New Roman" w:cs="Times New Roman" w:eastAsia="Times New Roman" w:hAnsi="Times New Roman"/>
          <w:sz w:val="15"/>
          <w:szCs w:val="15"/>
          <w:color w:val="auto"/>
        </w:rPr>
        <w:t xml:space="preserve">”) on or prior to its respective maturity;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any Refinancing Indebtedness: (A) (i) if the Stated Maturity of the Indebtedness being refinanced is earlier than the Stated Maturity of the Notes, has a Stated Maturity no earlier than the Stated Maturity of the Indebtedness being refinanced or (ii) if the Stated Maturity of the Indebtedness being refinanced is later than the Stated Maturity of the Notes, has a Stated Maturity at least 91 days later than the Stated Maturity of the Notes; (B) has a Weighted Average Life to Maturity at the time such Refinancing Indebtedness is incurred which is not less than the remaining Weighted Average Life to Maturity of the Indebtedness being refinanced (or requires no or nominal payments in cash (other than interest payments) prior to the date that is 91 days after the maturity date of the Notes); (C) to the extent such Refinancing Indebtedness refinances Indebtedness subordinated in right of payment to the Notes or any Guarantee thereof, such Refinancing Indebtedness is subordinated in right of payment to the Notes or such Guarantee at least to the same extent as the Indebtedness being refinanced; and</w:t>
      </w:r>
    </w:p>
    <w:p>
      <w:pPr>
        <w:spacing w:after="0" w:line="3" w:lineRule="exact"/>
        <w:rPr>
          <w:rFonts w:ascii="Times New Roman" w:cs="Times New Roman" w:eastAsia="Times New Roman" w:hAnsi="Times New Roman"/>
          <w:sz w:val="15"/>
          <w:szCs w:val="15"/>
          <w:color w:val="auto"/>
        </w:rPr>
      </w:pPr>
    </w:p>
    <w:p>
      <w:pPr>
        <w:jc w:val="both"/>
        <w:ind w:left="4" w:hanging="4"/>
        <w:spacing w:after="0" w:line="252" w:lineRule="auto"/>
        <w:tabs>
          <w:tab w:leader="none" w:pos="284"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Incurred in an aggregate principal amount (or if issued with original issue discount, an aggregate issue price) that is equal to or less than the sum of the aggregate principal amount (or if issued with original issue discount, the aggregate accreted value) then outstanding of the Indebtedness being refinanced (plus, without duplication, any additional Indebtedness Incurred to pay premiums required by the instruments governing such existing Indebtedness or reasonable tender premiums, as determined in good faith by the Board of Directors of the Company, defeasance costs, accrued interest and fees and expenses in connection with any such refinancing);</w:t>
      </w:r>
    </w:p>
    <w:p>
      <w:pPr>
        <w:spacing w:after="0" w:line="166" w:lineRule="exact"/>
        <w:rPr>
          <w:rFonts w:ascii="Times New Roman" w:cs="Times New Roman" w:eastAsia="Times New Roman" w:hAnsi="Times New Roman"/>
          <w:sz w:val="16"/>
          <w:szCs w:val="16"/>
          <w:color w:val="auto"/>
        </w:rPr>
      </w:pPr>
    </w:p>
    <w:p>
      <w:pPr>
        <w:jc w:val="both"/>
        <w:ind w:left="4" w:right="20" w:firstLine="378"/>
        <w:spacing w:after="0" w:line="259" w:lineRule="auto"/>
        <w:tabs>
          <w:tab w:leader="none" w:pos="709"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Indebtedness of the Company or any of its Subsidiaries not to exceed $10.0 million at any one time outstanding and any Refinancing Indebtedness in respect thereof;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in each case that (x) the Market Capitalization of the Company exceeds $1.1 billion for at least 20 Trading Days (whether or not consecutive) during a period of 30 consecutive Trading Days immediately prior to incurrence and (y) the 30-Day ADTV ending on the Business Day immediately prior to incurrence is greater than or equal to $2 million;</w:t>
      </w:r>
    </w:p>
    <w:p>
      <w:pPr>
        <w:spacing w:after="0" w:line="161" w:lineRule="exact"/>
        <w:rPr>
          <w:rFonts w:ascii="Times New Roman" w:cs="Times New Roman" w:eastAsia="Times New Roman" w:hAnsi="Times New Roman"/>
          <w:sz w:val="16"/>
          <w:szCs w:val="16"/>
          <w:color w:val="auto"/>
        </w:rPr>
      </w:pPr>
    </w:p>
    <w:p>
      <w:pPr>
        <w:jc w:val="both"/>
        <w:ind w:left="4" w:firstLine="378"/>
        <w:spacing w:after="0" w:line="265" w:lineRule="auto"/>
        <w:tabs>
          <w:tab w:leader="none" w:pos="700"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Indebtedness arising from agreements of the Issuer or a Subsidiary providing for indemnification, adjustment of purchase price or similar obligations, in each case, incurred or assumed in connection with the disposition of any business, assets or a Subsidiary, other than guarantees of Indebtedness incurred by any Person acquiring all or any portion of such business, assets or a Subsidiary for the purpose of financing such acquisition; and</w:t>
      </w:r>
    </w:p>
    <w:p>
      <w:pPr>
        <w:spacing w:after="0" w:line="155" w:lineRule="exact"/>
        <w:rPr>
          <w:rFonts w:ascii="Times New Roman" w:cs="Times New Roman" w:eastAsia="Times New Roman" w:hAnsi="Times New Roman"/>
          <w:sz w:val="16"/>
          <w:szCs w:val="16"/>
          <w:color w:val="auto"/>
        </w:rPr>
      </w:pPr>
    </w:p>
    <w:p>
      <w:pPr>
        <w:ind w:left="4" w:right="20" w:firstLine="378"/>
        <w:spacing w:after="0" w:line="280" w:lineRule="auto"/>
        <w:tabs>
          <w:tab w:leader="none" w:pos="722"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Hedging Obligations (excluding Hedging Obligations entered into for speculative purposes) for the purpose of limiting interest rate risk with respect to any Indebtedness permitted to be incurred pursuant to this covenant, exchange rate risk or commodity pricing risk.</w:t>
      </w:r>
    </w:p>
    <w:p>
      <w:pPr>
        <w:spacing w:after="0" w:line="144" w:lineRule="exact"/>
        <w:rPr>
          <w:rFonts w:ascii="Times New Roman" w:cs="Times New Roman" w:eastAsia="Times New Roman" w:hAnsi="Times New Roman"/>
          <w:sz w:val="16"/>
          <w:szCs w:val="16"/>
          <w:color w:val="auto"/>
        </w:rPr>
      </w:pPr>
    </w:p>
    <w:p>
      <w:pPr>
        <w:jc w:val="both"/>
        <w:ind w:left="4" w:firstLine="728"/>
        <w:spacing w:after="0" w:line="265" w:lineRule="auto"/>
        <w:tabs>
          <w:tab w:leader="none" w:pos="978" w:val="left"/>
        </w:tabs>
        <w:numPr>
          <w:ilvl w:val="2"/>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clause (b) of this Section 4.11, the Company shall not, and shall not permit any of its Subsidiaries to, directly or indirectly incur any Indebtedness consisting of securities convertible into or exchangeable for Capital Stock of the Company or any of its Subsidiaries (other than additional Notes of up to $25.0 million and PIK Notes).</w:t>
      </w:r>
    </w:p>
    <w:p>
      <w:pPr>
        <w:spacing w:after="0" w:line="153" w:lineRule="exact"/>
        <w:rPr>
          <w:sz w:val="20"/>
          <w:szCs w:val="20"/>
          <w:color w:val="auto"/>
        </w:rPr>
      </w:pPr>
    </w:p>
    <w:p>
      <w:pPr>
        <w:jc w:val="both"/>
        <w:ind w:left="4" w:firstLine="382"/>
        <w:spacing w:after="0" w:line="257" w:lineRule="auto"/>
        <w:rPr>
          <w:sz w:val="20"/>
          <w:szCs w:val="20"/>
          <w:color w:val="auto"/>
        </w:rPr>
      </w:pPr>
      <w:r>
        <w:rPr>
          <w:rFonts w:ascii="Times New Roman" w:cs="Times New Roman" w:eastAsia="Times New Roman" w:hAnsi="Times New Roman"/>
          <w:sz w:val="16"/>
          <w:szCs w:val="16"/>
          <w:color w:val="auto"/>
        </w:rPr>
        <w:t xml:space="preserve">Section 4.12. </w:t>
      </w:r>
      <w:r>
        <w:rPr>
          <w:rFonts w:ascii="Times New Roman" w:cs="Times New Roman" w:eastAsia="Times New Roman" w:hAnsi="Times New Roman"/>
          <w:sz w:val="16"/>
          <w:szCs w:val="16"/>
          <w:i w:val="1"/>
          <w:iCs w:val="1"/>
          <w:color w:val="auto"/>
        </w:rPr>
        <w:t>Transactions with Affiliates</w:t>
      </w:r>
      <w:r>
        <w:rPr>
          <w:rFonts w:ascii="Times New Roman" w:cs="Times New Roman" w:eastAsia="Times New Roman" w:hAnsi="Times New Roman"/>
          <w:sz w:val="16"/>
          <w:szCs w:val="16"/>
          <w:color w:val="auto"/>
        </w:rPr>
        <w:t>. The Company shall not, and shall not permit any of its Subsidiaries to, directly or indirectly, make any payment to, or sell, lease, exchange, transfer or otherwise dispose of any of its properties or assets to, or purchase any property or assets from, or enter into or make or amend any contract, agreement, understanding, loan, advance or guarantee with, or for the benefit of, any affiliate (each of the foregoing, an “</w:t>
      </w:r>
      <w:r>
        <w:rPr>
          <w:rFonts w:ascii="Times New Roman" w:cs="Times New Roman" w:eastAsia="Times New Roman" w:hAnsi="Times New Roman"/>
          <w:sz w:val="16"/>
          <w:szCs w:val="16"/>
          <w:b w:val="1"/>
          <w:bCs w:val="1"/>
          <w:color w:val="auto"/>
        </w:rPr>
        <w:t>Affiliate Transaction</w:t>
      </w:r>
      <w:r>
        <w:rPr>
          <w:rFonts w:ascii="Times New Roman" w:cs="Times New Roman" w:eastAsia="Times New Roman" w:hAnsi="Times New Roman"/>
          <w:sz w:val="16"/>
          <w:szCs w:val="16"/>
          <w:color w:val="auto"/>
        </w:rPr>
        <w:t>”) unless such Affiliate Transaction is on terms that are no less favorable to the Company or the relevant Subsidiary than those that would have been obtained in a comparable transaction at the time in an arm’s-length transaction with a person who was not an affiliate.</w:t>
      </w:r>
    </w:p>
    <w:p>
      <w:pPr>
        <w:spacing w:after="0" w:line="35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54" w:name="page55"/>
    <w:bookmarkEnd w:id="54"/>
    <w:p>
      <w:pPr>
        <w:ind w:left="380"/>
        <w:spacing w:after="0"/>
        <w:rPr>
          <w:sz w:val="20"/>
          <w:szCs w:val="20"/>
          <w:color w:val="auto"/>
        </w:rPr>
      </w:pPr>
      <w:r>
        <w:rPr>
          <w:rFonts w:ascii="Times New Roman" w:cs="Times New Roman" w:eastAsia="Times New Roman" w:hAnsi="Times New Roman"/>
          <w:sz w:val="16"/>
          <w:szCs w:val="16"/>
          <w:color w:val="auto"/>
        </w:rPr>
        <w:t>The foregoing provisions will not apply to the following:</w:t>
      </w:r>
    </w:p>
    <w:p>
      <w:pPr>
        <w:spacing w:after="0" w:line="198" w:lineRule="exact"/>
        <w:rPr>
          <w:sz w:val="20"/>
          <w:szCs w:val="20"/>
          <w:color w:val="auto"/>
        </w:rPr>
      </w:pPr>
    </w:p>
    <w:p>
      <w:pPr>
        <w:ind w:firstLine="728"/>
        <w:spacing w:after="0" w:line="280" w:lineRule="auto"/>
        <w:tabs>
          <w:tab w:leader="none" w:pos="949"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employment agreement and other employment benefits (including retirement, health, stock option and other benefit plans) entered into by the Company or any of its Subsidiaries in the ordinary course of business of the Company or such Subsidiary;</w:t>
      </w:r>
    </w:p>
    <w:p>
      <w:pPr>
        <w:spacing w:after="0" w:line="144" w:lineRule="exact"/>
        <w:rPr>
          <w:rFonts w:ascii="Times New Roman" w:cs="Times New Roman" w:eastAsia="Times New Roman" w:hAnsi="Times New Roman"/>
          <w:sz w:val="16"/>
          <w:szCs w:val="16"/>
          <w:color w:val="auto"/>
        </w:rPr>
      </w:pPr>
    </w:p>
    <w:p>
      <w:pPr>
        <w:ind w:left="960" w:hanging="232"/>
        <w:spacing w:after="0"/>
        <w:tabs>
          <w:tab w:leader="none" w:pos="96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transactions exclusively between or among the Company and/or its Subsidiaries;</w:t>
      </w:r>
    </w:p>
    <w:p>
      <w:pPr>
        <w:spacing w:after="0" w:line="198" w:lineRule="exact"/>
        <w:rPr>
          <w:rFonts w:ascii="Times New Roman" w:cs="Times New Roman" w:eastAsia="Times New Roman" w:hAnsi="Times New Roman"/>
          <w:sz w:val="16"/>
          <w:szCs w:val="16"/>
          <w:color w:val="auto"/>
        </w:rPr>
      </w:pPr>
    </w:p>
    <w:p>
      <w:pPr>
        <w:jc w:val="both"/>
        <w:ind w:right="20" w:firstLine="728"/>
        <w:spacing w:after="0" w:line="265" w:lineRule="auto"/>
        <w:tabs>
          <w:tab w:leader="none" w:pos="949"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agreement existing on the Issue Date, as in effect on the Issue Date, or as modified, amended or amended and restated by any modification, amendment or amendment and restatement (x) that, taken as a whole, is not more disadvantageous to the Holders in any material respect than such agreement as it was in effect on the Issue Date or (y) made in compliance with the applicable provisions of this covenant;</w:t>
      </w:r>
    </w:p>
    <w:p>
      <w:pPr>
        <w:spacing w:after="0" w:line="155" w:lineRule="exact"/>
        <w:rPr>
          <w:rFonts w:ascii="Times New Roman" w:cs="Times New Roman" w:eastAsia="Times New Roman" w:hAnsi="Times New Roman"/>
          <w:sz w:val="16"/>
          <w:szCs w:val="16"/>
          <w:color w:val="auto"/>
        </w:rPr>
      </w:pPr>
    </w:p>
    <w:p>
      <w:pPr>
        <w:ind w:left="960" w:hanging="232"/>
        <w:spacing w:after="0"/>
        <w:tabs>
          <w:tab w:leader="none" w:pos="96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reasonable compensation of, and indemnity arrangements in favor of, directors of the Company and its Subsidiaries entered into in the ordinary course of</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w:t>
      </w:r>
    </w:p>
    <w:p>
      <w:pPr>
        <w:spacing w:after="0" w:line="181" w:lineRule="exact"/>
        <w:rPr>
          <w:rFonts w:ascii="Times New Roman" w:cs="Times New Roman" w:eastAsia="Times New Roman" w:hAnsi="Times New Roman"/>
          <w:sz w:val="16"/>
          <w:szCs w:val="16"/>
          <w:color w:val="auto"/>
        </w:rPr>
      </w:pPr>
    </w:p>
    <w:p>
      <w:pPr>
        <w:ind w:left="940" w:hanging="212"/>
        <w:spacing w:after="0"/>
        <w:tabs>
          <w:tab w:leader="none" w:pos="94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issuance or sale of any equity interests of the Company and any contribution to the common equity of the Company; and</w:t>
      </w:r>
    </w:p>
    <w:p>
      <w:pPr>
        <w:spacing w:after="0" w:line="198" w:lineRule="exact"/>
        <w:rPr>
          <w:rFonts w:ascii="Times New Roman" w:cs="Times New Roman" w:eastAsia="Times New Roman" w:hAnsi="Times New Roman"/>
          <w:sz w:val="16"/>
          <w:szCs w:val="16"/>
          <w:color w:val="auto"/>
        </w:rPr>
      </w:pPr>
    </w:p>
    <w:p>
      <w:pPr>
        <w:jc w:val="both"/>
        <w:ind w:firstLine="728"/>
        <w:spacing w:after="0" w:line="265" w:lineRule="auto"/>
        <w:tabs>
          <w:tab w:leader="none" w:pos="932"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transactions in which the Company or any Subsidiary of the Company delivers to the Trustee a letter from an Independent Financial Advisor stating that such transaction is fair to the Company or such Subsidiary from a financial point of view or stating that the terms are not materially less favorable than those that could have been obtained by the Company or such Subsidiary in a comparable transaction at such time on an arms’ length basis from a Person that is not an Affiliate.</w:t>
      </w:r>
    </w:p>
    <w:p>
      <w:pPr>
        <w:spacing w:after="0" w:line="153" w:lineRule="exact"/>
        <w:rPr>
          <w:sz w:val="20"/>
          <w:szCs w:val="20"/>
          <w:color w:val="auto"/>
        </w:rPr>
      </w:pPr>
    </w:p>
    <w:p>
      <w:pPr>
        <w:jc w:val="both"/>
        <w:ind w:right="20" w:firstLine="382"/>
        <w:spacing w:after="0" w:line="260" w:lineRule="auto"/>
        <w:rPr>
          <w:sz w:val="20"/>
          <w:szCs w:val="20"/>
          <w:color w:val="auto"/>
        </w:rPr>
      </w:pPr>
      <w:r>
        <w:rPr>
          <w:rFonts w:ascii="Times New Roman" w:cs="Times New Roman" w:eastAsia="Times New Roman" w:hAnsi="Times New Roman"/>
          <w:sz w:val="16"/>
          <w:szCs w:val="16"/>
          <w:color w:val="auto"/>
        </w:rPr>
        <w:t xml:space="preserve">Section 4.13. </w:t>
      </w:r>
      <w:r>
        <w:rPr>
          <w:rFonts w:ascii="Times New Roman" w:cs="Times New Roman" w:eastAsia="Times New Roman" w:hAnsi="Times New Roman"/>
          <w:sz w:val="16"/>
          <w:szCs w:val="16"/>
          <w:i w:val="1"/>
          <w:iCs w:val="1"/>
          <w:color w:val="auto"/>
        </w:rPr>
        <w:t>Limitation on Liens</w:t>
      </w:r>
      <w:r>
        <w:rPr>
          <w:rFonts w:ascii="Times New Roman" w:cs="Times New Roman" w:eastAsia="Times New Roman" w:hAnsi="Times New Roman"/>
          <w:sz w:val="16"/>
          <w:szCs w:val="16"/>
          <w:color w:val="auto"/>
        </w:rPr>
        <w:t>. The Company shall not, and shall not permit any of its Subsidiaries, directly or indirectly, to, enter into, create, incur, assume or suffer to exist any Liens of any kind securing Indebtedness, other than Permitted Liens, on or with respect to any property or assets of the Company or any Subsidiary now owned or hereafter acquired or any interest therein or any income or profits therefrom, unless the Notes, the Guarantees and related Obligations are secured on an equal (or senior) and ratable basis with such Indebtedness (and related Obligations).</w:t>
      </w:r>
    </w:p>
    <w:p>
      <w:pPr>
        <w:spacing w:after="0" w:line="159" w:lineRule="exact"/>
        <w:rPr>
          <w:sz w:val="20"/>
          <w:szCs w:val="20"/>
          <w:color w:val="auto"/>
        </w:rPr>
      </w:pPr>
    </w:p>
    <w:p>
      <w:pPr>
        <w:jc w:val="both"/>
        <w:ind w:right="20" w:firstLine="382"/>
        <w:spacing w:after="0" w:line="260" w:lineRule="auto"/>
        <w:rPr>
          <w:sz w:val="20"/>
          <w:szCs w:val="20"/>
          <w:color w:val="auto"/>
        </w:rPr>
      </w:pPr>
      <w:r>
        <w:rPr>
          <w:rFonts w:ascii="Times New Roman" w:cs="Times New Roman" w:eastAsia="Times New Roman" w:hAnsi="Times New Roman"/>
          <w:sz w:val="16"/>
          <w:szCs w:val="16"/>
          <w:color w:val="auto"/>
        </w:rPr>
        <w:t xml:space="preserve">Section 4.14. </w:t>
      </w:r>
      <w:r>
        <w:rPr>
          <w:rFonts w:ascii="Times New Roman" w:cs="Times New Roman" w:eastAsia="Times New Roman" w:hAnsi="Times New Roman"/>
          <w:sz w:val="16"/>
          <w:szCs w:val="16"/>
          <w:i w:val="1"/>
          <w:iCs w:val="1"/>
          <w:color w:val="auto"/>
        </w:rPr>
        <w:t>Subsidiary Guarantees.</w:t>
      </w:r>
      <w:r>
        <w:rPr>
          <w:rFonts w:ascii="Times New Roman" w:cs="Times New Roman" w:eastAsia="Times New Roman" w:hAnsi="Times New Roman"/>
          <w:sz w:val="16"/>
          <w:szCs w:val="16"/>
          <w:color w:val="auto"/>
        </w:rPr>
        <w:t xml:space="preserve"> The Company shall not create any Domestic Subsidiary or permit any of its Domestic Subsidiaries, directly or indirectly, by way of pledge, intercompany note or otherwise, to assume, guarantee or in any other manner become liable with respect to any Indebtedness (other than the Notes) of the Company or any Guarantor, unless, in any such case, such Domestic Subsidiary executes and delivers a supplemental indenture to this Indenture providing a Guarantee as provided in Article 17 by such Domestic Subsidiary;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 Domestic Subsidiary shall be required to guarantee the Notes if it is prohibited by law from Guaranteeing the Notes.</w:t>
      </w:r>
    </w:p>
    <w:p>
      <w:pPr>
        <w:spacing w:after="0" w:line="159" w:lineRule="exact"/>
        <w:rPr>
          <w:sz w:val="20"/>
          <w:szCs w:val="20"/>
          <w:color w:val="auto"/>
        </w:rPr>
      </w:pPr>
    </w:p>
    <w:p>
      <w:pPr>
        <w:jc w:val="both"/>
        <w:ind w:right="20" w:firstLine="382"/>
        <w:spacing w:after="0" w:line="266" w:lineRule="auto"/>
        <w:rPr>
          <w:sz w:val="20"/>
          <w:szCs w:val="20"/>
          <w:color w:val="auto"/>
        </w:rPr>
      </w:pPr>
      <w:r>
        <w:rPr>
          <w:rFonts w:ascii="Times New Roman" w:cs="Times New Roman" w:eastAsia="Times New Roman" w:hAnsi="Times New Roman"/>
          <w:sz w:val="16"/>
          <w:szCs w:val="16"/>
          <w:color w:val="auto"/>
        </w:rPr>
        <w:t xml:space="preserve">Section 4.15. </w:t>
      </w:r>
      <w:r>
        <w:rPr>
          <w:rFonts w:ascii="Times New Roman" w:cs="Times New Roman" w:eastAsia="Times New Roman" w:hAnsi="Times New Roman"/>
          <w:sz w:val="16"/>
          <w:szCs w:val="16"/>
          <w:i w:val="1"/>
          <w:iCs w:val="1"/>
          <w:color w:val="auto"/>
        </w:rPr>
        <w:t>Registration Rights</w:t>
      </w:r>
      <w:r>
        <w:rPr>
          <w:rFonts w:ascii="Times New Roman" w:cs="Times New Roman" w:eastAsia="Times New Roman" w:hAnsi="Times New Roman"/>
          <w:sz w:val="16"/>
          <w:szCs w:val="16"/>
          <w:color w:val="auto"/>
        </w:rPr>
        <w:t>. The Company agrees that the Holders from time to time of Registrable Securities are entitled to the benefits of the Registration Rights Agreement. By its acceptance thereof, the Holder of Registrable Securities will have agreed to be bound by the terms of the Registration Rights Agreement relating to such Registrable Securities.</w:t>
      </w:r>
    </w:p>
    <w:p>
      <w:pPr>
        <w:spacing w:after="0" w:line="153" w:lineRule="exact"/>
        <w:rPr>
          <w:sz w:val="20"/>
          <w:szCs w:val="20"/>
          <w:color w:val="auto"/>
        </w:rPr>
      </w:pPr>
    </w:p>
    <w:p>
      <w:pPr>
        <w:jc w:val="both"/>
        <w:ind w:firstLine="382"/>
        <w:spacing w:after="0" w:line="260" w:lineRule="auto"/>
        <w:rPr>
          <w:sz w:val="20"/>
          <w:szCs w:val="20"/>
          <w:color w:val="auto"/>
        </w:rPr>
      </w:pPr>
      <w:r>
        <w:rPr>
          <w:rFonts w:ascii="Times New Roman" w:cs="Times New Roman" w:eastAsia="Times New Roman" w:hAnsi="Times New Roman"/>
          <w:sz w:val="16"/>
          <w:szCs w:val="16"/>
          <w:color w:val="auto"/>
        </w:rPr>
        <w:t xml:space="preserve">Section 4.16. </w:t>
      </w:r>
      <w:r>
        <w:rPr>
          <w:rFonts w:ascii="Times New Roman" w:cs="Times New Roman" w:eastAsia="Times New Roman" w:hAnsi="Times New Roman"/>
          <w:sz w:val="16"/>
          <w:szCs w:val="16"/>
          <w:i w:val="1"/>
          <w:iCs w:val="1"/>
          <w:color w:val="auto"/>
        </w:rPr>
        <w:t>Payment of Taxes</w:t>
      </w:r>
      <w:r>
        <w:rPr>
          <w:rFonts w:ascii="Times New Roman" w:cs="Times New Roman" w:eastAsia="Times New Roman" w:hAnsi="Times New Roman"/>
          <w:sz w:val="16"/>
          <w:szCs w:val="16"/>
          <w:color w:val="auto"/>
        </w:rPr>
        <w:t>. The Company shall pay or discharge or cause to be paid or discharged, before the same shall become delinquent, (i) all material taxes, assessments and governmental charges (including withholding taxes and any penalties, interest and additions to taxes) levied or imposed upon it or properties of it and (ii) all lawful claims for labor, materials and supplies that, if unpaid, might by law become a lien upon the property, except for such non-compliances as could not singly or in the aggregate reasonably be expected to have a material adverse effect on the financial condition or results of operations of the Company and its Subsidiaries, taken as a whole.</w:t>
      </w:r>
    </w:p>
    <w:p>
      <w:pPr>
        <w:spacing w:after="0" w:line="159" w:lineRule="exact"/>
        <w:rPr>
          <w:sz w:val="20"/>
          <w:szCs w:val="20"/>
          <w:color w:val="auto"/>
        </w:rPr>
      </w:pPr>
    </w:p>
    <w:p>
      <w:pPr>
        <w:jc w:val="both"/>
        <w:ind w:firstLine="382"/>
        <w:spacing w:after="0" w:line="260" w:lineRule="auto"/>
        <w:rPr>
          <w:sz w:val="20"/>
          <w:szCs w:val="20"/>
          <w:color w:val="auto"/>
        </w:rPr>
      </w:pPr>
      <w:r>
        <w:rPr>
          <w:rFonts w:ascii="Times New Roman" w:cs="Times New Roman" w:eastAsia="Times New Roman" w:hAnsi="Times New Roman"/>
          <w:sz w:val="16"/>
          <w:szCs w:val="16"/>
          <w:color w:val="auto"/>
        </w:rPr>
        <w:t xml:space="preserve">Section 4.17. </w:t>
      </w:r>
      <w:r>
        <w:rPr>
          <w:rFonts w:ascii="Times New Roman" w:cs="Times New Roman" w:eastAsia="Times New Roman" w:hAnsi="Times New Roman"/>
          <w:sz w:val="16"/>
          <w:szCs w:val="16"/>
          <w:i w:val="1"/>
          <w:iCs w:val="1"/>
          <w:color w:val="auto"/>
        </w:rPr>
        <w:t>Compliance with Laws</w:t>
      </w:r>
      <w:r>
        <w:rPr>
          <w:rFonts w:ascii="Times New Roman" w:cs="Times New Roman" w:eastAsia="Times New Roman" w:hAnsi="Times New Roman"/>
          <w:sz w:val="16"/>
          <w:szCs w:val="16"/>
          <w:color w:val="auto"/>
        </w:rPr>
        <w:t>. The Company shall comply with all applicable statutes, rules, regulations and orders of the United States of America, all states and municipalities thereof, and of any governmental department, commission, board, regulatory authority, bureau, agency and instrumentality of the foregoing, in respect of the conduct of its respective businesses and the ownership of its respective properties, except for such non-compliances as could not singly or in the aggregate reasonably be expected to have a material adverse effect on the financial condition or results of operations of the Company and its Subsidiaries, taken as a whole.</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5" w:name="page56"/>
    <w:bookmarkEnd w:id="55"/>
    <w:p>
      <w:pPr>
        <w:ind w:left="380"/>
        <w:spacing w:after="0"/>
        <w:rPr>
          <w:sz w:val="20"/>
          <w:szCs w:val="20"/>
          <w:color w:val="auto"/>
        </w:rPr>
      </w:pPr>
      <w:r>
        <w:rPr>
          <w:rFonts w:ascii="Times New Roman" w:cs="Times New Roman" w:eastAsia="Times New Roman" w:hAnsi="Times New Roman"/>
          <w:sz w:val="16"/>
          <w:szCs w:val="16"/>
          <w:color w:val="auto"/>
        </w:rPr>
        <w:t xml:space="preserve">Section 4.18. </w:t>
      </w:r>
      <w:r>
        <w:rPr>
          <w:rFonts w:ascii="Times New Roman" w:cs="Times New Roman" w:eastAsia="Times New Roman" w:hAnsi="Times New Roman"/>
          <w:sz w:val="16"/>
          <w:szCs w:val="16"/>
          <w:i w:val="1"/>
          <w:iCs w:val="1"/>
          <w:color w:val="auto"/>
        </w:rPr>
        <w:t>Limitation on Sales of Assets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1360" w:hanging="217"/>
        <w:spacing w:after="0"/>
        <w:tabs>
          <w:tab w:leader="none" w:pos="136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and shall not permit any Subsidiary to, make any Asset Sale unless:</w:t>
      </w:r>
    </w:p>
    <w:p>
      <w:pPr>
        <w:spacing w:after="0" w:line="198" w:lineRule="exact"/>
        <w:rPr>
          <w:rFonts w:ascii="Times New Roman" w:cs="Times New Roman" w:eastAsia="Times New Roman" w:hAnsi="Times New Roman"/>
          <w:sz w:val="16"/>
          <w:szCs w:val="16"/>
          <w:color w:val="auto"/>
        </w:rPr>
      </w:pPr>
    </w:p>
    <w:p>
      <w:pPr>
        <w:ind w:firstLine="1716"/>
        <w:spacing w:after="0" w:line="280" w:lineRule="auto"/>
        <w:tabs>
          <w:tab w:leader="none" w:pos="1911" w:val="left"/>
        </w:tabs>
        <w:numPr>
          <w:ilvl w:val="1"/>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or the applicable Subsidiary, as the case may be, receives consideration at the time of the Asset Sale at least equal to the Fair Market Value of the assets or Equity Interests issued or sold or otherwise disposed of;</w:t>
      </w:r>
    </w:p>
    <w:p>
      <w:pPr>
        <w:spacing w:after="0" w:line="144" w:lineRule="exact"/>
        <w:rPr>
          <w:rFonts w:ascii="Times New Roman" w:cs="Times New Roman" w:eastAsia="Times New Roman" w:hAnsi="Times New Roman"/>
          <w:sz w:val="16"/>
          <w:szCs w:val="16"/>
          <w:color w:val="auto"/>
        </w:rPr>
      </w:pPr>
    </w:p>
    <w:p>
      <w:pPr>
        <w:ind w:left="1960" w:hanging="244"/>
        <w:spacing w:after="0"/>
        <w:tabs>
          <w:tab w:leader="none" w:pos="1960" w:val="left"/>
        </w:tabs>
        <w:numPr>
          <w:ilvl w:val="1"/>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least 75% of the consideration received in the Asset Sale by the Company or such Subsidiary is in the form of cash or Cash Equivalents.</w:t>
      </w:r>
    </w:p>
    <w:p>
      <w:pPr>
        <w:spacing w:after="0" w:line="19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For purposes of this provision, each of the following will be deemed to be cash:</w:t>
      </w:r>
    </w:p>
    <w:p>
      <w:pPr>
        <w:spacing w:after="0" w:line="198" w:lineRule="exact"/>
        <w:rPr>
          <w:sz w:val="20"/>
          <w:szCs w:val="20"/>
          <w:color w:val="auto"/>
        </w:rPr>
      </w:pPr>
    </w:p>
    <w:p>
      <w:pPr>
        <w:jc w:val="both"/>
        <w:ind w:firstLine="1716"/>
        <w:spacing w:after="0" w:line="265" w:lineRule="auto"/>
        <w:tabs>
          <w:tab w:leader="none" w:pos="1994" w:val="left"/>
        </w:tabs>
        <w:numPr>
          <w:ilvl w:val="1"/>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liabilities, as shown on the Company most recent consolidated balance sheet, of the Company or any Subsidiary (other than contingent liabilities and liabilities that are by their terms subordinated to the Notes or any Guarantee) that are assumed by the transferee of any such assets pursuant to a customary novation agreement that releases the Company or such Subsidiary from further liability; and</w:t>
      </w:r>
    </w:p>
    <w:p>
      <w:pPr>
        <w:spacing w:after="0" w:line="155" w:lineRule="exact"/>
        <w:rPr>
          <w:rFonts w:ascii="Times New Roman" w:cs="Times New Roman" w:eastAsia="Times New Roman" w:hAnsi="Times New Roman"/>
          <w:sz w:val="16"/>
          <w:szCs w:val="16"/>
          <w:color w:val="auto"/>
        </w:rPr>
      </w:pPr>
    </w:p>
    <w:p>
      <w:pPr>
        <w:ind w:right="20" w:firstLine="1716"/>
        <w:spacing w:after="0" w:line="280" w:lineRule="auto"/>
        <w:tabs>
          <w:tab w:leader="none" w:pos="1997" w:val="left"/>
        </w:tabs>
        <w:numPr>
          <w:ilvl w:val="1"/>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securities, notes or other obligations received by the Company or any such Subsidiary from such transferee that are converted by the Company or such Subsidiary into cash within 90 days following the date of such Asset Sale, to the extent of the cash received in that conversion.</w:t>
      </w:r>
    </w:p>
    <w:p>
      <w:pPr>
        <w:spacing w:after="0" w:line="144"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365 days after the receipt of any Net Proceeds from an Asset Sale, the Company (or the applicable Subsidiary, as the case may be) may apply such</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Proceeds:</w:t>
      </w:r>
    </w:p>
    <w:p>
      <w:pPr>
        <w:spacing w:after="0" w:line="18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5"/>
          <w:szCs w:val="15"/>
          <w:color w:val="auto"/>
        </w:rPr>
        <w:t>(i) to repay any indebtedness secured by a Lien and, in the case of a revolving credit facility, correspondingly permanently reduce commitments with</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respect thereto;</w:t>
      </w:r>
    </w:p>
    <w:p>
      <w:pPr>
        <w:spacing w:after="0" w:line="182" w:lineRule="exact"/>
        <w:rPr>
          <w:sz w:val="20"/>
          <w:szCs w:val="20"/>
          <w:color w:val="auto"/>
        </w:rPr>
      </w:pPr>
    </w:p>
    <w:p>
      <w:pPr>
        <w:ind w:right="20" w:firstLine="1716"/>
        <w:spacing w:after="0" w:line="280" w:lineRule="auto"/>
        <w:tabs>
          <w:tab w:leader="none" w:pos="1967" w:val="left"/>
        </w:tabs>
        <w:numPr>
          <w:ilvl w:val="1"/>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Section 4.19, to acquire all or substantially all of the assets of, or any Capital Stock of, another Permitted Business, if, after giving effect to any such acquisition of Capital Stock, the Permitted Business is or becomes a Guarantor;</w:t>
      </w:r>
    </w:p>
    <w:p>
      <w:pPr>
        <w:spacing w:after="0" w:line="144" w:lineRule="exact"/>
        <w:rPr>
          <w:rFonts w:ascii="Times New Roman" w:cs="Times New Roman" w:eastAsia="Times New Roman" w:hAnsi="Times New Roman"/>
          <w:sz w:val="16"/>
          <w:szCs w:val="16"/>
          <w:color w:val="auto"/>
        </w:rPr>
      </w:pPr>
    </w:p>
    <w:p>
      <w:pPr>
        <w:ind w:left="2000" w:hanging="284"/>
        <w:spacing w:after="0"/>
        <w:tabs>
          <w:tab w:leader="none" w:pos="2000" w:val="left"/>
        </w:tabs>
        <w:numPr>
          <w:ilvl w:val="1"/>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Section 4.19, to make a capital expenditure; or</w:t>
      </w:r>
    </w:p>
    <w:p>
      <w:pPr>
        <w:spacing w:after="0" w:line="198" w:lineRule="exact"/>
        <w:rPr>
          <w:rFonts w:ascii="Times New Roman" w:cs="Times New Roman" w:eastAsia="Times New Roman" w:hAnsi="Times New Roman"/>
          <w:sz w:val="16"/>
          <w:szCs w:val="16"/>
          <w:color w:val="auto"/>
        </w:rPr>
      </w:pPr>
    </w:p>
    <w:p>
      <w:pPr>
        <w:ind w:left="2000" w:hanging="284"/>
        <w:spacing w:after="0"/>
        <w:tabs>
          <w:tab w:leader="none" w:pos="2000" w:val="left"/>
        </w:tabs>
        <w:numPr>
          <w:ilvl w:val="1"/>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Section 4.19, to acquire other assets that are not classified as current assets under GAAP and that are used or useful in a Permitted</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w:t>
      </w:r>
    </w:p>
    <w:p>
      <w:pPr>
        <w:spacing w:after="0" w:line="181" w:lineRule="exact"/>
        <w:rPr>
          <w:rFonts w:ascii="Times New Roman" w:cs="Times New Roman" w:eastAsia="Times New Roman" w:hAnsi="Times New Roman"/>
          <w:sz w:val="16"/>
          <w:szCs w:val="16"/>
          <w:color w:val="auto"/>
        </w:rPr>
      </w:pPr>
    </w:p>
    <w:p>
      <w:pPr>
        <w:jc w:val="both"/>
        <w:ind w:right="20" w:firstLine="1143"/>
        <w:spacing w:after="0" w:line="259" w:lineRule="auto"/>
        <w:tabs>
          <w:tab w:leader="none" w:pos="1389"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Pending the final application of any Net Proceeds, the Company may temporarily reduce indebtedness consisting of revolving credit borrowings or otherwise use the Net Proceeds in any manner that is not prohibited by this Indenture. For the avoidance of doubt, any obligation under a revolving credit facility to apply Net Proceeds from Asset Sales to permanently reduce such revolving credit facility will not be deemed to be a permanent reduction under this Indenture unless the Company so elects in accordance with clause (1) of Section 4.18(b).</w:t>
      </w:r>
    </w:p>
    <w:p>
      <w:pPr>
        <w:spacing w:after="0" w:line="161" w:lineRule="exact"/>
        <w:rPr>
          <w:rFonts w:ascii="Times New Roman" w:cs="Times New Roman" w:eastAsia="Times New Roman" w:hAnsi="Times New Roman"/>
          <w:sz w:val="16"/>
          <w:szCs w:val="16"/>
          <w:color w:val="auto"/>
        </w:rPr>
      </w:pPr>
    </w:p>
    <w:p>
      <w:pPr>
        <w:jc w:val="both"/>
        <w:ind w:firstLine="1143"/>
        <w:spacing w:after="0" w:line="253" w:lineRule="auto"/>
        <w:tabs>
          <w:tab w:leader="none" w:pos="1377"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Net Proceeds from Asset Sales that are not applied or invested as provided in Section 4.18(b) will constitute “Excess Proceeds.” When the aggregate amount of Excess Proceeds exceeds $5.0 million, the Company will, within 30 days thereof, make an offer (“</w:t>
      </w:r>
      <w:r>
        <w:rPr>
          <w:rFonts w:ascii="Times New Roman" w:cs="Times New Roman" w:eastAsia="Times New Roman" w:hAnsi="Times New Roman"/>
          <w:sz w:val="16"/>
          <w:szCs w:val="16"/>
          <w:b w:val="1"/>
          <w:bCs w:val="1"/>
          <w:color w:val="auto"/>
        </w:rPr>
        <w:t>Net Proceeds Offer</w:t>
      </w:r>
      <w:r>
        <w:rPr>
          <w:rFonts w:ascii="Times New Roman" w:cs="Times New Roman" w:eastAsia="Times New Roman" w:hAnsi="Times New Roman"/>
          <w:sz w:val="16"/>
          <w:szCs w:val="16"/>
          <w:color w:val="auto"/>
        </w:rPr>
        <w:t>”) to (a) (i) all holders of the Notes and (ii) all holders of pari passu indebtedness that contains provisions similar to those set forth in this Indenture with respect to offers to purchase or redeem with the proceeds of sales of assets to purchase the maximum principal amount of Notes and such other pari passu indebtedness that may be purchased out of the Excess Proceeds. The offer price in any offer will be equal to 100% of the principal amount of Notes purchased (or, in the event such pari passu indebtedness was issued with significant original issue discount, 100% of the accreted value thereof) plus accrued and unpaid interest, if any, to the date of purchase, and will be payable in cash. If any Excess Proceeds remain after consummation of a Net Proceeds Offer, the Company may use those Excess Proceeds for any purpose not otherwise prohibited by this Indenture. If the aggregate principal amount of Notes and such other pari passu indebtedness tendered in such offer exceeds the amount of Excess Proceeds, the Trustee shall select the Notes and the Company or such other agent will select such other pari passu indebtedness to be purchased on a pro rata basis. Upon completion of each offer, the amount of Excess Proceeds will be reset at zero.</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56" w:name="page57"/>
    <w:bookmarkEnd w:id="56"/>
    <w:p>
      <w:pPr>
        <w:jc w:val="both"/>
        <w:ind w:firstLine="1143"/>
        <w:spacing w:after="0" w:line="259" w:lineRule="auto"/>
        <w:tabs>
          <w:tab w:leader="none" w:pos="1364"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will comply with the requirements of Rule 14e-1 under the Exchange Act and any other securities laws and regulations thereunder to the extent such laws and regulations are applicable in connection with the repurchase of Notes pursuant to a Net Proceeds Offer. To the extent that the provisions of any securities laws or regulations conflict with this Section 4.18(e), the Company shall comply with the applicable securities laws and regulations and shall not be deemed to have breached its obligations under this Section 4.18(e) by virtue thereof.</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4.19. </w:t>
      </w:r>
      <w:r>
        <w:rPr>
          <w:rFonts w:ascii="Times New Roman" w:cs="Times New Roman" w:eastAsia="Times New Roman" w:hAnsi="Times New Roman"/>
          <w:sz w:val="16"/>
          <w:szCs w:val="16"/>
          <w:i w:val="1"/>
          <w:iCs w:val="1"/>
          <w:color w:val="auto"/>
        </w:rPr>
        <w:t>Minimum Liquidity; Maximum Acquisition Spend</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jc w:val="both"/>
        <w:ind w:firstLine="1143"/>
        <w:spacing w:after="0" w:line="259" w:lineRule="auto"/>
        <w:tabs>
          <w:tab w:leader="none" w:pos="1387"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its Subsidiaries shall (x) at all times maintain a minimum consolidated balance of $30.0 million of unrestricted cash and cash equivalents and (y) deliver to Trustee, with a copy to the Holders, within three (3) Business Days following the end of each month after the Issue Date and prior to a Cash Covenant Suspension Event, an Officer’s Certificate with a schedule showing all such accounts in which such unrestricted cash and cash equivalents is on deposit or credited thereto and providing for the Company’s calculation of its cash balance as of such month end.</w:t>
      </w:r>
    </w:p>
    <w:p>
      <w:pPr>
        <w:spacing w:after="0" w:line="161" w:lineRule="exact"/>
        <w:rPr>
          <w:rFonts w:ascii="Times New Roman" w:cs="Times New Roman" w:eastAsia="Times New Roman" w:hAnsi="Times New Roman"/>
          <w:sz w:val="16"/>
          <w:szCs w:val="16"/>
          <w:color w:val="auto"/>
        </w:rPr>
      </w:pPr>
    </w:p>
    <w:p>
      <w:pPr>
        <w:ind w:right="20" w:firstLine="1143"/>
        <w:spacing w:after="0" w:line="280" w:lineRule="auto"/>
        <w:tabs>
          <w:tab w:leader="none" w:pos="1385"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utilize more than $30.0 million of cash and cash equivalents of the Company and its Subsidiaries to finance acquisitions or Investments (excluding acquisitions and Investments financed and consummated during a Suspension Period).</w:t>
      </w:r>
    </w:p>
    <w:p>
      <w:pPr>
        <w:spacing w:after="0" w:line="144"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76"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on any date following the Issue Date (i) the Company delivers to the Trustee an Officer’s Certificate certifying two consecutive fiscal quarters of positive consolidated EBITDA, with supporting calculations set forth in an exhibit to such Officer’s Certificate, and (ii) no Default has occurred and is continuing under this Indenture (the occurrence of the events described in the foregoing clauses (i) and (ii) being collectively referred to as a “</w:t>
      </w:r>
      <w:r>
        <w:rPr>
          <w:rFonts w:ascii="Times New Roman" w:cs="Times New Roman" w:eastAsia="Times New Roman" w:hAnsi="Times New Roman"/>
          <w:sz w:val="16"/>
          <w:szCs w:val="16"/>
          <w:b w:val="1"/>
          <w:bCs w:val="1"/>
          <w:color w:val="auto"/>
        </w:rPr>
        <w:t>Cash Covenant Suspension Event</w:t>
      </w:r>
      <w:r>
        <w:rPr>
          <w:rFonts w:ascii="Times New Roman" w:cs="Times New Roman" w:eastAsia="Times New Roman" w:hAnsi="Times New Roman"/>
          <w:sz w:val="16"/>
          <w:szCs w:val="16"/>
          <w:color w:val="auto"/>
        </w:rPr>
        <w:t>”), then beginning on such date (the “</w:t>
      </w:r>
      <w:r>
        <w:rPr>
          <w:rFonts w:ascii="Times New Roman" w:cs="Times New Roman" w:eastAsia="Times New Roman" w:hAnsi="Times New Roman"/>
          <w:sz w:val="16"/>
          <w:szCs w:val="16"/>
          <w:b w:val="1"/>
          <w:bCs w:val="1"/>
          <w:color w:val="auto"/>
        </w:rPr>
        <w:t>Cash Covenant Suspension Date</w:t>
      </w:r>
      <w:r>
        <w:rPr>
          <w:rFonts w:ascii="Times New Roman" w:cs="Times New Roman" w:eastAsia="Times New Roman" w:hAnsi="Times New Roman"/>
          <w:sz w:val="16"/>
          <w:szCs w:val="16"/>
          <w:color w:val="auto"/>
        </w:rPr>
        <w:t>”) and continuing until the Cash Covenant Reversion Date (such period of time between and including the Cash Covenant Suspension Date and the Cash Covenant Reversion Date, but excluding the Cash Covenant Reversion Date, being referred to as the “</w:t>
      </w:r>
      <w:r>
        <w:rPr>
          <w:rFonts w:ascii="Times New Roman" w:cs="Times New Roman" w:eastAsia="Times New Roman" w:hAnsi="Times New Roman"/>
          <w:sz w:val="16"/>
          <w:szCs w:val="16"/>
          <w:b w:val="1"/>
          <w:bCs w:val="1"/>
          <w:color w:val="auto"/>
        </w:rPr>
        <w:t>Suspension Period</w:t>
      </w:r>
      <w:r>
        <w:rPr>
          <w:rFonts w:ascii="Times New Roman" w:cs="Times New Roman" w:eastAsia="Times New Roman" w:hAnsi="Times New Roman"/>
          <w:sz w:val="16"/>
          <w:szCs w:val="16"/>
          <w:color w:val="auto"/>
        </w:rPr>
        <w:t>”), the Company and its Subsidiaries will not be subject to the restrictions set forth in Section 4.19(a)(x) or (b) (for the avoidance of doubt, the Company shall continue to be subject to the delivery requirement set forth in Section 4.19(a)(y) during the Suspension Period).</w:t>
      </w:r>
    </w:p>
    <w:p>
      <w:pPr>
        <w:spacing w:after="0" w:line="166" w:lineRule="exact"/>
        <w:rPr>
          <w:rFonts w:ascii="Times New Roman" w:cs="Times New Roman" w:eastAsia="Times New Roman" w:hAnsi="Times New Roman"/>
          <w:sz w:val="16"/>
          <w:szCs w:val="16"/>
          <w:color w:val="auto"/>
        </w:rPr>
      </w:pPr>
    </w:p>
    <w:p>
      <w:pPr>
        <w:ind w:firstLine="1143"/>
        <w:spacing w:after="0" w:line="280" w:lineRule="auto"/>
        <w:tabs>
          <w:tab w:leader="none" w:pos="1385"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later than 15 Business Days following the end of each fiscal quarter following a Cash Covenant Suspension Event, the Company shall provide the Trustee with an Officer’s Certificate certifying its consolidated EBITDA for such quarter, with supporting calculations set forth in an exhibit to such Officer’s Certificate.</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59" w:lineRule="auto"/>
        <w:tabs>
          <w:tab w:leader="none" w:pos="1364"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during the Suspension Period the Company shall either (x) fail to provide an Officer’s Certificate to the Trustee certifying its consolidated EBITDA for the most recent fiscal quarter or (y) have provided to the Trustee one or more Officer’s Certificates indicating negative consolidated EBITDA for two consecutive fiscal quarters, then the Company and its Subsidiaries will thereafter (until any subsequent Cash Covenant Suspension Event) be subject to all of the restrictions set forth in this Section 4.19 (such date the “</w:t>
      </w:r>
      <w:r>
        <w:rPr>
          <w:rFonts w:ascii="Times New Roman" w:cs="Times New Roman" w:eastAsia="Times New Roman" w:hAnsi="Times New Roman"/>
          <w:sz w:val="16"/>
          <w:szCs w:val="16"/>
          <w:b w:val="1"/>
          <w:bCs w:val="1"/>
          <w:color w:val="auto"/>
        </w:rPr>
        <w:t>Cash Covenant Reversion Date</w:t>
      </w:r>
      <w:r>
        <w:rPr>
          <w:rFonts w:ascii="Times New Roman" w:cs="Times New Roman" w:eastAsia="Times New Roman" w:hAnsi="Times New Roman"/>
          <w:sz w:val="16"/>
          <w:szCs w:val="16"/>
          <w:color w:val="auto"/>
        </w:rPr>
        <w:t>”).</w:t>
      </w:r>
    </w:p>
    <w:p>
      <w:pPr>
        <w:spacing w:after="0" w:line="161" w:lineRule="exact"/>
        <w:rPr>
          <w:rFonts w:ascii="Times New Roman" w:cs="Times New Roman" w:eastAsia="Times New Roman" w:hAnsi="Times New Roman"/>
          <w:sz w:val="16"/>
          <w:szCs w:val="16"/>
          <w:color w:val="auto"/>
        </w:rPr>
      </w:pPr>
    </w:p>
    <w:p>
      <w:pPr>
        <w:jc w:val="both"/>
        <w:ind w:firstLine="1143"/>
        <w:spacing w:after="0" w:line="257" w:lineRule="auto"/>
        <w:tabs>
          <w:tab w:leader="none" w:pos="1358"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and after the Cash Covenant Reversion Date and prior to the next succeeding Cash Covenant Suspension Event, if any, (i) no Default, Event of Default or breach of any kind with respect to this Section 4.19 will be deemed to exist under this Indenture or the Notes with respect to actions taken or events occurring during the Suspension Period pursuant to any contractual commitment or obligation arising during any Suspension Period, and (ii) the Company and each Subsidiary will be permitted, without causing a Default or Event of Default with respect to this Section 4.19, to honor, comply with or otherwise perform any contractual commitment or obligation arising during any Suspension Period and to consummate the transactions contemplated thereby.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6"/>
          <w:szCs w:val="16"/>
          <w:color w:val="auto"/>
        </w:rPr>
        <w:t>ARTICLE 5</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L</w:t>
      </w:r>
      <w:r>
        <w:rPr>
          <w:rFonts w:ascii="Times New Roman" w:cs="Times New Roman" w:eastAsia="Times New Roman" w:hAnsi="Times New Roman"/>
          <w:sz w:val="10"/>
          <w:szCs w:val="10"/>
          <w:color w:val="auto"/>
        </w:rPr>
        <w:t>ists of</w:t>
      </w:r>
      <w:r>
        <w:rPr>
          <w:rFonts w:ascii="Times New Roman" w:cs="Times New Roman" w:eastAsia="Times New Roman" w:hAnsi="Times New Roman"/>
          <w:sz w:val="16"/>
          <w:szCs w:val="16"/>
          <w:color w:val="auto"/>
        </w:rPr>
        <w:t xml:space="preserve"> H</w:t>
      </w:r>
      <w:r>
        <w:rPr>
          <w:rFonts w:ascii="Times New Roman" w:cs="Times New Roman" w:eastAsia="Times New Roman" w:hAnsi="Times New Roman"/>
          <w:sz w:val="10"/>
          <w:szCs w:val="10"/>
          <w:color w:val="auto"/>
        </w:rPr>
        <w:t>olders and</w:t>
      </w:r>
      <w:r>
        <w:rPr>
          <w:rFonts w:ascii="Times New Roman" w:cs="Times New Roman" w:eastAsia="Times New Roman" w:hAnsi="Times New Roman"/>
          <w:sz w:val="16"/>
          <w:szCs w:val="16"/>
          <w:color w:val="auto"/>
        </w:rPr>
        <w:t xml:space="preserve"> R</w:t>
      </w:r>
      <w:r>
        <w:rPr>
          <w:rFonts w:ascii="Times New Roman" w:cs="Times New Roman" w:eastAsia="Times New Roman" w:hAnsi="Times New Roman"/>
          <w:sz w:val="10"/>
          <w:szCs w:val="10"/>
          <w:color w:val="auto"/>
        </w:rPr>
        <w:t>eports by the</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0"/>
          <w:szCs w:val="10"/>
          <w:color w:val="auto"/>
        </w:rPr>
        <w:t>ompany and the</w:t>
      </w:r>
      <w:r>
        <w:rPr>
          <w:rFonts w:ascii="Times New Roman" w:cs="Times New Roman" w:eastAsia="Times New Roman" w:hAnsi="Times New Roman"/>
          <w:sz w:val="16"/>
          <w:szCs w:val="16"/>
          <w:color w:val="auto"/>
        </w:rPr>
        <w:t xml:space="preserve"> T</w:t>
      </w:r>
      <w:r>
        <w:rPr>
          <w:rFonts w:ascii="Times New Roman" w:cs="Times New Roman" w:eastAsia="Times New Roman" w:hAnsi="Times New Roman"/>
          <w:sz w:val="10"/>
          <w:szCs w:val="10"/>
          <w:color w:val="auto"/>
        </w:rPr>
        <w:t>rustee</w:t>
      </w:r>
    </w:p>
    <w:p>
      <w:pPr>
        <w:spacing w:after="0" w:line="180" w:lineRule="exact"/>
        <w:rPr>
          <w:sz w:val="20"/>
          <w:szCs w:val="20"/>
          <w:color w:val="auto"/>
        </w:rPr>
      </w:pPr>
    </w:p>
    <w:p>
      <w:pPr>
        <w:jc w:val="both"/>
        <w:ind w:right="20" w:firstLine="382"/>
        <w:spacing w:after="0" w:line="256" w:lineRule="auto"/>
        <w:rPr>
          <w:sz w:val="20"/>
          <w:szCs w:val="20"/>
          <w:color w:val="auto"/>
        </w:rPr>
      </w:pPr>
      <w:r>
        <w:rPr>
          <w:rFonts w:ascii="Times New Roman" w:cs="Times New Roman" w:eastAsia="Times New Roman" w:hAnsi="Times New Roman"/>
          <w:sz w:val="16"/>
          <w:szCs w:val="16"/>
          <w:color w:val="auto"/>
        </w:rPr>
        <w:t xml:space="preserve">Section 5.01. </w:t>
      </w:r>
      <w:r>
        <w:rPr>
          <w:rFonts w:ascii="Times New Roman" w:cs="Times New Roman" w:eastAsia="Times New Roman" w:hAnsi="Times New Roman"/>
          <w:sz w:val="16"/>
          <w:szCs w:val="16"/>
          <w:i w:val="1"/>
          <w:iCs w:val="1"/>
          <w:color w:val="auto"/>
        </w:rPr>
        <w:t>Lists of Holders.</w:t>
      </w:r>
      <w:r>
        <w:rPr>
          <w:rFonts w:ascii="Times New Roman" w:cs="Times New Roman" w:eastAsia="Times New Roman" w:hAnsi="Times New Roman"/>
          <w:sz w:val="16"/>
          <w:szCs w:val="16"/>
          <w:color w:val="auto"/>
        </w:rPr>
        <w:t xml:space="preserve"> The Company covenants and agrees that it will furnish or cause to be furnished to the Trustee not more than 15 days after each Regular Record Date beginning with the Regular Record Date on [●], 2022, and at such other times as the Trustee may request in writing, within 30 days after receipt by the Company of any such request (or such lesser time as the Trustee may reasonably request in order to enable it to timely provide any notice to be provided by it hereunder), a list in such form as the Trustee may reasonably require of the names and addresses of the Holders as of a date not more than 15 days (or such other date as the Trustee may reasonably request in order to so provide any such notices) prior to the time such information is furnished, except that no such list need be furnished so long as the Trustee is acting as Note Registrar.</w:t>
      </w:r>
    </w:p>
    <w:p>
      <w:pPr>
        <w:spacing w:after="0" w:line="161" w:lineRule="exact"/>
        <w:rPr>
          <w:sz w:val="20"/>
          <w:szCs w:val="20"/>
          <w:color w:val="auto"/>
        </w:rPr>
      </w:pPr>
    </w:p>
    <w:p>
      <w:pPr>
        <w:jc w:val="both"/>
        <w:ind w:right="20" w:firstLine="382"/>
        <w:spacing w:after="0" w:line="266" w:lineRule="auto"/>
        <w:rPr>
          <w:sz w:val="20"/>
          <w:szCs w:val="20"/>
          <w:color w:val="auto"/>
        </w:rPr>
      </w:pPr>
      <w:r>
        <w:rPr>
          <w:rFonts w:ascii="Times New Roman" w:cs="Times New Roman" w:eastAsia="Times New Roman" w:hAnsi="Times New Roman"/>
          <w:sz w:val="16"/>
          <w:szCs w:val="16"/>
          <w:color w:val="auto"/>
        </w:rPr>
        <w:t xml:space="preserve">Section 5.02. </w:t>
      </w:r>
      <w:r>
        <w:rPr>
          <w:rFonts w:ascii="Times New Roman" w:cs="Times New Roman" w:eastAsia="Times New Roman" w:hAnsi="Times New Roman"/>
          <w:sz w:val="16"/>
          <w:szCs w:val="16"/>
          <w:i w:val="1"/>
          <w:iCs w:val="1"/>
          <w:color w:val="auto"/>
        </w:rPr>
        <w:t>Preservation and Disclosure of Lists.</w:t>
      </w:r>
      <w:r>
        <w:rPr>
          <w:rFonts w:ascii="Times New Roman" w:cs="Times New Roman" w:eastAsia="Times New Roman" w:hAnsi="Times New Roman"/>
          <w:sz w:val="16"/>
          <w:szCs w:val="16"/>
          <w:color w:val="auto"/>
        </w:rPr>
        <w:t xml:space="preserve"> The Trustee shall preserve, in as current a form as is reasonably practicable, all information as to the names and addresses of the Holders contained in the most recent list furnished to it as provided in Section 5.01 or maintained by the Trustee in its capacity as Note Registrar, if so acting. The Trustee may destroy any list furnished to it as provided in Section 5.01 upon receipt of a new list so furnished.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6</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w:t>
      </w:r>
      <w:r>
        <w:rPr>
          <w:rFonts w:ascii="Times New Roman" w:cs="Times New Roman" w:eastAsia="Times New Roman" w:hAnsi="Times New Roman"/>
          <w:sz w:val="10"/>
          <w:szCs w:val="10"/>
          <w:color w:val="auto"/>
        </w:rPr>
        <w:t>efaults and</w:t>
      </w:r>
      <w:r>
        <w:rPr>
          <w:rFonts w:ascii="Times New Roman" w:cs="Times New Roman" w:eastAsia="Times New Roman" w:hAnsi="Times New Roman"/>
          <w:sz w:val="16"/>
          <w:szCs w:val="16"/>
          <w:color w:val="auto"/>
        </w:rPr>
        <w:t xml:space="preserve"> R</w:t>
      </w:r>
      <w:r>
        <w:rPr>
          <w:rFonts w:ascii="Times New Roman" w:cs="Times New Roman" w:eastAsia="Times New Roman" w:hAnsi="Times New Roman"/>
          <w:sz w:val="10"/>
          <w:szCs w:val="10"/>
          <w:color w:val="auto"/>
        </w:rPr>
        <w:t>emedies</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6.01. </w:t>
      </w:r>
      <w:r>
        <w:rPr>
          <w:rFonts w:ascii="Times New Roman" w:cs="Times New Roman" w:eastAsia="Times New Roman" w:hAnsi="Times New Roman"/>
          <w:sz w:val="16"/>
          <w:szCs w:val="16"/>
          <w:i w:val="1"/>
          <w:iCs w:val="1"/>
          <w:color w:val="auto"/>
        </w:rPr>
        <w:t>Events of Default.</w:t>
      </w:r>
      <w:r>
        <w:rPr>
          <w:rFonts w:ascii="Times New Roman" w:cs="Times New Roman" w:eastAsia="Times New Roman" w:hAnsi="Times New Roman"/>
          <w:sz w:val="16"/>
          <w:szCs w:val="16"/>
          <w:color w:val="auto"/>
        </w:rPr>
        <w:t xml:space="preserve"> Each of the following events shall be an “</w:t>
      </w:r>
      <w:r>
        <w:rPr>
          <w:rFonts w:ascii="Times New Roman" w:cs="Times New Roman" w:eastAsia="Times New Roman" w:hAnsi="Times New Roman"/>
          <w:sz w:val="16"/>
          <w:szCs w:val="16"/>
          <w:b w:val="1"/>
          <w:bCs w:val="1"/>
          <w:color w:val="auto"/>
        </w:rPr>
        <w:t>Event of Default</w:t>
      </w:r>
      <w:r>
        <w:rPr>
          <w:rFonts w:ascii="Times New Roman" w:cs="Times New Roman" w:eastAsia="Times New Roman" w:hAnsi="Times New Roman"/>
          <w:sz w:val="16"/>
          <w:szCs w:val="16"/>
          <w:color w:val="auto"/>
        </w:rPr>
        <w:t>” with respect to the Notes:</w:t>
      </w:r>
    </w:p>
    <w:p>
      <w:pPr>
        <w:spacing w:after="0" w:line="200" w:lineRule="exact"/>
        <w:rPr>
          <w:sz w:val="20"/>
          <w:szCs w:val="20"/>
          <w:color w:val="auto"/>
        </w:rPr>
      </w:pPr>
    </w:p>
    <w:p>
      <w:pPr>
        <w:ind w:left="1360" w:hanging="217"/>
        <w:spacing w:after="0"/>
        <w:tabs>
          <w:tab w:leader="none" w:pos="136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default in any payment of interest on any Note when due and payable, and the default continues for a period of 30 consecutive days;</w:t>
      </w:r>
    </w:p>
    <w:p>
      <w:pPr>
        <w:spacing w:after="0" w:line="198" w:lineRule="exact"/>
        <w:rPr>
          <w:rFonts w:ascii="Times New Roman" w:cs="Times New Roman" w:eastAsia="Times New Roman" w:hAnsi="Times New Roman"/>
          <w:sz w:val="16"/>
          <w:szCs w:val="16"/>
          <w:color w:val="auto"/>
        </w:rPr>
      </w:pPr>
    </w:p>
    <w:p>
      <w:pPr>
        <w:ind w:right="20" w:firstLine="1143"/>
        <w:spacing w:after="0" w:line="280" w:lineRule="auto"/>
        <w:tabs>
          <w:tab w:leader="none" w:pos="1373"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default in the payment of principal or premium, if any, of any Note when due and payable on the Maturity Date, upon Optional Redemption, upon any required repurchase, upon declaration of acceleration or otherwise;</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64"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by the Company to comply with its obligation to convert the Notes in accordance with this Indenture upon exercise of a Holder’s conversion right and such failure continues for three Business Days;</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85"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by the Company to issue a Fundamental Change Company Notice in accordance with Section 15.02(c), notice of a tMake-Whole Fundamental Change in accordance with Section 14.03(b), in each case when due and such failure continues for five Business Days;</w:t>
      </w:r>
    </w:p>
    <w:p>
      <w:pPr>
        <w:spacing w:after="0" w:line="144"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by the Company to comply with its obligations under Article 11;</w:t>
      </w:r>
    </w:p>
    <w:p>
      <w:pPr>
        <w:spacing w:after="0" w:line="198"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46"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failure by the Company for 10 days after written notice from the Trustee or the Holders of at least 25% in aggregate principal amount of the Notes then outstanding has been received by the Company to comply with its obligations under Section 4.19(a) or (b); and (ii) failure by the Company for 60 days after written notice from the Trustee or the Holders of at least 25% in aggregate principal amount of the Notes then outstanding has been received by the Company to comply with any of its other agreements (other than its obligations referenced above under clauses (a) through (e) and (f)(i)) contained in the Notes or this Indenture;</w:t>
      </w:r>
    </w:p>
    <w:p>
      <w:pPr>
        <w:spacing w:after="0" w:line="161" w:lineRule="exact"/>
        <w:rPr>
          <w:rFonts w:ascii="Times New Roman" w:cs="Times New Roman" w:eastAsia="Times New Roman" w:hAnsi="Times New Roman"/>
          <w:sz w:val="16"/>
          <w:szCs w:val="16"/>
          <w:color w:val="auto"/>
        </w:rPr>
      </w:pPr>
    </w:p>
    <w:p>
      <w:pPr>
        <w:jc w:val="both"/>
        <w:ind w:firstLine="1143"/>
        <w:spacing w:after="0" w:line="253" w:lineRule="auto"/>
        <w:tabs>
          <w:tab w:leader="none" w:pos="1385"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default by the Company or any Significant Subsidiary of the Company with respect to any mortgage, agreement or other instrument under which there may be outstanding, or by which there may be secured or evidenced, any indebtedness for money borrowed in excess of $10,000,000 (or its foreign currency equivalent) in the aggregate of the Company and/or any such Significant Subsidiary, whether such indebtedness now exists or shall hereafter be created (i) resulting in such indebtedness becoming or being declared due and payable prior to its stated maturity date or (ii) constituting a failure to pay the principal of any such indebtedness when due and payable (after the expiration of all applicable grace periods) at its stated maturity, upon required repurchase, upon declaration of acceleration or otherwise, and in the cases of clauses (i) and (ii), such acceleration shall not have been rescinded or annulled or such failure to pay or default shall not have been cured or waived, or such indebtedness is not paid or discharged, as the case may be, within 30 days after written notice to the Company by the Trustee or to the Company and the Trustee by Holders of at least 25% in aggregate principal amount of Notes then outstanding in accordance with this Indenture;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8" w:name="page59"/>
    <w:bookmarkEnd w:id="58"/>
    <w:p>
      <w:pPr>
        <w:jc w:val="both"/>
        <w:ind w:firstLine="1143"/>
        <w:spacing w:after="0" w:line="257" w:lineRule="auto"/>
        <w:tabs>
          <w:tab w:leader="none" w:pos="1373"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or any Significant Subsidiary shall commence a voluntary case or other proceeding seeking liquidation, reorganization or other similar relief with respect to the Company or any such Significant Subsidiary or its debts under any bankruptcy, insolvency or other similar law now or hereafter in effect or seeking the appointment of a trustee, receiver, liquidator, custodian or other similar official of the Company or any such Significant Subsidiary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w:t>
      </w:r>
    </w:p>
    <w:p>
      <w:pPr>
        <w:spacing w:after="0" w:line="162"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49"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involuntary case or other proceeding shall be commenced against the Company or any Significant Subsidiary seeking liquidation, reorganization or other similar relief with respect to the Company or such Significant Subsidiary or its debts under any bankruptcy, insolvency or other similar law now or hereafter in effect or seeking the appointment of a trustee, receiver, liquidator, custodian or other similar official of the Company or such Significant Subsidiary or any substantial part of its property, and such involuntary case or other proceeding shall remain undismissed and unstayed for a period of 60 consecutive days; or</w:t>
      </w:r>
    </w:p>
    <w:p>
      <w:pPr>
        <w:spacing w:after="0" w:line="161"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37"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final judgment or judgments for the payment of $10,000,000 (or its foreign currency equivalent) or more (in each case excluding any amounts covered by insurance) in the aggregate rendered against the Company or any of its Significant Subsidiaries, which judgment is not discharged, bonded, paid, waived or stayed within 60 days after (i) the date on which the right to appeal thereof has expired if no such appeal has commenced, or (ii) the date on which all rights to appeal have been extinguished.</w:t>
      </w:r>
    </w:p>
    <w:p>
      <w:pPr>
        <w:spacing w:after="0" w:line="153" w:lineRule="exact"/>
        <w:rPr>
          <w:sz w:val="20"/>
          <w:szCs w:val="20"/>
          <w:color w:val="auto"/>
        </w:rPr>
      </w:pPr>
    </w:p>
    <w:p>
      <w:pPr>
        <w:jc w:val="both"/>
        <w:ind w:firstLine="382"/>
        <w:spacing w:after="0" w:line="253" w:lineRule="auto"/>
        <w:rPr>
          <w:sz w:val="20"/>
          <w:szCs w:val="20"/>
          <w:color w:val="auto"/>
        </w:rPr>
      </w:pPr>
      <w:r>
        <w:rPr>
          <w:rFonts w:ascii="Times New Roman" w:cs="Times New Roman" w:eastAsia="Times New Roman" w:hAnsi="Times New Roman"/>
          <w:sz w:val="16"/>
          <w:szCs w:val="16"/>
          <w:color w:val="auto"/>
        </w:rPr>
        <w:t xml:space="preserve">Section 6.02. </w:t>
      </w:r>
      <w:r>
        <w:rPr>
          <w:rFonts w:ascii="Times New Roman" w:cs="Times New Roman" w:eastAsia="Times New Roman" w:hAnsi="Times New Roman"/>
          <w:sz w:val="16"/>
          <w:szCs w:val="16"/>
          <w:i w:val="1"/>
          <w:iCs w:val="1"/>
          <w:color w:val="auto"/>
        </w:rPr>
        <w:t>Acceleration; Rescission and Annulment.</w:t>
      </w:r>
      <w:r>
        <w:rPr>
          <w:rFonts w:ascii="Times New Roman" w:cs="Times New Roman" w:eastAsia="Times New Roman" w:hAnsi="Times New Roman"/>
          <w:sz w:val="16"/>
          <w:szCs w:val="16"/>
          <w:color w:val="auto"/>
        </w:rPr>
        <w:t xml:space="preserve"> If one or more Events of Default (other than an Event of Default specified in Section 6.01(h) or Section 6.01(i) with respect to the Company (and not with respect to a Significant Subsidiary))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 then, and in each and every such case, unless the principal of all of the Notes shall have already become due and payable, either the Trustee or the Holders of at least 25% in aggregate principal amount of the Notes then outstanding determined in accordance with Section 8.04, by notice in writing to the Company (and to the Trustee if given by Holders), may declare 100% of the principal of, and accrued and unpaid interest on, all the Notes to be due and payable immediately, and upon any such declaration the same shall become and shall automatically be immediately due and payable, anything contained in this Indenture or in the Notes to the contrary notwithstanding. If an Event of Default specified in Section 6.01(h) or Section 6.01(i) with respect to the Company (and not with respect to a Significant Subsidiary) occurs and is continuing, 100% of the principal of, and accrued and unpaid interest, if any, on, all Notes shall become and shall automatically be immediately due and payable.</w:t>
      </w:r>
    </w:p>
    <w:p>
      <w:pPr>
        <w:spacing w:after="0" w:line="168" w:lineRule="exact"/>
        <w:rPr>
          <w:sz w:val="20"/>
          <w:szCs w:val="20"/>
          <w:color w:val="auto"/>
        </w:rPr>
      </w:pPr>
    </w:p>
    <w:p>
      <w:pPr>
        <w:jc w:val="both"/>
        <w:ind w:firstLine="382"/>
        <w:spacing w:after="0" w:line="252" w:lineRule="auto"/>
        <w:rPr>
          <w:sz w:val="20"/>
          <w:szCs w:val="20"/>
          <w:color w:val="auto"/>
        </w:rPr>
      </w:pPr>
      <w:r>
        <w:rPr>
          <w:rFonts w:ascii="Times New Roman" w:cs="Times New Roman" w:eastAsia="Times New Roman" w:hAnsi="Times New Roman"/>
          <w:sz w:val="16"/>
          <w:szCs w:val="16"/>
          <w:color w:val="auto"/>
        </w:rPr>
        <w:t>The immediately preceding paragraph, however, is subject to the conditions that if, at any time after the principal of the Notes shall have been so declared due and payable, and before any judgment or decree for the payment of the monies due shall have been obtained or entered as hereinafter provided, and if (1) rescission would not conflict with any judgment or decree of a court of competent jurisdiction and (2) any and all existing Events of Default under this Indenture, other than the nonpayment of the principal of and accrued and unpaid interest, if any, on Notes that shall have become due solely by such acceleration, shall have been cured or waived pursuant to Section 6.09, then and in every such case (except as provided in the immediately succeeding sentence) the Holders of a majority in aggregate principal amount of the Notes then outstanding (including, without limitation, additional Notes and PIK Notes), by written notice to the Company and to the Trustee, may waive all Defaults or Events of Default with respect to the Notes and rescind and annul such declaration and its consequences and such Default shall cease to exist, and any Event of Default arising therefrom shall be deemed to have been cured for every purpose of this Indenture; but no such waiver or rescission and annulment shall extend to or shall affect any subsequent Default or Event of Default, or shall impair any right consequent thereon. Notwithstanding anything to the contrary herein, no such waiver or rescission and annulment shall extend to or shall affect any Default or Event of Default resulting from (i) the nonpayment of the principal (including the Redemption Price and the Fundamental Change Repurchase Price, if applicable) of, or accrued and unpaid interest on, any Notes, (ii) a failure to repurchase any Notes when required or (iii) a failure to pay or deliver, as the case may be, the consideration due upon conversion of the Notes.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9" w:name="page60"/>
    <w:bookmarkEnd w:id="59"/>
    <w:p>
      <w:pPr>
        <w:jc w:val="both"/>
        <w:ind w:firstLine="382"/>
        <w:spacing w:after="0" w:line="268" w:lineRule="auto"/>
        <w:rPr>
          <w:sz w:val="20"/>
          <w:szCs w:val="20"/>
          <w:color w:val="auto"/>
        </w:rPr>
      </w:pPr>
      <w:r>
        <w:rPr>
          <w:rFonts w:ascii="Times New Roman" w:cs="Times New Roman" w:eastAsia="Times New Roman" w:hAnsi="Times New Roman"/>
          <w:sz w:val="15"/>
          <w:szCs w:val="15"/>
          <w:color w:val="auto"/>
        </w:rPr>
        <w:t xml:space="preserve">Notwithstanding anything to the contrary in this Indenture or the Notes, if the Notes are accelerated or otherwise become due prior to their stated maturity, in each case as a result of an Event of Default (including, but not limited to, an Event of Default specified in Section 6.01(h) or Section 6.01(i) (including the acceleration of any portion of the Indebtedness evidenced by the Notes by operation of law)), the amount that shall then be due and payable shall be equal to: (x) 100% of the principal amount of the Notes (including PIK Notes) then outstanding </w:t>
      </w:r>
      <w:r>
        <w:rPr>
          <w:rFonts w:ascii="Times New Roman" w:cs="Times New Roman" w:eastAsia="Times New Roman" w:hAnsi="Times New Roman"/>
          <w:sz w:val="15"/>
          <w:szCs w:val="15"/>
          <w:i w:val="1"/>
          <w:iCs w:val="1"/>
          <w:color w:val="auto"/>
        </w:rPr>
        <w:t>plus</w:t>
      </w:r>
      <w:r>
        <w:rPr>
          <w:rFonts w:ascii="Times New Roman" w:cs="Times New Roman" w:eastAsia="Times New Roman" w:hAnsi="Times New Roman"/>
          <w:sz w:val="15"/>
          <w:szCs w:val="15"/>
          <w:color w:val="auto"/>
        </w:rPr>
        <w:t xml:space="preserve"> the Applicable Premium in effect on the date of such acceleration </w:t>
      </w:r>
      <w:r>
        <w:rPr>
          <w:rFonts w:ascii="Times New Roman" w:cs="Times New Roman" w:eastAsia="Times New Roman" w:hAnsi="Times New Roman"/>
          <w:sz w:val="15"/>
          <w:szCs w:val="15"/>
          <w:i w:val="1"/>
          <w:iCs w:val="1"/>
          <w:color w:val="auto"/>
        </w:rPr>
        <w:t>plus</w:t>
      </w:r>
      <w:r>
        <w:rPr>
          <w:rFonts w:ascii="Times New Roman" w:cs="Times New Roman" w:eastAsia="Times New Roman" w:hAnsi="Times New Roman"/>
          <w:sz w:val="15"/>
          <w:szCs w:val="15"/>
          <w:color w:val="auto"/>
        </w:rPr>
        <w:t xml:space="preserve"> (y) accrued and unpaid interest to, but excluding, the date of such acceleration, in each case as if such acceleration were an optional redemption of the Notes so accelerated. Without limiting the generality of the foregoing, it is understood and agreed that if the Notes are accelerated or otherwise become due prior to their stated maturity, in each case, as a result of an Event of Default (including, but not limited to, an Event of Default specified in Section 6.01(h) or Section 6.01(i) (including the acceleration of any portion of the Indebtedness evidenced by the Notes by operation of law)), the Applicable Premium with respect to an optional redemption of the Notes shall also be due and payable as though the Notes had been optionally redeemed on the date of such acceleration and shall constitute part of the Obligations with respect to the Notes in view of the impracticability and difficulty of ascertaining actual damages and by mutual agreement of the parties as to a reasonable calculation of each Holder’s lost profits as a result thereof. If the Applicable Premium becomes due and payable, it shall be deemed to be principal of the Notes and interest shall accrue on the full principal amount of the Notes (including the Applicable Premium) from and after the applicable triggering event, including in connection with an Event of Default specified in Section 6.01(h) or Section 6.01(i). Any premium payable pursuant to this paragraph shall be presumed to be liquidated damages sustained by each Holder as the result of the acceleration of the Notes and the Company agrees that it is reasonable under the circumstances currently existing. The premium shall also be payable in the event the Notes or this Indenture are satisfied, released or discharged through foreclosure, whether by judicial proceeding, deed in lieu of foreclosure or by any other means. THE COMPANY EXPRESSLY WAIVES (TO THE FULLEST EXTENT IT MAY LAWFULLY DO SO) THE PROVISIONS OF ANY PRESENT OR FUTURE STATUTE OR LAW THAT PROHIBITS OR MAY PROHIBIT THE COLLECTION OF THE FOREGOING PREMIUM IN CONNECTION WITH ANY SUCH ACCELERATION. The Company expressly agrees (to the fullest extent it may lawfully do so) that: (A) the premium is reasonable and is the product of an arm’s length transaction between sophisticated business entities ably represented by counsel; (B) the premium shall be payable notwithstanding the then prevailing market rates at the time acceleration occurs; (C) there has been a course of conduct between the Holders and the Company giving specific consideration in this transaction for such agreement to pay the premium; and (D) the Company shall be estopped hereafter from claiming differently than as agreed to in this paragraph. The Company and expressly acknowledges that its agreement to pay the premium to the Holders as herein described is a material inducement to the Holders to purchase the Notes.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PREMIUM IS DEEMED TO CONSTITUTE LIQUIDATED DAMAGES, AND THE PARTIES HERETO EACH ACKNOWLEDGE AND AGREE THAT SUCH DAMAGES ARE DIFFICULT OR IMPOSSIBLE TO DETERMINE AND THAT THE SETTLEMENT AMOUNT IS INTENDED TO BE A REASONABLE APPROXIMATION OF THE AMOUNT OF SUCH DAMAGES AND NOT A PENALTY.</w:t>
      </w:r>
    </w:p>
    <w:p>
      <w:pPr>
        <w:spacing w:after="0" w:line="162" w:lineRule="exact"/>
        <w:rPr>
          <w:sz w:val="20"/>
          <w:szCs w:val="20"/>
          <w:color w:val="auto"/>
        </w:rPr>
      </w:pPr>
    </w:p>
    <w:p>
      <w:pPr>
        <w:jc w:val="both"/>
        <w:ind w:right="20" w:firstLine="382"/>
        <w:spacing w:after="0" w:line="272" w:lineRule="auto"/>
        <w:rPr>
          <w:sz w:val="20"/>
          <w:szCs w:val="20"/>
          <w:color w:val="auto"/>
        </w:rPr>
      </w:pPr>
      <w:r>
        <w:rPr>
          <w:rFonts w:ascii="Times New Roman" w:cs="Times New Roman" w:eastAsia="Times New Roman" w:hAnsi="Times New Roman"/>
          <w:sz w:val="15"/>
          <w:szCs w:val="15"/>
          <w:color w:val="auto"/>
        </w:rPr>
        <w:t xml:space="preserve">Section 6.03. </w:t>
      </w:r>
      <w:r>
        <w:rPr>
          <w:rFonts w:ascii="Times New Roman" w:cs="Times New Roman" w:eastAsia="Times New Roman" w:hAnsi="Times New Roman"/>
          <w:sz w:val="15"/>
          <w:szCs w:val="15"/>
          <w:i w:val="1"/>
          <w:iCs w:val="1"/>
          <w:color w:val="auto"/>
        </w:rPr>
        <w:t>Additional Interest.</w:t>
      </w:r>
      <w:r>
        <w:rPr>
          <w:rFonts w:ascii="Times New Roman" w:cs="Times New Roman" w:eastAsia="Times New Roman" w:hAnsi="Times New Roman"/>
          <w:sz w:val="15"/>
          <w:szCs w:val="15"/>
          <w:color w:val="auto"/>
        </w:rPr>
        <w:t xml:space="preserve"> Notwithstanding anything in this Indenture or in the Notes to the contrary, to the extent the Company elects, the sole remedy for an Event of Default relating to the Company’s failure to comply with its obligations as set forth in Section 4.06(b) shall, for the first 365 days after the occurrence of such an Event of Default, consist exclusively of the right to receive Additional Interest on the Notes at a rate equal to (x) 0.25% per annum of the principal amount of the Notes outstanding for each day during the first 180 days during which such Event of Default is continuing beginning on, and including, the date on which such Event of Default occurs, and (y)</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5"/>
          <w:szCs w:val="15"/>
          <w:color w:val="auto"/>
        </w:rPr>
        <w:t>0.50% per annum of the principal amount of the Notes outstanding from the 181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5"/>
          <w:szCs w:val="15"/>
          <w:color w:val="auto"/>
        </w:rPr>
        <w:t xml:space="preserve"> day to, and including, the 365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5"/>
          <w:szCs w:val="15"/>
          <w:color w:val="auto"/>
        </w:rPr>
        <w:t xml:space="preserve"> day following the occurrence of such Event of Default, as long as such Event of Default is continuing. Subject to the last paragraph of this Section 6.03, Additional Interest payable pursuant to this Section 6.03 shall be in addition to, not in lieu of, any Additional Interest payable pursuant to Section 4.06(d). If the Company so elects, such Additional Interest shall be payable in cash in the same manner and on the same dates as the stated interest payable on the Notes. On the 366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5"/>
          <w:szCs w:val="15"/>
          <w:color w:val="auto"/>
        </w:rPr>
        <w:t xml:space="preserve"> day after such Event of Default (if the Event of Default relating to the Company’s failure to comply with</w:t>
      </w:r>
    </w:p>
    <w:p>
      <w:pPr>
        <w:spacing w:after="0" w:line="2" w:lineRule="exact"/>
        <w:rPr>
          <w:sz w:val="20"/>
          <w:szCs w:val="20"/>
          <w:color w:val="auto"/>
        </w:rPr>
      </w:pPr>
    </w:p>
    <w:p>
      <w:pPr>
        <w:jc w:val="both"/>
        <w:ind w:right="20"/>
        <w:spacing w:after="0" w:line="229" w:lineRule="auto"/>
        <w:rPr>
          <w:sz w:val="20"/>
          <w:szCs w:val="20"/>
          <w:color w:val="auto"/>
        </w:rPr>
      </w:pPr>
      <w:r>
        <w:rPr>
          <w:rFonts w:ascii="Times New Roman" w:cs="Times New Roman" w:eastAsia="Times New Roman" w:hAnsi="Times New Roman"/>
          <w:sz w:val="16"/>
          <w:szCs w:val="16"/>
          <w:color w:val="auto"/>
        </w:rPr>
        <w:t>its obligations as set forth in Section 4.06(b) is not cured or waived prior to such 366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day), the Notes shall be immediately subject to acceleration in accordance with Section 6.02. The provisions of this paragraph will not affect the rights of Holders in the event of the occurrence of any Event of Default other than the Company’s failure to comply with its obligations as set forth in Section 4.06(b). In the event the Company does not elect to pay Additional Interest following an Event of Default in accordance with this Section 6.03 or the Company elected to make such payment but does not pay the Additional Interest when due, the Notes shall be immediately subject to acceleration as provided in Section 6.02.</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0" w:name="page61"/>
    <w:bookmarkEnd w:id="60"/>
    <w:p>
      <w:pPr>
        <w:jc w:val="both"/>
        <w:ind w:firstLine="382"/>
        <w:spacing w:after="0" w:line="259" w:lineRule="auto"/>
        <w:rPr>
          <w:sz w:val="20"/>
          <w:szCs w:val="20"/>
          <w:color w:val="auto"/>
        </w:rPr>
      </w:pPr>
      <w:r>
        <w:rPr>
          <w:rFonts w:ascii="Times New Roman" w:cs="Times New Roman" w:eastAsia="Times New Roman" w:hAnsi="Times New Roman"/>
          <w:sz w:val="16"/>
          <w:szCs w:val="16"/>
          <w:color w:val="auto"/>
        </w:rPr>
        <w:t>In order to elect to pay Additional Interest as the sole remedy during the first 365 days after the occurrence of any Event of Default relating to the Company’s failure to comply with its obligations as set forth in Section 4.06(b) in accordance with the immediately preceding paragraph, the Company must notify all Holders of the Notes, the Trustee and the Paying Agent in writing of such election prior to the beginning of such 365-day period. Upon the failure to timely give such notice, the Notes shall be immediately subject to acceleration as provided in Section 6.02.</w:t>
      </w:r>
    </w:p>
    <w:p>
      <w:pPr>
        <w:spacing w:after="0" w:line="162"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6"/>
          <w:szCs w:val="16"/>
          <w:color w:val="auto"/>
        </w:rPr>
        <w:t>In no event shall Additional Interest payable at the Company’s election for failure to comply with its obligations as set forth in Section 4.06(b) as set forth in this Section 6.03, together with any Additional Interest that may accrue as a result of the Company’s failure to timely file any document or report that the Company is required to file with the Commission pursuant to Section 13 or 15(d) of the Exchange Act, as applicable (after giving effect to all applicable grace periods under the Exchange Act and other than reports on Form 8-K), pursuant to Section 4.06(d), accrue at a rate in excess of 0.50% per annum pursuant to this Indenture, regardless of the number of events or circumstances giving rise to the requirement to pay such Additional Interest. The Trustee shall have no duty to calculate or verify the calculation of Additional Interest.</w:t>
      </w:r>
    </w:p>
    <w:p>
      <w:pPr>
        <w:spacing w:after="0" w:line="160"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6"/>
          <w:szCs w:val="16"/>
          <w:color w:val="auto"/>
        </w:rPr>
        <w:t xml:space="preserve">Section 6.04. </w:t>
      </w:r>
      <w:r>
        <w:rPr>
          <w:rFonts w:ascii="Times New Roman" w:cs="Times New Roman" w:eastAsia="Times New Roman" w:hAnsi="Times New Roman"/>
          <w:sz w:val="16"/>
          <w:szCs w:val="16"/>
          <w:i w:val="1"/>
          <w:iCs w:val="1"/>
          <w:color w:val="auto"/>
        </w:rPr>
        <w:t>Payments of Notes on Default; Suit Therefor.</w:t>
      </w:r>
      <w:r>
        <w:rPr>
          <w:rFonts w:ascii="Times New Roman" w:cs="Times New Roman" w:eastAsia="Times New Roman" w:hAnsi="Times New Roman"/>
          <w:sz w:val="16"/>
          <w:szCs w:val="16"/>
          <w:color w:val="auto"/>
        </w:rPr>
        <w:t xml:space="preserve"> If an Event of Default described in clause (a) or (b) of Section 6.01 shall have occurred and be continuing, the Company shall, upon demand of the Trustee, pay to the Trustee, for the benefit of the Holders of the Notes, the whole amount then due and payable on the Notes for principal and interest, if any, with interest on any overdue principal and interest, if any, at the rate borne by the Notes at such time and, in addition thereto, such further amount as shall be sufficient to cover any amounts due to the Trustee under Section 7.06. If the Company shall fail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the Notes and collect the moneys adjudged or decreed to be payable in the manner provided by law out of the property of the Company or any other obligor upon the Notes, wherever situated.</w:t>
      </w:r>
    </w:p>
    <w:p>
      <w:pPr>
        <w:spacing w:after="0" w:line="163" w:lineRule="exact"/>
        <w:rPr>
          <w:sz w:val="20"/>
          <w:szCs w:val="20"/>
          <w:color w:val="auto"/>
        </w:rPr>
      </w:pPr>
    </w:p>
    <w:p>
      <w:pPr>
        <w:jc w:val="both"/>
        <w:ind w:firstLine="382"/>
        <w:spacing w:after="0" w:line="251" w:lineRule="auto"/>
        <w:rPr>
          <w:sz w:val="20"/>
          <w:szCs w:val="20"/>
          <w:color w:val="auto"/>
        </w:rPr>
      </w:pPr>
      <w:r>
        <w:rPr>
          <w:rFonts w:ascii="Times New Roman" w:cs="Times New Roman" w:eastAsia="Times New Roman" w:hAnsi="Times New Roman"/>
          <w:sz w:val="16"/>
          <w:szCs w:val="16"/>
          <w:color w:val="auto"/>
        </w:rPr>
        <w:t>In the event there shall be pending proceedings for the bankruptcy or for the reorganization of the Company or any other obligor on the Notes under Title 11 of the United States Code, or any other applicable law, or in case a receiver, assignee or trustee in bankruptcy or reorganization, liquidator, sequestrator or similar official shall have been appointed for or taken possession of the Company or such other obligor, the property of the Company or such other obligor, or in the event of any other judicial proceedings relative to the Company or such other obligor upon the Notes, or to the creditors or property of the Company or such other obligor, the Trustee, irrespective of whether the principal of the Notes shall then be due and payable as therein expressed or by declaration or otherwise and irrespective of whether the Trustee shall have made any demand pursuant to the provisions of this Section 6.04, shall be entitled and empowered, by intervention in such proceedings or otherwise, to file and prove a claim or claims for the whole amount of principal and accrued and unpaid interest, if any, in respect of the Notes, and, in case of any judicial proceedings, to file such proofs of claim and other papers or documents and to take such other actions as it may deem necessary or advisable in order to have the claims of the Trustee (including any claim for the reasonable compensation, expenses, disbursements and advances of the Trustee, its agents and counsel) and of the Holders allowed in such judicial proceedings relative to the Company or any other obligor on the Notes, its or their creditors, or its or their property, and to collect and receive any monies or other property payable or deliverable on any such claims, and to distribute the same after the deduction of any amounts due to the Trustee under Section 7.06; and any receiver, assignee or trustee in bankruptcy or reorganization, liquidator, custodian or similar official is hereby authorized by each of the Holders to make such payments to the Trustee, as administrative expenses, and, in the event that the Trustee shall consent to the making of such payments directly to the Holders, to pay to the Trustee any amount due it for reasonable compensation, expenses, advances and disbursements, including agents and counsel fees, and including any other amounts due to the Trustee under Section 7.06, incurred by it up to the date of such distribution. To the extent that such payment of reasonable compensation, expenses, advances and disbursements out of the estate in any such proceedings shall be denied for any reason, payment of the same shall be secured by a lien on, and shall be paid out of, any and all distributions, dividends, monies, securities and other property that the Holders of the Notes may be entitled to receive in such proceedings, whether in liquidation or under any plan of reorganization or arrangement or otherwise.</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1" w:name="page62"/>
    <w:bookmarkEnd w:id="61"/>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Nothing herein contained shall be deemed to authorize the Trustee to authorize or consent to or accept or adopt on behalf of any Holder any plan of reorganization, arrangement, adjustment or composition affecting such Holder or the rights of any Holder thereof, or to authorize the Trustee to vote in respect of the claim of any Holder in any such proceeding.</w:t>
      </w:r>
    </w:p>
    <w:p>
      <w:pPr>
        <w:spacing w:after="0" w:line="155"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6"/>
          <w:szCs w:val="16"/>
          <w:color w:val="auto"/>
        </w:rPr>
        <w:t>All rights of action and of asserting claims under this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Notes.</w:t>
      </w:r>
    </w:p>
    <w:p>
      <w:pPr>
        <w:spacing w:after="0" w:line="162"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In any proceedings brought by the Trustee (and in any proceedings involving the interpretation of any provision of this Indenture to which the Trustee shall be a party) the Trustee shall be held to represent all the Holders of the Notes, and it shall not be necessary to make any Holders of the Notes parties to any such proceedings.</w:t>
      </w:r>
    </w:p>
    <w:p>
      <w:pPr>
        <w:spacing w:after="0" w:line="144"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6"/>
          <w:szCs w:val="16"/>
          <w:color w:val="auto"/>
        </w:rPr>
        <w:t>In case the Trustee shall have proceeded to enforce any right under this Indenture and such proceedings shall have been discontinued or abandoned because of any waiver pursuant to Section 6.09 or any rescission and annulment pursuant to Section 6.02 or for any other reason or shall have been determined adversely to the Trustee, then and in every such case the Company, the Holders and the Trustee shall, subject to any determination in such proceeding, be restored respectively to their several positions and rights hereunder, and all rights, remedies and powers of the Company, the Holders and the Trustee shall continue as though no such proceeding had been instituted.</w:t>
      </w:r>
    </w:p>
    <w:p>
      <w:pPr>
        <w:spacing w:after="0" w:line="160" w:lineRule="exact"/>
        <w:rPr>
          <w:sz w:val="20"/>
          <w:szCs w:val="20"/>
          <w:color w:val="auto"/>
        </w:rPr>
      </w:pPr>
    </w:p>
    <w:p>
      <w:pPr>
        <w:jc w:val="both"/>
        <w:ind w:right="20" w:firstLine="382"/>
        <w:spacing w:after="0" w:line="266" w:lineRule="auto"/>
        <w:rPr>
          <w:sz w:val="20"/>
          <w:szCs w:val="20"/>
          <w:color w:val="auto"/>
        </w:rPr>
      </w:pPr>
      <w:r>
        <w:rPr>
          <w:rFonts w:ascii="Times New Roman" w:cs="Times New Roman" w:eastAsia="Times New Roman" w:hAnsi="Times New Roman"/>
          <w:sz w:val="16"/>
          <w:szCs w:val="16"/>
          <w:color w:val="auto"/>
        </w:rPr>
        <w:t xml:space="preserve">Section 6.05. </w:t>
      </w:r>
      <w:r>
        <w:rPr>
          <w:rFonts w:ascii="Times New Roman" w:cs="Times New Roman" w:eastAsia="Times New Roman" w:hAnsi="Times New Roman"/>
          <w:sz w:val="16"/>
          <w:szCs w:val="16"/>
          <w:i w:val="1"/>
          <w:iCs w:val="1"/>
          <w:color w:val="auto"/>
        </w:rPr>
        <w:t>Application of Monies Collected by Trustee.</w:t>
      </w:r>
      <w:r>
        <w:rPr>
          <w:rFonts w:ascii="Times New Roman" w:cs="Times New Roman" w:eastAsia="Times New Roman" w:hAnsi="Times New Roman"/>
          <w:sz w:val="16"/>
          <w:szCs w:val="16"/>
          <w:color w:val="auto"/>
        </w:rPr>
        <w:t xml:space="preserve"> Any monies or property collected by the Trustee pursuant to this Article 6 with respect to the Notes shall be applied in the following order, at the date or dates fixed by the Trustee for the distribution of such monies, upon presentation of the several Notes, and stamping thereon the payment, if only partially paid, and upon surrender thereof, if fully paid:</w:t>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color w:val="auto"/>
        </w:rPr>
        <w:t>First</w:t>
      </w:r>
      <w:r>
        <w:rPr>
          <w:rFonts w:ascii="Times New Roman" w:cs="Times New Roman" w:eastAsia="Times New Roman" w:hAnsi="Times New Roman"/>
          <w:sz w:val="16"/>
          <w:szCs w:val="16"/>
          <w:color w:val="auto"/>
        </w:rPr>
        <w:t>, to the payment of all amounts due the Trustee (in each of its capacities under this Indenture) hereunder;</w:t>
      </w:r>
    </w:p>
    <w:p>
      <w:pPr>
        <w:spacing w:after="0" w:line="198" w:lineRule="exact"/>
        <w:rPr>
          <w:sz w:val="20"/>
          <w:szCs w:val="20"/>
          <w:color w:val="auto"/>
        </w:rPr>
      </w:pPr>
    </w:p>
    <w:p>
      <w:pPr>
        <w:jc w:val="both"/>
        <w:ind w:firstLine="382"/>
        <w:spacing w:after="0" w:line="266" w:lineRule="auto"/>
        <w:rPr>
          <w:sz w:val="20"/>
          <w:szCs w:val="20"/>
          <w:color w:val="auto"/>
        </w:rPr>
      </w:pPr>
      <w:r>
        <w:rPr>
          <w:rFonts w:ascii="Times New Roman" w:cs="Times New Roman" w:eastAsia="Times New Roman" w:hAnsi="Times New Roman"/>
          <w:sz w:val="16"/>
          <w:szCs w:val="16"/>
          <w:b w:val="1"/>
          <w:bCs w:val="1"/>
          <w:color w:val="auto"/>
        </w:rPr>
        <w:t>Second</w:t>
      </w:r>
      <w:r>
        <w:rPr>
          <w:rFonts w:ascii="Times New Roman" w:cs="Times New Roman" w:eastAsia="Times New Roman" w:hAnsi="Times New Roman"/>
          <w:sz w:val="16"/>
          <w:szCs w:val="16"/>
          <w:color w:val="auto"/>
        </w:rPr>
        <w:t>, in case the principal of the outstanding Notes shall not have become due and be unpaid, to the payment of interest on, and any cash due upon conversion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Notes in default in the order of the date due of the payments of such interest and cash due upon conversion, as the case may be, with interest (to the extent that such interest has been collected by the Trustee) upon such overdue payments at the rate borne by the Notes at such time, such payments to be made ratably to the Persons entitled thereto;</w:t>
      </w:r>
    </w:p>
    <w:p>
      <w:pPr>
        <w:spacing w:after="0" w:line="153" w:lineRule="exact"/>
        <w:rPr>
          <w:sz w:val="20"/>
          <w:szCs w:val="20"/>
          <w:color w:val="auto"/>
        </w:rPr>
      </w:pPr>
    </w:p>
    <w:p>
      <w:pPr>
        <w:jc w:val="both"/>
        <w:ind w:firstLine="382"/>
        <w:spacing w:after="0" w:line="254" w:lineRule="auto"/>
        <w:rPr>
          <w:sz w:val="20"/>
          <w:szCs w:val="20"/>
          <w:color w:val="auto"/>
        </w:rPr>
      </w:pPr>
      <w:r>
        <w:rPr>
          <w:rFonts w:ascii="Times New Roman" w:cs="Times New Roman" w:eastAsia="Times New Roman" w:hAnsi="Times New Roman"/>
          <w:sz w:val="16"/>
          <w:szCs w:val="16"/>
          <w:b w:val="1"/>
          <w:bCs w:val="1"/>
          <w:color w:val="auto"/>
        </w:rPr>
        <w:t>Third</w:t>
      </w:r>
      <w:r>
        <w:rPr>
          <w:rFonts w:ascii="Times New Roman" w:cs="Times New Roman" w:eastAsia="Times New Roman" w:hAnsi="Times New Roman"/>
          <w:sz w:val="16"/>
          <w:szCs w:val="16"/>
          <w:color w:val="auto"/>
        </w:rPr>
        <w:t>, in case the principal of the outstanding Notes shall have become due, by declaration or otherwise, and be unpaid to the payment of the whole amount (including, if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applicable, the payment of the Redemption Price and the Fundamental Change Repurchase Price and any cash due upon conversion) then owing and unpaid upon the Notes for principal and interest, if any, with interest on the overdue principal and, to the extent that such interest has been collected by the Trustee, upon overdue installments of interest at the rate borne by the Notes at such time, and in case such monies shall be insufficient to pay in full the whole amounts so due and unpaid upon the Notes, then to the payment of such principal (including, if applicable, the Redemption Price and the Fundamental Change Repurchase Price and any cash due upon conversion) and interest without preference or priority of principal over interest, or of interest over principal or of any installment of interest over any other installment of interest, or of any Note over any other Note, ratably to the aggregate of such principal (including, if applicable, the Redemption Price and the Fundamental Change Repurchase Price and any cash due upon conversion) and accrued and unpaid interest; and</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color w:val="auto"/>
        </w:rPr>
        <w:t>Fourth</w:t>
      </w:r>
      <w:r>
        <w:rPr>
          <w:rFonts w:ascii="Times New Roman" w:cs="Times New Roman" w:eastAsia="Times New Roman" w:hAnsi="Times New Roman"/>
          <w:sz w:val="16"/>
          <w:szCs w:val="16"/>
          <w:color w:val="auto"/>
        </w:rPr>
        <w:t>, to the payment of the remainder, if any, to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2" w:name="page63"/>
    <w:bookmarkEnd w:id="62"/>
    <w:p>
      <w:pPr>
        <w:jc w:val="both"/>
        <w:ind w:firstLine="382"/>
        <w:spacing w:after="0" w:line="260" w:lineRule="auto"/>
        <w:rPr>
          <w:sz w:val="20"/>
          <w:szCs w:val="20"/>
          <w:color w:val="auto"/>
        </w:rPr>
      </w:pPr>
      <w:r>
        <w:rPr>
          <w:rFonts w:ascii="Times New Roman" w:cs="Times New Roman" w:eastAsia="Times New Roman" w:hAnsi="Times New Roman"/>
          <w:sz w:val="16"/>
          <w:szCs w:val="16"/>
          <w:color w:val="auto"/>
        </w:rPr>
        <w:t xml:space="preserve">Section 6.06. </w:t>
      </w:r>
      <w:r>
        <w:rPr>
          <w:rFonts w:ascii="Times New Roman" w:cs="Times New Roman" w:eastAsia="Times New Roman" w:hAnsi="Times New Roman"/>
          <w:sz w:val="16"/>
          <w:szCs w:val="16"/>
          <w:i w:val="1"/>
          <w:iCs w:val="1"/>
          <w:color w:val="auto"/>
        </w:rPr>
        <w:t>Proceedings by Holders.</w:t>
      </w:r>
      <w:r>
        <w:rPr>
          <w:rFonts w:ascii="Times New Roman" w:cs="Times New Roman" w:eastAsia="Times New Roman" w:hAnsi="Times New Roman"/>
          <w:sz w:val="16"/>
          <w:szCs w:val="16"/>
          <w:color w:val="auto"/>
        </w:rPr>
        <w:t xml:space="preserve"> Except to enforce the right to receive payment of principal (including, if applicable, the Redemption Price and the Fundamental Change Repurchase Price) or interest when due, or the right to receive payment or delivery of the consideration due upon conversion, no Holder of any Note shall have any right by virtue of or by availing of any provision of this Indenture or the Notes to institute any suit, action or proceeding in equity or at law upon or under or with respect to this Indenture, or for the appointment of a receiver, trustee, liquidator, custodian or other similar official, or for any other remedy hereunder, unless:</w:t>
      </w:r>
    </w:p>
    <w:p>
      <w:pPr>
        <w:spacing w:after="0" w:line="161" w:lineRule="exact"/>
        <w:rPr>
          <w:sz w:val="20"/>
          <w:szCs w:val="20"/>
          <w:color w:val="auto"/>
        </w:rPr>
      </w:pPr>
    </w:p>
    <w:p>
      <w:pPr>
        <w:ind w:left="980" w:hanging="220"/>
        <w:spacing w:after="0"/>
        <w:tabs>
          <w:tab w:leader="none" w:pos="98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Holder previously shall have given to the Trustee written notice of an Event of Default and of the continuance thereof, as herein provided;</w:t>
      </w:r>
    </w:p>
    <w:p>
      <w:pPr>
        <w:spacing w:after="0" w:line="198" w:lineRule="exact"/>
        <w:rPr>
          <w:rFonts w:ascii="Times New Roman" w:cs="Times New Roman" w:eastAsia="Times New Roman" w:hAnsi="Times New Roman"/>
          <w:sz w:val="16"/>
          <w:szCs w:val="16"/>
          <w:color w:val="auto"/>
        </w:rPr>
      </w:pPr>
    </w:p>
    <w:p>
      <w:pPr>
        <w:ind w:right="20" w:firstLine="760"/>
        <w:spacing w:after="0" w:line="280" w:lineRule="auto"/>
        <w:tabs>
          <w:tab w:leader="none" w:pos="99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Holders of at least 25% in aggregate principal amount of the Notes then outstanding shall have made written request upon the Trustee to institute such action, suit or proceeding in its own name as Trustee hereunder;</w:t>
      </w:r>
    </w:p>
    <w:p>
      <w:pPr>
        <w:spacing w:after="0" w:line="144" w:lineRule="exact"/>
        <w:rPr>
          <w:rFonts w:ascii="Times New Roman" w:cs="Times New Roman" w:eastAsia="Times New Roman" w:hAnsi="Times New Roman"/>
          <w:sz w:val="16"/>
          <w:szCs w:val="16"/>
          <w:color w:val="auto"/>
        </w:rPr>
      </w:pPr>
    </w:p>
    <w:p>
      <w:pPr>
        <w:ind w:left="980" w:hanging="220"/>
        <w:spacing w:after="0"/>
        <w:tabs>
          <w:tab w:leader="none" w:pos="98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Holders shall have offered to the Trustee such security or indemnity reasonably satisfactory to it against any losses, liabilities, costs, or expenses;</w:t>
      </w:r>
    </w:p>
    <w:p>
      <w:pPr>
        <w:spacing w:after="0" w:line="198" w:lineRule="exact"/>
        <w:rPr>
          <w:rFonts w:ascii="Times New Roman" w:cs="Times New Roman" w:eastAsia="Times New Roman" w:hAnsi="Times New Roman"/>
          <w:sz w:val="16"/>
          <w:szCs w:val="16"/>
          <w:color w:val="auto"/>
        </w:rPr>
      </w:pPr>
    </w:p>
    <w:p>
      <w:pPr>
        <w:ind w:right="20" w:firstLine="760"/>
        <w:spacing w:after="0" w:line="280" w:lineRule="auto"/>
        <w:tabs>
          <w:tab w:leader="none" w:pos="99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for 60 days after its receipt of such written notice, request and offer of such security or indemnity, shall have neglected or refused to institute any such action, suit or proceeding; and</w:t>
      </w:r>
    </w:p>
    <w:p>
      <w:pPr>
        <w:spacing w:after="0" w:line="144" w:lineRule="exact"/>
        <w:rPr>
          <w:rFonts w:ascii="Times New Roman" w:cs="Times New Roman" w:eastAsia="Times New Roman" w:hAnsi="Times New Roman"/>
          <w:sz w:val="16"/>
          <w:szCs w:val="16"/>
          <w:color w:val="auto"/>
        </w:rPr>
      </w:pPr>
    </w:p>
    <w:p>
      <w:pPr>
        <w:ind w:firstLine="760"/>
        <w:spacing w:after="0" w:line="280" w:lineRule="auto"/>
        <w:tabs>
          <w:tab w:leader="none" w:pos="981"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direction that, in the opinion of the Trustee, is inconsistent with such written request shall have been given to the Trustee by the Holders of a majority of the aggregate principal amount of the Notes then outstanding within such 60-day period pursuant to Section 6.09,</w:t>
      </w:r>
    </w:p>
    <w:p>
      <w:pPr>
        <w:spacing w:after="0" w:line="14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it being understood and intended, and being expressly covenanted by the taker and Holder of every Note with every other taker and Holder and the Trustee that no one or more Holders shall have any right in any manner whatever by virtue of or by availing of any provision of this Indenture to affect, disturb or prejudice the rights of any other Holder, or to obtain or seek to obtain priority over or preference to any other such Holder (it being understood that the Trustee does not have an affirmative duty to ascertain whether or not such actions or forbearances are unduly prejudicial to such Holder), or to enforce any right under this Indenture, except in the manner herein provided and for the equal, ratable and common benefit of all Holders (except as otherwise provided herein). For the protection and enforcement of this Section 6.06, each and every Holder and the Trustee shall be entitled to such relief as can be given either at law or in equity.</w:t>
      </w:r>
    </w:p>
    <w:p>
      <w:pPr>
        <w:spacing w:after="0" w:line="165" w:lineRule="exact"/>
        <w:rPr>
          <w:sz w:val="20"/>
          <w:szCs w:val="20"/>
          <w:color w:val="auto"/>
        </w:rPr>
      </w:pPr>
    </w:p>
    <w:p>
      <w:pPr>
        <w:jc w:val="both"/>
        <w:ind w:right="20" w:firstLine="382"/>
        <w:spacing w:after="0" w:line="259" w:lineRule="auto"/>
        <w:rPr>
          <w:sz w:val="20"/>
          <w:szCs w:val="20"/>
          <w:color w:val="auto"/>
        </w:rPr>
      </w:pPr>
      <w:r>
        <w:rPr>
          <w:rFonts w:ascii="Times New Roman" w:cs="Times New Roman" w:eastAsia="Times New Roman" w:hAnsi="Times New Roman"/>
          <w:sz w:val="16"/>
          <w:szCs w:val="16"/>
          <w:color w:val="auto"/>
        </w:rPr>
        <w:t>Notwithstanding any other provision of this Indenture and any provision of any Note, each Holder shall have the right to institute suit for the enforcement of its right to receive payment or delivery, as the case may be, of (x) the principal (including the Redemption Price and the Fundamental Change Repurchase Price, if applicable) of, (y) accrued and unpaid interest, if any, on, and (z) the consideration due upon conversion of, such Note, on or after the respective due dates expressed or provided for in such Note or in this Indenture, or to institute suit for the enforcement of any such payment or delivery, as the case may be.</w:t>
      </w:r>
    </w:p>
    <w:p>
      <w:pPr>
        <w:spacing w:after="0" w:line="160" w:lineRule="exact"/>
        <w:rPr>
          <w:sz w:val="20"/>
          <w:szCs w:val="20"/>
          <w:color w:val="auto"/>
        </w:rPr>
      </w:pPr>
    </w:p>
    <w:p>
      <w:pPr>
        <w:jc w:val="both"/>
        <w:ind w:firstLine="382"/>
        <w:spacing w:after="0" w:line="260" w:lineRule="auto"/>
        <w:rPr>
          <w:sz w:val="20"/>
          <w:szCs w:val="20"/>
          <w:color w:val="auto"/>
        </w:rPr>
      </w:pPr>
      <w:r>
        <w:rPr>
          <w:rFonts w:ascii="Times New Roman" w:cs="Times New Roman" w:eastAsia="Times New Roman" w:hAnsi="Times New Roman"/>
          <w:sz w:val="16"/>
          <w:szCs w:val="16"/>
          <w:color w:val="auto"/>
        </w:rPr>
        <w:t xml:space="preserve">Section 6.07. </w:t>
      </w:r>
      <w:r>
        <w:rPr>
          <w:rFonts w:ascii="Times New Roman" w:cs="Times New Roman" w:eastAsia="Times New Roman" w:hAnsi="Times New Roman"/>
          <w:sz w:val="16"/>
          <w:szCs w:val="16"/>
          <w:i w:val="1"/>
          <w:iCs w:val="1"/>
          <w:color w:val="auto"/>
        </w:rPr>
        <w:t>Proceedings by Trustee.</w:t>
      </w:r>
      <w:r>
        <w:rPr>
          <w:rFonts w:ascii="Times New Roman" w:cs="Times New Roman" w:eastAsia="Times New Roman" w:hAnsi="Times New Roman"/>
          <w:sz w:val="16"/>
          <w:szCs w:val="16"/>
          <w:color w:val="auto"/>
        </w:rPr>
        <w:t xml:space="preserve"> In case of an Event of Default, the Trustee may in its discretion proceed to protect and enforce the rights vested in it by this Indenture by such appropriate judicial proceedings as are necessary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59"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6"/>
          <w:szCs w:val="16"/>
          <w:color w:val="auto"/>
        </w:rPr>
        <w:t xml:space="preserve">Section 6.08. </w:t>
      </w:r>
      <w:r>
        <w:rPr>
          <w:rFonts w:ascii="Times New Roman" w:cs="Times New Roman" w:eastAsia="Times New Roman" w:hAnsi="Times New Roman"/>
          <w:sz w:val="16"/>
          <w:szCs w:val="16"/>
          <w:i w:val="1"/>
          <w:iCs w:val="1"/>
          <w:color w:val="auto"/>
        </w:rPr>
        <w:t>Remedies Cumulative and Continuing.</w:t>
      </w:r>
      <w:r>
        <w:rPr>
          <w:rFonts w:ascii="Times New Roman" w:cs="Times New Roman" w:eastAsia="Times New Roman" w:hAnsi="Times New Roman"/>
          <w:sz w:val="16"/>
          <w:szCs w:val="16"/>
          <w:color w:val="auto"/>
        </w:rPr>
        <w:t xml:space="preserve"> Except as provided in the last paragraph of Section 2.06, all powers and remedies given by this Article 6 to the Trustee or to the Holders shall, to the extent permitted by law, be deemed cumulative and not exclusive of any thereof or of any other powers and remedies available to the Trustee or the Holders of the Notes, by judicial proceedings or otherwise, to enforce the performance or observance of the covenants and agreements contained in this Indenture, and no delay or omission of the Trustee or of any Holder of any of the Notes to exercise any right or power accruing upon any Default or Event of Default shall impair any such right or power, or shall be construed to be a waiver of any such Default or Event of Default or any acquiescence therein; and, subject to the provisions of Section 6.06, every power and remedy given by this Article 6 or by law to the Trustee or to the Holders may be exercised from time to time, and as often as shall be deemed expedient, by the Trustee or by the Holders.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63" w:name="page64"/>
    <w:bookmarkEnd w:id="63"/>
    <w:p>
      <w:pPr>
        <w:jc w:val="both"/>
        <w:ind w:firstLine="382"/>
        <w:spacing w:after="0" w:line="255" w:lineRule="auto"/>
        <w:rPr>
          <w:sz w:val="20"/>
          <w:szCs w:val="20"/>
          <w:color w:val="auto"/>
        </w:rPr>
      </w:pPr>
      <w:r>
        <w:rPr>
          <w:rFonts w:ascii="Times New Roman" w:cs="Times New Roman" w:eastAsia="Times New Roman" w:hAnsi="Times New Roman"/>
          <w:sz w:val="16"/>
          <w:szCs w:val="16"/>
          <w:color w:val="auto"/>
        </w:rPr>
        <w:t xml:space="preserve">Section 6.09. </w:t>
      </w:r>
      <w:r>
        <w:rPr>
          <w:rFonts w:ascii="Times New Roman" w:cs="Times New Roman" w:eastAsia="Times New Roman" w:hAnsi="Times New Roman"/>
          <w:sz w:val="16"/>
          <w:szCs w:val="16"/>
          <w:i w:val="1"/>
          <w:iCs w:val="1"/>
          <w:color w:val="auto"/>
        </w:rPr>
        <w:t>Direction of Proceedings and Waiver of Defaults by Majority of Holders.</w:t>
      </w:r>
      <w:r>
        <w:rPr>
          <w:rFonts w:ascii="Times New Roman" w:cs="Times New Roman" w:eastAsia="Times New Roman" w:hAnsi="Times New Roman"/>
          <w:sz w:val="16"/>
          <w:szCs w:val="16"/>
          <w:color w:val="auto"/>
        </w:rPr>
        <w:t xml:space="preserve"> Subject to the Trustee’s right to receive security or indemnity from the relevant Holders as described herein, the Holders of a majority of the aggregate principal amount of the Notes at the time outstanding determined in accordance with Section 8.04 shall have the right to direct the time, method and place of conducting any proceeding for any remedy available to the Trustee or exercising any trust or power conferred on the Trustee with respect to the Notes;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(a) such direction shall not be in conflict with any rule of law or with this Indenture, and (b) the Trustee may take any other action deemed proper by the Trustee that is not inconsistent with such direction. The Trustee may refuse to follow any direction that it determines is unduly prejudicial to the rights of any other Holder (it being understood that the Trustee does not have an affirmative duty to ascertain whether or not such directions are unduly prejudicial to such Holder) or that would involve the Trustee in personal liability or that conflicts with applicable law or this Indenture.</w:t>
      </w:r>
    </w:p>
    <w:p>
      <w:pPr>
        <w:spacing w:after="0" w:line="163" w:lineRule="exact"/>
        <w:rPr>
          <w:sz w:val="20"/>
          <w:szCs w:val="20"/>
          <w:color w:val="auto"/>
        </w:rPr>
      </w:pPr>
    </w:p>
    <w:p>
      <w:pPr>
        <w:jc w:val="both"/>
        <w:ind w:firstLine="382"/>
        <w:spacing w:after="0" w:line="252" w:lineRule="auto"/>
        <w:rPr>
          <w:sz w:val="20"/>
          <w:szCs w:val="20"/>
          <w:color w:val="auto"/>
        </w:rPr>
      </w:pPr>
      <w:r>
        <w:rPr>
          <w:rFonts w:ascii="Times New Roman" w:cs="Times New Roman" w:eastAsia="Times New Roman" w:hAnsi="Times New Roman"/>
          <w:sz w:val="16"/>
          <w:szCs w:val="16"/>
          <w:color w:val="auto"/>
        </w:rPr>
        <w:t>The Holders of a majority in aggregate principal amount of the Notes at the time outstanding (including, without limitation, additional Notes and PIK Notes) determined in accordance with Section 8.04 may on behalf of the Holders of all of the Notes (x) waive any past Default or Event of Default hereunder and its consequences except any continuing defaults relating to (i) a default in the payment of accrued and unpaid interest, if any, on, or the principal (including any Redemption Price and any Fundamental Change Repurchase Price) of, the Notes when due that has not been cured pursuant to the provisions of Section 6.01, (ii) a failure by the Company to pay or deliver, as the case may be, the consideration due upon conversion of the Notes or (iii) a default in respect of a covenant or provision hereof which under Article 10 cannot be modified or amended without the consent of each Holder of an outstanding Note affected; and (y) rescind any resulting acceleration of the Notes and its consequences if (i) such rescission would not conflict with any judgment or decree of a court of competent jurisdiction and (ii) all existing Events of Default (other than nonpayment of the principal of, and interest on, the Notes that have become due solely by such acceleration) have been cured or waived. Upon any such waiver the Company, the Trustee and the Holders of the Notes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Section 6.09, said Default or Event of Default shall for all purposes of the Notes and this Indenture be deemed to have been cured and to be not continuing; but no such waiver shall extend to any subsequent or other Default or Event of Default or impair any right consequent thereon.</w:t>
      </w:r>
    </w:p>
    <w:p>
      <w:pPr>
        <w:spacing w:after="0" w:line="165"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6"/>
          <w:szCs w:val="16"/>
          <w:color w:val="auto"/>
        </w:rPr>
        <w:t xml:space="preserve">Section 6.10. </w:t>
      </w:r>
      <w:r>
        <w:rPr>
          <w:rFonts w:ascii="Times New Roman" w:cs="Times New Roman" w:eastAsia="Times New Roman" w:hAnsi="Times New Roman"/>
          <w:sz w:val="16"/>
          <w:szCs w:val="16"/>
          <w:i w:val="1"/>
          <w:iCs w:val="1"/>
          <w:color w:val="auto"/>
        </w:rPr>
        <w:t>Notice of Defaults.</w:t>
      </w:r>
      <w:r>
        <w:rPr>
          <w:rFonts w:ascii="Times New Roman" w:cs="Times New Roman" w:eastAsia="Times New Roman" w:hAnsi="Times New Roman"/>
          <w:sz w:val="16"/>
          <w:szCs w:val="16"/>
          <w:color w:val="auto"/>
        </w:rPr>
        <w:t xml:space="preserve"> The Trustee shall, within 90 days after a Responsible Officer obtains actual knowledge of the occurrence and continuance of a Default, deliver to all Holders notice of all Defaults known to a Responsible Officer, unless such Defaults shall have been cured or waived before the giving of such notice;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except in the case of a Default in the payment of the principal of (including the Redemption Price and the Fundamental Change Repurchase Price, if applicable), or accrued and unpaid interest on, any of the Notes or a Default in the payment or delivery of the consideration due upon conversion, the Trustee shall be protected in withholding such notice if and so long as a Responsible Officer determines in good faith that the withholding of such notice is in the interests of the Holders.</w:t>
      </w:r>
    </w:p>
    <w:p>
      <w:pPr>
        <w:spacing w:after="0" w:line="162" w:lineRule="exact"/>
        <w:rPr>
          <w:sz w:val="20"/>
          <w:szCs w:val="20"/>
          <w:color w:val="auto"/>
        </w:rPr>
      </w:pPr>
    </w:p>
    <w:p>
      <w:pPr>
        <w:jc w:val="both"/>
        <w:ind w:firstLine="382"/>
        <w:spacing w:after="0" w:line="253" w:lineRule="auto"/>
        <w:rPr>
          <w:sz w:val="20"/>
          <w:szCs w:val="20"/>
          <w:color w:val="auto"/>
        </w:rPr>
      </w:pPr>
      <w:r>
        <w:rPr>
          <w:rFonts w:ascii="Times New Roman" w:cs="Times New Roman" w:eastAsia="Times New Roman" w:hAnsi="Times New Roman"/>
          <w:sz w:val="16"/>
          <w:szCs w:val="16"/>
          <w:color w:val="auto"/>
        </w:rPr>
        <w:t xml:space="preserve">Section 6.11. </w:t>
      </w:r>
      <w:r>
        <w:rPr>
          <w:rFonts w:ascii="Times New Roman" w:cs="Times New Roman" w:eastAsia="Times New Roman" w:hAnsi="Times New Roman"/>
          <w:sz w:val="16"/>
          <w:szCs w:val="16"/>
          <w:i w:val="1"/>
          <w:iCs w:val="1"/>
          <w:color w:val="auto"/>
        </w:rPr>
        <w:t>Undertaking to Pay Costs.</w:t>
      </w:r>
      <w:r>
        <w:rPr>
          <w:rFonts w:ascii="Times New Roman" w:cs="Times New Roman" w:eastAsia="Times New Roman" w:hAnsi="Times New Roman"/>
          <w:sz w:val="16"/>
          <w:szCs w:val="16"/>
          <w:color w:val="auto"/>
        </w:rPr>
        <w:t xml:space="preserve"> All parties to this Indenture agree, and each Holder of any Note by its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provisions of this Section 6.11 (to the extent permitted by law) shall not apply to any suit instituted by the Trustee, to any suit instituted by any Holder, or group of Holders, holding in the aggregate more than 10% in principal amount of the Notes at the time outstanding determined in accordance with Section 8.04, or to any suit instituted by any Holder for the enforcement of the payment of the principal of or accrued and unpaid interest, if any, on any Note (including, but not limited to, the Redemption Price and the Fundamental Change Repurchase Price, if applicable) on or after the due date expressed or provided for in such Note or to any suit for the enforcement of the right to convert any Note, or receive the consideration due upon conversion, in accordance with the provisions of Article 14.</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6"/>
          <w:szCs w:val="16"/>
          <w:color w:val="auto"/>
        </w:rPr>
        <w:t>ARTICLE 7</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w:t>
      </w:r>
      <w:r>
        <w:rPr>
          <w:rFonts w:ascii="Times New Roman" w:cs="Times New Roman" w:eastAsia="Times New Roman" w:hAnsi="Times New Roman"/>
          <w:sz w:val="10"/>
          <w:szCs w:val="10"/>
          <w:color w:val="auto"/>
        </w:rPr>
        <w:t>oncerning the</w:t>
      </w:r>
      <w:r>
        <w:rPr>
          <w:rFonts w:ascii="Times New Roman" w:cs="Times New Roman" w:eastAsia="Times New Roman" w:hAnsi="Times New Roman"/>
          <w:sz w:val="16"/>
          <w:szCs w:val="16"/>
          <w:color w:val="auto"/>
        </w:rPr>
        <w:t xml:space="preserve"> T</w:t>
      </w:r>
      <w:r>
        <w:rPr>
          <w:rFonts w:ascii="Times New Roman" w:cs="Times New Roman" w:eastAsia="Times New Roman" w:hAnsi="Times New Roman"/>
          <w:sz w:val="10"/>
          <w:szCs w:val="10"/>
          <w:color w:val="auto"/>
        </w:rPr>
        <w:t>rustee</w:t>
      </w:r>
    </w:p>
    <w:p>
      <w:pPr>
        <w:spacing w:after="0" w:line="180"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6"/>
          <w:szCs w:val="16"/>
          <w:color w:val="auto"/>
        </w:rPr>
        <w:t xml:space="preserve">Section 7.01. </w:t>
      </w:r>
      <w:r>
        <w:rPr>
          <w:rFonts w:ascii="Times New Roman" w:cs="Times New Roman" w:eastAsia="Times New Roman" w:hAnsi="Times New Roman"/>
          <w:sz w:val="16"/>
          <w:szCs w:val="16"/>
          <w:i w:val="1"/>
          <w:iCs w:val="1"/>
          <w:color w:val="auto"/>
        </w:rPr>
        <w:t>Duties and Responsibilities of Trustee.</w:t>
      </w:r>
      <w:r>
        <w:rPr>
          <w:rFonts w:ascii="Times New Roman" w:cs="Times New Roman" w:eastAsia="Times New Roman" w:hAnsi="Times New Roman"/>
          <w:sz w:val="16"/>
          <w:szCs w:val="16"/>
          <w:color w:val="auto"/>
        </w:rPr>
        <w:t xml:space="preserve"> The Trustee, prior to the occurrence of an Event of Default and after the curing or waiver of all Events of Default that may have occurred, undertakes to perform such duties and only such duties as are specifically set forth in this Indenture. In the event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an Event of Default occurs and is continuing, the Trustee will be under no obligation to exercise any of the rights or powers under this Indenture at the request or direction of any of the Holders unless such Holders have offered, and if requested, provided, to the Trustee indemnity or security satisfactory to the Trustee against any loss, liability, cost or expense that might be incurred by it in compliance with such request or direction.</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No provision of this Indenture shall be construed to relieve the Trustee from liability for its own gross negligence or its own willful misconduct, except that:</w:t>
      </w:r>
    </w:p>
    <w:p>
      <w:pPr>
        <w:spacing w:after="0" w:line="198" w:lineRule="exact"/>
        <w:rPr>
          <w:sz w:val="20"/>
          <w:szCs w:val="20"/>
          <w:color w:val="auto"/>
        </w:rPr>
      </w:pPr>
    </w:p>
    <w:p>
      <w:pPr>
        <w:ind w:right="20" w:firstLine="1143"/>
        <w:spacing w:after="0" w:line="280" w:lineRule="auto"/>
        <w:tabs>
          <w:tab w:leader="none" w:pos="1376"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occurrence of an Event of Default of which a Responsible Officer of the Trustee has written or actual knowledge and after the curing or waiving of all Events of Default that may have occurred:</w:t>
      </w:r>
    </w:p>
    <w:p>
      <w:pPr>
        <w:spacing w:after="0" w:line="144" w:lineRule="exact"/>
        <w:rPr>
          <w:rFonts w:ascii="Times New Roman" w:cs="Times New Roman" w:eastAsia="Times New Roman" w:hAnsi="Times New Roman"/>
          <w:sz w:val="16"/>
          <w:szCs w:val="16"/>
          <w:color w:val="auto"/>
        </w:rPr>
      </w:pPr>
    </w:p>
    <w:p>
      <w:pPr>
        <w:jc w:val="both"/>
        <w:ind w:firstLine="1716"/>
        <w:spacing w:after="0" w:line="265" w:lineRule="auto"/>
        <w:tabs>
          <w:tab w:leader="none" w:pos="1954" w:val="left"/>
        </w:tabs>
        <w:numPr>
          <w:ilvl w:val="1"/>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155" w:lineRule="exact"/>
        <w:rPr>
          <w:rFonts w:ascii="Times New Roman" w:cs="Times New Roman" w:eastAsia="Times New Roman" w:hAnsi="Times New Roman"/>
          <w:sz w:val="16"/>
          <w:szCs w:val="16"/>
          <w:color w:val="auto"/>
        </w:rPr>
      </w:pPr>
    </w:p>
    <w:p>
      <w:pPr>
        <w:jc w:val="both"/>
        <w:ind w:firstLine="1716"/>
        <w:spacing w:after="0" w:line="254" w:lineRule="auto"/>
        <w:tabs>
          <w:tab w:leader="none" w:pos="1967" w:val="left"/>
        </w:tabs>
        <w:numPr>
          <w:ilvl w:val="1"/>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absence of gross negligence and willful misconduct on the part of the Trustee, the Trustee may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provisions hereof are specifically required to be furnished to the Trustee, the Trustee shall be under a duty to examine the same to determine whether or not they conform to the requirements of this Indenture (but need not confirm or investigate the accuracy of any mathematical calculations or other facts stated therein); provided, however, that the Trustee need not act or refrain from acting based on any certificate or opinion that it determines to be not in conformity with the requirements of this Indenture. If presented with a non-conforming certificate or opinion, the Trustee may request the delivering party to re-issue the certificate or opinion in the manner required by this Indenture before taking any action;</w:t>
      </w:r>
    </w:p>
    <w:p>
      <w:pPr>
        <w:spacing w:after="0" w:line="166" w:lineRule="exact"/>
        <w:rPr>
          <w:rFonts w:ascii="Times New Roman" w:cs="Times New Roman" w:eastAsia="Times New Roman" w:hAnsi="Times New Roman"/>
          <w:sz w:val="16"/>
          <w:szCs w:val="16"/>
          <w:color w:val="auto"/>
        </w:rPr>
      </w:pPr>
    </w:p>
    <w:p>
      <w:pPr>
        <w:ind w:right="20" w:firstLine="1143"/>
        <w:spacing w:after="0" w:line="280" w:lineRule="auto"/>
        <w:tabs>
          <w:tab w:leader="none" w:pos="1373"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liable for any error of judgment made in good faith by a Responsible Officer or Officers of the Trustee, unless it shall be proved in a court of competent jurisdiction in a final and non-appealable decision that the Trustee was grossly negligent in ascertaining the pertinent facts;</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76"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liable with respect to any action taken or omitted to be taken by it in good faith in accordance with the written direction of the Holders of not less than a majority of the aggregate principal amount of the Notes at the time outstanding determined as provided in Section 8.04 relating to the time, method and place of conducting any proceeding for any remedy available to the Trustee, or exercising any trust or power conferred upon the Trustee, under this Indenture;</w:t>
      </w:r>
    </w:p>
    <w:p>
      <w:pPr>
        <w:spacing w:after="0" w:line="155" w:lineRule="exact"/>
        <w:rPr>
          <w:sz w:val="20"/>
          <w:szCs w:val="20"/>
          <w:color w:val="auto"/>
        </w:rPr>
      </w:pPr>
    </w:p>
    <w:p>
      <w:pPr>
        <w:ind w:right="20" w:firstLine="1147"/>
        <w:spacing w:after="0" w:line="280" w:lineRule="auto"/>
        <w:rPr>
          <w:sz w:val="20"/>
          <w:szCs w:val="20"/>
          <w:color w:val="auto"/>
        </w:rPr>
      </w:pPr>
      <w:r>
        <w:rPr>
          <w:rFonts w:ascii="Times New Roman" w:cs="Times New Roman" w:eastAsia="Times New Roman" w:hAnsi="Times New Roman"/>
          <w:sz w:val="16"/>
          <w:szCs w:val="16"/>
          <w:color w:val="auto"/>
        </w:rPr>
        <w:t>(d)whether or not therein provided, every provision of this Indenture relating to the conduct or affecting the liability of, or affording protection to, the Trustee shall be subject to the provisions of this Section 7.01;</w:t>
      </w:r>
    </w:p>
    <w:p>
      <w:pPr>
        <w:spacing w:after="0" w:line="144" w:lineRule="exact"/>
        <w:rPr>
          <w:sz w:val="20"/>
          <w:szCs w:val="20"/>
          <w:color w:val="auto"/>
        </w:rPr>
      </w:pPr>
    </w:p>
    <w:p>
      <w:pPr>
        <w:ind w:right="20" w:firstLine="1143"/>
        <w:spacing w:after="0" w:line="280" w:lineRule="auto"/>
        <w:tabs>
          <w:tab w:leader="none" w:pos="1364"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liable in respect of any payment (as to the correctness of amount, entitlement to receive or any other matters relating to payment) or notice effected by the Company or any Paying Agent or any records maintained by any co-Note Registrar with respect to the Notes;</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91"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party fails to deliver a notice relating to an event the fact of which, pursuant to this Indenture, requires notice to be sent to the Trustee, the Trustee may conclusively rely on its failure to receive such notice as reason to act as if no such event occurred, unless a Responsible Officer of the Trustee had actual knowledge of such event;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5" w:name="page66"/>
    <w:bookmarkEnd w:id="65"/>
    <w:p>
      <w:pPr>
        <w:jc w:val="both"/>
        <w:ind w:firstLine="1143"/>
        <w:spacing w:after="0" w:line="257" w:lineRule="auto"/>
        <w:tabs>
          <w:tab w:leader="none" w:pos="1373"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absence of written investment direction from the Company, all cash received by the Trustee shall be placed in a non-interest bearing trust account, and in no event shall the Trustee be liable for the selection of investments or for investment losses incurred thereon or for losses incurred as a result of the liquidation of any such investment prior to its maturity date or the failure of the party directing such investments prior to its maturity date or the failure of the party directing such investment to provide timely written investment direction, and the Trustee shall have no obligation to invest or reinvest any amounts held hereunder in the absence of such written investment direction from the Company;</w:t>
      </w:r>
    </w:p>
    <w:p>
      <w:pPr>
        <w:spacing w:after="0" w:line="162"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no circumstances shall the Trustee be liable in its individual capacity for the obligations evidenced by the Notes; and</w:t>
      </w:r>
    </w:p>
    <w:p>
      <w:pPr>
        <w:spacing w:after="0" w:line="198"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79"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the Trustee is also acting as Custodian, Note Registrar, Paying Agent, Conversion Agent, transfer agent, or any other agent hereunder, the rights and protections afforded to the Trustee pursuant to this Article 7 shall also be afforded to such Custodian, Note Registrar, Paying Agent, Conversion Agent, transfer agent, or any other agent hereunder.</w:t>
      </w:r>
    </w:p>
    <w:p>
      <w:pPr>
        <w:spacing w:after="0" w:line="155" w:lineRule="exact"/>
        <w:rPr>
          <w:sz w:val="20"/>
          <w:szCs w:val="20"/>
          <w:color w:val="auto"/>
        </w:rPr>
      </w:pPr>
    </w:p>
    <w:p>
      <w:pPr>
        <w:ind w:firstLine="382"/>
        <w:spacing w:after="0" w:line="280" w:lineRule="auto"/>
        <w:rPr>
          <w:sz w:val="20"/>
          <w:szCs w:val="20"/>
          <w:color w:val="auto"/>
        </w:rPr>
      </w:pPr>
      <w:r>
        <w:rPr>
          <w:rFonts w:ascii="Times New Roman" w:cs="Times New Roman" w:eastAsia="Times New Roman" w:hAnsi="Times New Roman"/>
          <w:sz w:val="16"/>
          <w:szCs w:val="16"/>
          <w:color w:val="auto"/>
        </w:rPr>
        <w:t>None of the provisions contained in this Indenture shall require the Trustee to expend or risk its own funds or otherwise incur personal financial liability in the performance of any of its duties hereunder or in the exercise of any of its rights or powers.</w:t>
      </w:r>
    </w:p>
    <w:p>
      <w:pPr>
        <w:spacing w:after="0" w:line="14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7.02. </w:t>
      </w:r>
      <w:r>
        <w:rPr>
          <w:rFonts w:ascii="Times New Roman" w:cs="Times New Roman" w:eastAsia="Times New Roman" w:hAnsi="Times New Roman"/>
          <w:sz w:val="16"/>
          <w:szCs w:val="16"/>
          <w:i w:val="1"/>
          <w:iCs w:val="1"/>
          <w:color w:val="auto"/>
        </w:rPr>
        <w:t>Reliance on Documents, Opinions, Etc.</w:t>
      </w:r>
      <w:r>
        <w:rPr>
          <w:rFonts w:ascii="Times New Roman" w:cs="Times New Roman" w:eastAsia="Times New Roman" w:hAnsi="Times New Roman"/>
          <w:sz w:val="16"/>
          <w:szCs w:val="16"/>
          <w:color w:val="auto"/>
        </w:rPr>
        <w:t xml:space="preserve"> Except as otherwise provided in Section 7.01:</w:t>
      </w:r>
    </w:p>
    <w:p>
      <w:pPr>
        <w:spacing w:after="0" w:line="200" w:lineRule="exact"/>
        <w:rPr>
          <w:sz w:val="20"/>
          <w:szCs w:val="20"/>
          <w:color w:val="auto"/>
        </w:rPr>
      </w:pPr>
    </w:p>
    <w:p>
      <w:pPr>
        <w:jc w:val="both"/>
        <w:ind w:firstLine="1143"/>
        <w:spacing w:after="0" w:line="265" w:lineRule="auto"/>
        <w:tabs>
          <w:tab w:leader="none" w:pos="1364"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conclusively rely and shall be fully protected in acting or refraining from acting upon any resolution, certificate, statement, instrument, opinion, report, notice, request, consent, order, bond, debenture, note, coupon or other paper or document believed by it in good faith to be genuine and to have been signed or presented by the proper party or parties;</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73"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request, direction, order or demand of the Company mentioned herein shall be sufficiently evidenced by an Officer’s Certificate (unless other evidence in respect thereof be herein specifically prescribed); and any Board Resolution may be evidenced to the Trustee by a copy thereof certified by the Secretary or an Assistant Secretary of the Company;</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76"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gross negligence or willful misconduct on its part, conclusively rely upon an Officer’s Certificate;</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315" w:lineRule="auto"/>
        <w:tabs>
          <w:tab w:leader="none" w:pos="1373"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may consult with counsel of its selection, and require an Opinion of Counsel and any advice of such counsel or Opinion of Counsel shall be full and complete authorization and protection in respect of any action taken or omitted by it hereunder in good faith and in accordance with such advice or Opinion of Counsel;</w:t>
      </w:r>
    </w:p>
    <w:p>
      <w:pPr>
        <w:spacing w:after="0" w:line="120" w:lineRule="exact"/>
        <w:rPr>
          <w:rFonts w:ascii="Times New Roman" w:cs="Times New Roman" w:eastAsia="Times New Roman" w:hAnsi="Times New Roman"/>
          <w:sz w:val="15"/>
          <w:szCs w:val="15"/>
          <w:color w:val="auto"/>
        </w:rPr>
      </w:pPr>
    </w:p>
    <w:p>
      <w:pPr>
        <w:jc w:val="both"/>
        <w:ind w:right="20" w:firstLine="1143"/>
        <w:spacing w:after="0" w:line="282" w:lineRule="auto"/>
        <w:tabs>
          <w:tab w:leader="none" w:pos="1376"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expense of the Company and shall incur no liability of any kind by reason of such inquiry or investigation;</w:t>
      </w:r>
    </w:p>
    <w:p>
      <w:pPr>
        <w:spacing w:after="0" w:line="145" w:lineRule="exact"/>
        <w:rPr>
          <w:rFonts w:ascii="Times New Roman" w:cs="Times New Roman" w:eastAsia="Times New Roman" w:hAnsi="Times New Roman"/>
          <w:sz w:val="15"/>
          <w:szCs w:val="15"/>
          <w:color w:val="auto"/>
        </w:rPr>
      </w:pPr>
    </w:p>
    <w:p>
      <w:pPr>
        <w:jc w:val="both"/>
        <w:ind w:firstLine="1143"/>
        <w:spacing w:after="0" w:line="265" w:lineRule="auto"/>
        <w:tabs>
          <w:tab w:leader="none" w:pos="1421"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execute any of the trusts or powers hereunder or perform any duties hereunder either directly or by or through agents, custodians, nominees or attorneys and the Trustee shall not be responsible for any misconduct or negligence on the part of any agent, custodian, nominee or attorney appointed by it with due care hereunder;</w:t>
      </w:r>
    </w:p>
    <w:p>
      <w:pPr>
        <w:spacing w:after="0" w:line="155"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permissive rights of the Trustee enumerated herein shall not be construed as duties;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6" w:name="page67"/>
    <w:bookmarkEnd w:id="66"/>
    <w:p>
      <w:pPr>
        <w:jc w:val="both"/>
        <w:ind w:firstLine="1143"/>
        <w:spacing w:after="0" w:line="265" w:lineRule="auto"/>
        <w:tabs>
          <w:tab w:leader="none" w:pos="1373"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request that the Company deliver an Officer’s Certificate setting forth the names of the individuals and/or titles of officers authorized at such times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55" w:lineRule="exact"/>
        <w:rPr>
          <w:rFonts w:ascii="Times New Roman" w:cs="Times New Roman" w:eastAsia="Times New Roman" w:hAnsi="Times New Roman"/>
          <w:sz w:val="16"/>
          <w:szCs w:val="16"/>
          <w:color w:val="auto"/>
        </w:rPr>
      </w:pPr>
    </w:p>
    <w:p>
      <w:pPr>
        <w:ind w:left="1380" w:hanging="237"/>
        <w:spacing w:after="0"/>
        <w:tabs>
          <w:tab w:leader="none" w:pos="138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not be responsible or liable for any action it takes or omits to take in good faith which it reasonably believes to be authorized or within its</w:t>
      </w:r>
    </w:p>
    <w:p>
      <w:pPr>
        <w:spacing w:after="0" w:line="35"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rights or powers;</w:t>
      </w:r>
    </w:p>
    <w:p>
      <w:pPr>
        <w:spacing w:after="0" w:line="181" w:lineRule="exact"/>
        <w:rPr>
          <w:rFonts w:ascii="Times New Roman" w:cs="Times New Roman" w:eastAsia="Times New Roman" w:hAnsi="Times New Roman"/>
          <w:sz w:val="15"/>
          <w:szCs w:val="15"/>
          <w:color w:val="auto"/>
        </w:rPr>
      </w:pPr>
    </w:p>
    <w:p>
      <w:pPr>
        <w:ind w:left="1380" w:hanging="237"/>
        <w:spacing w:after="0"/>
        <w:tabs>
          <w:tab w:leader="none" w:pos="138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required to give any bond or surety in respect of its powers and duties hereunder; and</w:t>
      </w:r>
    </w:p>
    <w:p>
      <w:pPr>
        <w:spacing w:after="0" w:line="198" w:lineRule="exact"/>
        <w:rPr>
          <w:rFonts w:ascii="Times New Roman" w:cs="Times New Roman" w:eastAsia="Times New Roman" w:hAnsi="Times New Roman"/>
          <w:sz w:val="16"/>
          <w:szCs w:val="16"/>
          <w:color w:val="auto"/>
        </w:rPr>
      </w:pPr>
    </w:p>
    <w:p>
      <w:pPr>
        <w:jc w:val="both"/>
        <w:ind w:firstLine="1143"/>
        <w:spacing w:after="0" w:line="257" w:lineRule="auto"/>
        <w:tabs>
          <w:tab w:leader="none" w:pos="1373"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Trustee nor any of its directors, officers, employees, agents, or affiliates shall be responsible for nor have any duty to monitor the performance or any action of the Company, or any of their respective directors, members, officers, agents, affiliates, or employees, nor shall it have any liability in connection with the malfeasance or nonfeasance by such party. The Trustee shall not be responsible for any inaccuracy or omission in the information obtained from the Company or for any inaccuracy or omission in the records which may result from such information or any failure by the Trustee to perform its duties or set forth herein as a result of any inaccuracy or incompleteness.</w:t>
      </w:r>
    </w:p>
    <w:p>
      <w:pPr>
        <w:spacing w:after="0" w:line="162" w:lineRule="exact"/>
        <w:rPr>
          <w:sz w:val="20"/>
          <w:szCs w:val="20"/>
          <w:color w:val="auto"/>
        </w:rPr>
      </w:pPr>
    </w:p>
    <w:p>
      <w:pPr>
        <w:jc w:val="both"/>
        <w:ind w:right="20" w:firstLine="382"/>
        <w:spacing w:after="0" w:line="257" w:lineRule="auto"/>
        <w:rPr>
          <w:sz w:val="20"/>
          <w:szCs w:val="20"/>
          <w:color w:val="auto"/>
        </w:rPr>
      </w:pPr>
      <w:r>
        <w:rPr>
          <w:rFonts w:ascii="Times New Roman" w:cs="Times New Roman" w:eastAsia="Times New Roman" w:hAnsi="Times New Roman"/>
          <w:sz w:val="16"/>
          <w:szCs w:val="16"/>
          <w:color w:val="auto"/>
        </w:rPr>
        <w:t>In no event shall the Trustee be liable for any special, indirect, punitive, or consequential loss or damage of any kind whatsoever (including but not limited to lost profits), even if the Trustee has been advised of the likelihood of such loss or damage and regardless of the form of action. The Trustee shall not be charged with knowledge of any Default or Event of Default with respect to the Notes, unless either (1) a Responsible Officer shall have actual knowledge of such Default or Event of Default or (2) written notice of such Default or Event of Default shall have been given to the Trustee and actually received by a Responsible Officer at the Corporate Trust Office of the Trustee by the Company or by any Holder or any agent of any Holder, referencing this Indenture and/or of the Notes and stating that it is a “notice of default.”</w:t>
      </w:r>
    </w:p>
    <w:p>
      <w:pPr>
        <w:spacing w:after="0" w:line="160"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6"/>
          <w:szCs w:val="16"/>
          <w:color w:val="auto"/>
        </w:rPr>
        <w:t xml:space="preserve">Section 7.03. </w:t>
      </w:r>
      <w:r>
        <w:rPr>
          <w:rFonts w:ascii="Times New Roman" w:cs="Times New Roman" w:eastAsia="Times New Roman" w:hAnsi="Times New Roman"/>
          <w:sz w:val="16"/>
          <w:szCs w:val="16"/>
          <w:i w:val="1"/>
          <w:iCs w:val="1"/>
          <w:color w:val="auto"/>
        </w:rPr>
        <w:t>No Responsibility for Recitals, Etc.</w:t>
      </w:r>
      <w:r>
        <w:rPr>
          <w:rFonts w:ascii="Times New Roman" w:cs="Times New Roman" w:eastAsia="Times New Roman" w:hAnsi="Times New Roman"/>
          <w:sz w:val="16"/>
          <w:szCs w:val="16"/>
          <w:color w:val="auto"/>
        </w:rPr>
        <w:t xml:space="preserve"> The recitals contained herein and in the Notes (except in the Trustee’s certificate of authentication) shall be taken as the statements of the Company, and the Trustee assumes no responsibility for the correctness of the same. The Trustee makes no representations as to the validity, enforceability or sufficiency of this Indenture or of the Notes. The Trustee shall not be accountable for the use or application by the Company of any Notes or the proceeds of any Notes authenticated and delivered by the Trustee in conformity with the provisions of this Indenture or any money paid to the Company or upon the Company’s direction under any provision of this Indenture. The Trustee shall have no responsibility or liability with respect to any information, statement or recital in any disclosure material prepared or distributed with respect to the issuance of the Notes.</w:t>
      </w:r>
    </w:p>
    <w:p>
      <w:pPr>
        <w:spacing w:after="0" w:line="161" w:lineRule="exact"/>
        <w:rPr>
          <w:sz w:val="20"/>
          <w:szCs w:val="20"/>
          <w:color w:val="auto"/>
        </w:rPr>
      </w:pPr>
    </w:p>
    <w:p>
      <w:pPr>
        <w:jc w:val="both"/>
        <w:ind w:firstLine="382"/>
        <w:spacing w:after="0" w:line="266" w:lineRule="auto"/>
        <w:rPr>
          <w:sz w:val="20"/>
          <w:szCs w:val="20"/>
          <w:color w:val="auto"/>
        </w:rPr>
      </w:pPr>
      <w:r>
        <w:rPr>
          <w:rFonts w:ascii="Times New Roman" w:cs="Times New Roman" w:eastAsia="Times New Roman" w:hAnsi="Times New Roman"/>
          <w:sz w:val="16"/>
          <w:szCs w:val="16"/>
          <w:color w:val="auto"/>
        </w:rPr>
        <w:t xml:space="preserve">Section 7.04. </w:t>
      </w:r>
      <w:r>
        <w:rPr>
          <w:rFonts w:ascii="Times New Roman" w:cs="Times New Roman" w:eastAsia="Times New Roman" w:hAnsi="Times New Roman"/>
          <w:sz w:val="16"/>
          <w:szCs w:val="16"/>
          <w:i w:val="1"/>
          <w:iCs w:val="1"/>
          <w:color w:val="auto"/>
        </w:rPr>
        <w:t>Trustee, Paying Agents, Conversion Agents or Note Registrar May Own Notes.</w:t>
      </w:r>
      <w:r>
        <w:rPr>
          <w:rFonts w:ascii="Times New Roman" w:cs="Times New Roman" w:eastAsia="Times New Roman" w:hAnsi="Times New Roman"/>
          <w:sz w:val="16"/>
          <w:szCs w:val="16"/>
          <w:color w:val="auto"/>
        </w:rPr>
        <w:t xml:space="preserve"> The Trustee, any Paying Agent, any Conversion Agent or Note Registrar, in its individual or any other capacity, may become the owner or pledgee of Notes with the same rights it would have if it were not the Trustee, Paying Agent, Conversion Agent or Note Registrar.</w:t>
      </w:r>
    </w:p>
    <w:p>
      <w:pPr>
        <w:spacing w:after="0" w:line="153" w:lineRule="exact"/>
        <w:rPr>
          <w:sz w:val="20"/>
          <w:szCs w:val="20"/>
          <w:color w:val="auto"/>
        </w:rPr>
      </w:pPr>
    </w:p>
    <w:p>
      <w:pPr>
        <w:jc w:val="both"/>
        <w:ind w:right="20" w:firstLine="382"/>
        <w:spacing w:after="0" w:line="256" w:lineRule="auto"/>
        <w:rPr>
          <w:sz w:val="20"/>
          <w:szCs w:val="20"/>
          <w:color w:val="auto"/>
        </w:rPr>
      </w:pPr>
      <w:r>
        <w:rPr>
          <w:rFonts w:ascii="Times New Roman" w:cs="Times New Roman" w:eastAsia="Times New Roman" w:hAnsi="Times New Roman"/>
          <w:sz w:val="16"/>
          <w:szCs w:val="16"/>
          <w:color w:val="auto"/>
        </w:rPr>
        <w:t xml:space="preserve">Section 7.05. </w:t>
      </w:r>
      <w:r>
        <w:rPr>
          <w:rFonts w:ascii="Times New Roman" w:cs="Times New Roman" w:eastAsia="Times New Roman" w:hAnsi="Times New Roman"/>
          <w:sz w:val="16"/>
          <w:szCs w:val="16"/>
          <w:i w:val="1"/>
          <w:iCs w:val="1"/>
          <w:color w:val="auto"/>
        </w:rPr>
        <w:t>Monies and Shares of Common Stock to Be Held in Trust.</w:t>
      </w:r>
      <w:r>
        <w:rPr>
          <w:rFonts w:ascii="Times New Roman" w:cs="Times New Roman" w:eastAsia="Times New Roman" w:hAnsi="Times New Roman"/>
          <w:sz w:val="16"/>
          <w:szCs w:val="16"/>
          <w:color w:val="auto"/>
        </w:rPr>
        <w:t xml:space="preserve"> All monies and shares of Common Stock received by the Trustee shall, until used or applied as herein provided, be held in trust for the purposes for which they were received. Money and shares of Common Stock held by the Trustee in trust hereunder need not be segregated from other funds or property except to the extent required by law. The Trustee shall be under no liability for interest on any money or shares of Common Stock received by it hereunder except as may be agreed from time to time by the Company and the Trustee. The Trustee shall not be obligated to take possession of any Common Stock, whether on conversion or in connection with any discharge of this Indenture pursuant to Article 3 hereof, but shall satisfy its obligation as Conversion Agent by working through the stock transfer agent of the Company from time to time as directed by the Company.</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7" w:name="page68"/>
    <w:bookmarkEnd w:id="67"/>
    <w:p>
      <w:pPr>
        <w:jc w:val="both"/>
        <w:ind w:firstLine="382"/>
        <w:spacing w:after="0" w:line="251" w:lineRule="auto"/>
        <w:rPr>
          <w:sz w:val="20"/>
          <w:szCs w:val="20"/>
          <w:color w:val="auto"/>
        </w:rPr>
      </w:pPr>
      <w:r>
        <w:rPr>
          <w:rFonts w:ascii="Times New Roman" w:cs="Times New Roman" w:eastAsia="Times New Roman" w:hAnsi="Times New Roman"/>
          <w:sz w:val="16"/>
          <w:szCs w:val="16"/>
          <w:color w:val="auto"/>
        </w:rPr>
        <w:t xml:space="preserve">Section 7.06. </w:t>
      </w:r>
      <w:r>
        <w:rPr>
          <w:rFonts w:ascii="Times New Roman" w:cs="Times New Roman" w:eastAsia="Times New Roman" w:hAnsi="Times New Roman"/>
          <w:sz w:val="16"/>
          <w:szCs w:val="16"/>
          <w:i w:val="1"/>
          <w:iCs w:val="1"/>
          <w:color w:val="auto"/>
        </w:rPr>
        <w:t>Compensation and Expenses of Trustee.</w:t>
      </w:r>
      <w:r>
        <w:rPr>
          <w:rFonts w:ascii="Times New Roman" w:cs="Times New Roman" w:eastAsia="Times New Roman" w:hAnsi="Times New Roman"/>
          <w:sz w:val="16"/>
          <w:szCs w:val="16"/>
          <w:color w:val="auto"/>
        </w:rPr>
        <w:t xml:space="preserve"> The Company covenants and agrees to pay to the Trustee, in any capacity under this Indenture, from time to time and the Trustee shall receive such compensation agreed in writing between the Company and the Trustee for all services rendered by it hereunder in any capacity (which shall not be limited by any provision of law in regard to the compensation of a trustee of an express trust) as mutually agreed to in writing between the Trustee and the Company, and the Company will pay or reimburse the Trustee upon its request for all reasonable expenses, disbursements and advances reasonably incurred or made by the Trustee in accordance with any of the provisions of this Indenture in any capacity thereunder (including the reasonable compensation and the expenses and disbursements of its agents and counsel and of all Persons not regularly in its employ and including reasonable attorneys’ fees in connection with its enforcement of its rights to indemnity herein) except any such expense, disbursement or advance as shall have been caused by its gross negligence or willful misconduct, as determined by a final, non-appealable decision of a court of competent jurisdiction. The Company also covenants to indemnify the Trustee or any predecessor Trustee in any capacity under this Indenture and any other document or transaction entered into in connection herewith and its officers, directors, attorneys, employees and agents and any authenticating agent for, and to hold them harmless against, any loss, claim (whether asserted by the Company, a Holder or any other Person), damage, liability or expense (including reasonable attorneys’ fees) incurred without gross negligence or willful misconduct on the part of the Trustee, its officers, directors, agents or employees, or such agent or authenticating agent, as the case may be determined by a final, non-appealable decision of a court of competent jurisdiction, and arising out of or in connection with the acceptance or administration of this Indenture or in any other capacity hereunder, including the costs and expenses of defending themselves against any claim of liability in the premises and enforcement of this Section 7.06. The obligations of the Company under this Section 7.06 to compensate or indemnify the Trustee and to pay or reimburse the Trustee for expenses, disbursements and advances shall be secured by a senior lien to which the Notes are hereby made subordinate on all money or property held or collected by the Trustee, except, subject to the effect of Section 6.05, funds held in trust herewith for the benefit of the Holders of particular Notes, and, for the avoidance of doubt, such lien shall not be extended in a manner that would conflict with the Company’s obligations to its other creditors. The Trustee’s right to receive payment of any amounts due under this Section 7.06 shall not be subordinate to any other liability or indebtedness of the Company. The obligation of the Company under this Section 7.06 shall survive the satisfaction and discharge of this Indenture, the payment of the Notes, and the earlier resignation or removal of the Trustee. The Company need not pay for any settlement made without its consent, which consent shall not be unreasonably withheld. The indemnification provided in this Section 7.06 shall extend to the officers, directors, agents and employees of the Trustee.</w:t>
      </w:r>
    </w:p>
    <w:p>
      <w:pPr>
        <w:spacing w:after="0" w:line="169"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Without prejudice to any other rights available to the Trustee under applicable law, when the Trustee and its agents and any authenticating agent incur expenses or render services after an Event of Default specified in Section 6.01(h) or Section 6.01(i) occurs, the expenses and the compensation for the services are intended to constitute expenses of administration under any bankruptcy, insolvency or similar laws.</w:t>
      </w:r>
    </w:p>
    <w:p>
      <w:pPr>
        <w:spacing w:after="0" w:line="153"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6"/>
          <w:szCs w:val="16"/>
          <w:color w:val="auto"/>
        </w:rPr>
        <w:t xml:space="preserve">Section 7.07. </w:t>
      </w:r>
      <w:r>
        <w:rPr>
          <w:rFonts w:ascii="Times New Roman" w:cs="Times New Roman" w:eastAsia="Times New Roman" w:hAnsi="Times New Roman"/>
          <w:sz w:val="16"/>
          <w:szCs w:val="16"/>
          <w:i w:val="1"/>
          <w:iCs w:val="1"/>
          <w:color w:val="auto"/>
        </w:rPr>
        <w:t>Officer’s Certificate and Opinion of Counsel as Evidence.</w:t>
      </w:r>
      <w:r>
        <w:rPr>
          <w:rFonts w:ascii="Times New Roman" w:cs="Times New Roman" w:eastAsia="Times New Roman" w:hAnsi="Times New Roman"/>
          <w:sz w:val="16"/>
          <w:szCs w:val="16"/>
          <w:color w:val="auto"/>
        </w:rPr>
        <w:t xml:space="preserve"> Except as otherwise provided in Section 7.01, whenever in the administration of the provisions of this Indenture the Trustee shall deem it necessary or desirable that a matter be proved or established prior to taking or omitting any action hereunder, such matter (unless other evidence in respect thereof be herein specifically prescribed) may, in the absence of gross negligence or willful misconduct on the part of the Trustee, be deemed to be conclusively proved and established by an Officer’s Certificate and Opinion of Counsel delivered to the Trustee, and such Officer’s Certificate and Opinion of Counsel, in the absence of gross negligence or willful misconduct on the part of the Trustee, shall be full warrant to the Trustee for any action taken or omitted by it under the provisions of this Indenture upon the faith thereof.</w:t>
      </w:r>
    </w:p>
    <w:p>
      <w:pPr>
        <w:spacing w:after="0" w:line="161"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6"/>
          <w:szCs w:val="16"/>
          <w:color w:val="auto"/>
        </w:rPr>
        <w:t xml:space="preserve">Section 7.08. </w:t>
      </w:r>
      <w:r>
        <w:rPr>
          <w:rFonts w:ascii="Times New Roman" w:cs="Times New Roman" w:eastAsia="Times New Roman" w:hAnsi="Times New Roman"/>
          <w:sz w:val="16"/>
          <w:szCs w:val="16"/>
          <w:i w:val="1"/>
          <w:iCs w:val="1"/>
          <w:color w:val="auto"/>
        </w:rPr>
        <w:t>Eligibility of Trustee.</w:t>
      </w:r>
      <w:r>
        <w:rPr>
          <w:rFonts w:ascii="Times New Roman" w:cs="Times New Roman" w:eastAsia="Times New Roman" w:hAnsi="Times New Roman"/>
          <w:sz w:val="16"/>
          <w:szCs w:val="16"/>
          <w:color w:val="auto"/>
        </w:rPr>
        <w:t xml:space="preserve"> There shall at all times be a Trustee hereunder which shall be a Person that is eligible pursuant to the Trust Indenture Act (as if the Trust Indenture Act were applicable hereto) to act as such and has a combined capital and surplus of at least the minimum amount required by the Trust Indenture Act. If such Person publishes reports of condition at least annually, pursuant to law or to the requirements of any supervising or examining authority, then for the purposes of this Section 7.08, the combined capital and surplus of such Person shall be deemed to be its combined capital and surplus as set forth in its most recent report of condition so published. If at any time the Trustee shall cease to be eligible in accordance with the provisions of this Section 7.08, it shall resign immediately in the manner and with the effect hereinafter specified in this Article.</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68" w:name="page69"/>
    <w:bookmarkEnd w:id="68"/>
    <w:p>
      <w:pPr>
        <w:jc w:val="both"/>
        <w:ind w:firstLine="382"/>
        <w:spacing w:after="0" w:line="254" w:lineRule="auto"/>
        <w:rPr>
          <w:sz w:val="20"/>
          <w:szCs w:val="20"/>
          <w:color w:val="auto"/>
        </w:rPr>
      </w:pPr>
      <w:r>
        <w:rPr>
          <w:rFonts w:ascii="Times New Roman" w:cs="Times New Roman" w:eastAsia="Times New Roman" w:hAnsi="Times New Roman"/>
          <w:sz w:val="16"/>
          <w:szCs w:val="16"/>
          <w:color w:val="auto"/>
        </w:rPr>
        <w:t xml:space="preserve">Section 7.09. </w:t>
      </w:r>
      <w:r>
        <w:rPr>
          <w:rFonts w:ascii="Times New Roman" w:cs="Times New Roman" w:eastAsia="Times New Roman" w:hAnsi="Times New Roman"/>
          <w:sz w:val="16"/>
          <w:szCs w:val="16"/>
          <w:i w:val="1"/>
          <w:iCs w:val="1"/>
          <w:color w:val="auto"/>
        </w:rPr>
        <w:t>Resignation or Removal of Trustee.</w:t>
      </w:r>
      <w:r>
        <w:rPr>
          <w:rFonts w:ascii="Times New Roman" w:cs="Times New Roman" w:eastAsia="Times New Roman" w:hAnsi="Times New Roman"/>
          <w:sz w:val="16"/>
          <w:szCs w:val="16"/>
          <w:color w:val="auto"/>
        </w:rPr>
        <w:t xml:space="preserve"> (a) The Trustee may at any time resign by giving written notice of such resignation to the Company and by delivering notice thereof to the Holders. Upon receiving such notice of resignation, the Company shall promptly appoint a successor trustee by written instrument, in duplicate, executed by an Officer of the Company, one copy of which instrument shall be delivered to the resigning Trustee and one copy to the successor trustee. If no successor trustee shall have been so appointed and have accepted appointment within 45 days after the giving of such notice of resignation to the Holders, the resigning Trustee may, at the expense of the Company, upon ten Business Days’ notice to the Company and the Holders, petition any court of competent jurisdiction, for the appointment of a successor trustee, or any Holder who has been a bona fide holder of a Note or Notes for at least six months (or since the date of this Indenture) may, subject to the provisions of Section 6.11, on behalf of himself or herself and all others similarly situated, petition any such court for the appointment of a successor trustee. Such court may thereupon, after such notice, if any, as it may deem proper and prescribe, appoint a successor trustee.</w:t>
      </w:r>
    </w:p>
    <w:p>
      <w:pPr>
        <w:spacing w:after="0" w:line="165" w:lineRule="exact"/>
        <w:rPr>
          <w:sz w:val="20"/>
          <w:szCs w:val="20"/>
          <w:color w:val="auto"/>
        </w:rPr>
      </w:pPr>
    </w:p>
    <w:p>
      <w:pPr>
        <w:ind w:left="1360" w:hanging="217"/>
        <w:spacing w:after="0"/>
        <w:tabs>
          <w:tab w:leader="none" w:pos="136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case at any time any of the following shall occur:</w:t>
      </w:r>
    </w:p>
    <w:p>
      <w:pPr>
        <w:spacing w:after="0" w:line="198" w:lineRule="exact"/>
        <w:rPr>
          <w:rFonts w:ascii="Times New Roman" w:cs="Times New Roman" w:eastAsia="Times New Roman" w:hAnsi="Times New Roman"/>
          <w:sz w:val="16"/>
          <w:szCs w:val="16"/>
          <w:color w:val="auto"/>
        </w:rPr>
      </w:pPr>
    </w:p>
    <w:p>
      <w:pPr>
        <w:ind w:right="20" w:firstLine="1716"/>
        <w:spacing w:after="0" w:line="280" w:lineRule="auto"/>
        <w:tabs>
          <w:tab w:leader="none" w:pos="1911"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cease to be eligible in accordance with the provisions of Section 7.08 and shall fail to resign after written request therefor by the Company or by any such Holder, or</w:t>
      </w:r>
    </w:p>
    <w:p>
      <w:pPr>
        <w:spacing w:after="0" w:line="144" w:lineRule="exact"/>
        <w:rPr>
          <w:rFonts w:ascii="Times New Roman" w:cs="Times New Roman" w:eastAsia="Times New Roman" w:hAnsi="Times New Roman"/>
          <w:sz w:val="16"/>
          <w:szCs w:val="16"/>
          <w:color w:val="auto"/>
        </w:rPr>
      </w:pPr>
    </w:p>
    <w:p>
      <w:pPr>
        <w:jc w:val="both"/>
        <w:ind w:right="20" w:firstLine="1716"/>
        <w:spacing w:after="0" w:line="254" w:lineRule="auto"/>
        <w:tabs>
          <w:tab w:leader="none" w:pos="1960"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 then, in either case, the Company may by an Officer’s Certificate remove the Trustee and appoint a successor trustee by written instrument, in duplicate, executed by an Officer’s Certificate, one copy of which instrument shall be delivered to the Trustee so removed and one copy to the successor trustee, or, subject to the provisions of Section 6.11, any Holder who has been a bona fide holder of a Note or Notes for at least six months (or since the date of this Indenture) may, on behalf of himself or herself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66"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76"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Holders of a majority in aggregate principal amount of the Notes at the time outstanding (including, without limitation, additional Notes and PIK Notes), as determined in accordance with Section 8.04, may at any time remove the Trustee and nominate a successor trustee that shall be deemed appointed as successor trustee unless within ten days after notice to the Company of such nomination the Company objects thereto, in which case the Trustee so removed or any Holder, upon the terms and conditions and otherwise as in Section 7.09(a) provided, may petition any court of competent jurisdiction for an appointment of a successor trustee.</w:t>
      </w:r>
    </w:p>
    <w:p>
      <w:pPr>
        <w:spacing w:after="0" w:line="161" w:lineRule="exact"/>
        <w:rPr>
          <w:rFonts w:ascii="Times New Roman" w:cs="Times New Roman" w:eastAsia="Times New Roman" w:hAnsi="Times New Roman"/>
          <w:sz w:val="16"/>
          <w:szCs w:val="16"/>
          <w:color w:val="auto"/>
        </w:rPr>
      </w:pPr>
    </w:p>
    <w:p>
      <w:pPr>
        <w:ind w:firstLine="1143"/>
        <w:spacing w:after="0" w:line="280" w:lineRule="auto"/>
        <w:tabs>
          <w:tab w:leader="none" w:pos="1385"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resignation or removal of the Trustee and appointment of a successor trustee pursuant to any of the provisions of this Section 7.09 shall become effective upon acceptance of appointment by the successor trustee as provided in Section 7.10.</w:t>
      </w:r>
    </w:p>
    <w:p>
      <w:pPr>
        <w:spacing w:after="0" w:line="142" w:lineRule="exact"/>
        <w:rPr>
          <w:sz w:val="20"/>
          <w:szCs w:val="20"/>
          <w:color w:val="auto"/>
        </w:rPr>
      </w:pPr>
    </w:p>
    <w:p>
      <w:pPr>
        <w:jc w:val="both"/>
        <w:ind w:firstLine="382"/>
        <w:spacing w:after="0" w:line="253" w:lineRule="auto"/>
        <w:rPr>
          <w:sz w:val="20"/>
          <w:szCs w:val="20"/>
          <w:color w:val="auto"/>
        </w:rPr>
      </w:pPr>
      <w:r>
        <w:rPr>
          <w:rFonts w:ascii="Times New Roman" w:cs="Times New Roman" w:eastAsia="Times New Roman" w:hAnsi="Times New Roman"/>
          <w:sz w:val="16"/>
          <w:szCs w:val="16"/>
          <w:color w:val="auto"/>
        </w:rPr>
        <w:t xml:space="preserve">Section 7.10. </w:t>
      </w:r>
      <w:r>
        <w:rPr>
          <w:rFonts w:ascii="Times New Roman" w:cs="Times New Roman" w:eastAsia="Times New Roman" w:hAnsi="Times New Roman"/>
          <w:sz w:val="16"/>
          <w:szCs w:val="16"/>
          <w:i w:val="1"/>
          <w:iCs w:val="1"/>
          <w:color w:val="auto"/>
        </w:rPr>
        <w:t>Acceptance by Successor Trustee.</w:t>
      </w:r>
      <w:r>
        <w:rPr>
          <w:rFonts w:ascii="Times New Roman" w:cs="Times New Roman" w:eastAsia="Times New Roman" w:hAnsi="Times New Roman"/>
          <w:sz w:val="16"/>
          <w:szCs w:val="16"/>
          <w:color w:val="auto"/>
        </w:rPr>
        <w:t xml:space="preserve"> Any successor trustee appointed as provided in Section 7.09 shall execute, acknowledge and deliver to the Company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Company or of the successor trustee, the trustee ceasing to act shall, upon payment of any amounts then due it pursuant to the provisions of Section 7.06, execute and deliver an instrument transferring to such successor trustee all the rights and powers of the trustee so ceasing to act. Upon request of any such successor trustee, the Company shall execute any and all instruments in writing for more fully and certainly vesting in and confirming to such successor trustee all such rights and powers. Any trustee ceasing to act shall, nevertheless, retain a senior lien to which the Notes are hereby made subordinate on all money or property held or collected by such trustee as such, except for funds held in trust for the benefit of Holders of particular Notes, to secure any amounts then due it pursuant to the provisions of Section 7.06.</w:t>
      </w:r>
    </w:p>
    <w:p>
      <w:pPr>
        <w:spacing w:after="0" w:line="168"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No successor trustee shall accept appointment as provided in this Section 7.10 unless at the time of such acceptance such successor trustee shall be eligible under the provisions of Section 7.08.</w:t>
      </w:r>
    </w:p>
    <w:p>
      <w:pPr>
        <w:spacing w:after="0" w:line="144"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Upon acceptance of appointment by a successor trustee as provided in this Section 7.10, each of the Company and the successor trustee, at the written direction and at the expense of the Company shall deliver or cause to be delivered notice of the succession of such trustee hereunder to the Holders. If the Company fails to deliver such notice within ten days after acceptance of appointment by the successor trustee, the successor trustee shall cause such notice to be delivered at the expense of the Company.</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No resigning Trustee shall be responsible or liable for the actions or inactions of any successor Trustee.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69" w:name="page70"/>
    <w:bookmarkEnd w:id="69"/>
    <w:p>
      <w:pPr>
        <w:jc w:val="both"/>
        <w:ind w:firstLine="382"/>
        <w:spacing w:after="0" w:line="257" w:lineRule="auto"/>
        <w:rPr>
          <w:sz w:val="20"/>
          <w:szCs w:val="20"/>
          <w:color w:val="auto"/>
        </w:rPr>
      </w:pPr>
      <w:r>
        <w:rPr>
          <w:rFonts w:ascii="Times New Roman" w:cs="Times New Roman" w:eastAsia="Times New Roman" w:hAnsi="Times New Roman"/>
          <w:sz w:val="16"/>
          <w:szCs w:val="16"/>
          <w:color w:val="auto"/>
        </w:rPr>
        <w:t xml:space="preserve">Section 7.11. </w:t>
      </w:r>
      <w:r>
        <w:rPr>
          <w:rFonts w:ascii="Times New Roman" w:cs="Times New Roman" w:eastAsia="Times New Roman" w:hAnsi="Times New Roman"/>
          <w:sz w:val="16"/>
          <w:szCs w:val="16"/>
          <w:i w:val="1"/>
          <w:iCs w:val="1"/>
          <w:color w:val="auto"/>
        </w:rPr>
        <w:t>Succession by Merger, Etc.</w:t>
      </w:r>
      <w:r>
        <w:rPr>
          <w:rFonts w:ascii="Times New Roman" w:cs="Times New Roman" w:eastAsia="Times New Roman" w:hAnsi="Times New Roman"/>
          <w:sz w:val="16"/>
          <w:szCs w:val="16"/>
          <w:color w:val="auto"/>
        </w:rPr>
        <w:t xml:space="preserve"> Any corporation or other entity into which the Trustee may be merged or converted or with which it may be consolidated, or any corporation or other entity resulting from any merger, conversion or consolidation to which the Trustee shall be a party, or any corporation or other entity succeeding to all or substantially all of the corporate trust business of the Trustee (including the administration of this Indenture), shall be the successor to the Trustee hereunder without the execution or filing of any paper or any further act on the part of any of the parties hereto;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the case of any corporation or other entity succeeding to all or substantially all of the corporate trust business of the Trustee such corporation or other entity shall be eligible under the provisions of Section 7.08.</w:t>
      </w:r>
    </w:p>
    <w:p>
      <w:pPr>
        <w:spacing w:after="0" w:line="164" w:lineRule="exact"/>
        <w:rPr>
          <w:sz w:val="20"/>
          <w:szCs w:val="20"/>
          <w:color w:val="auto"/>
        </w:rPr>
      </w:pPr>
    </w:p>
    <w:p>
      <w:pPr>
        <w:jc w:val="both"/>
        <w:ind w:firstLine="382"/>
        <w:spacing w:after="0" w:line="254" w:lineRule="auto"/>
        <w:rPr>
          <w:sz w:val="20"/>
          <w:szCs w:val="20"/>
          <w:color w:val="auto"/>
        </w:rPr>
      </w:pPr>
      <w:r>
        <w:rPr>
          <w:rFonts w:ascii="Times New Roman" w:cs="Times New Roman" w:eastAsia="Times New Roman" w:hAnsi="Times New Roman"/>
          <w:sz w:val="16"/>
          <w:szCs w:val="16"/>
          <w:color w:val="auto"/>
        </w:rPr>
        <w:t xml:space="preserve">In case at the time such successor to the Trustee shall succeed to the trusts created by this Indenture, any of the Notes shall have been authenticated but not delivered, any such successor to the Trustee may adopt the certificate of authentication of any predecessor trustee or authenticating agent appointed by such predecessor trustee, and deliver such Notes so authenticated; and in case at that time any of the Notes shall not have been authenticated, any successor to the Trustee or an authenticating agent appointed by such successor trustee may authenticate such Notes either in the name of any predecessor trustee hereunder or in the name of the successor trustee; and in all such cases such certificates shall have the full force which it is anywhere in the Notes or in this Indenture provided that the certificate of the Trustee shall have;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right to adopt the certificate of authentication of any predecessor trustee or to authenticate Notes in the name of any predecessor trustee shall apply only to its successor or successors by merger, conversion or consolidation.</w:t>
      </w:r>
    </w:p>
    <w:p>
      <w:pPr>
        <w:spacing w:after="0" w:line="165" w:lineRule="exact"/>
        <w:rPr>
          <w:sz w:val="20"/>
          <w:szCs w:val="20"/>
          <w:color w:val="auto"/>
        </w:rPr>
      </w:pPr>
    </w:p>
    <w:p>
      <w:pPr>
        <w:jc w:val="both"/>
        <w:ind w:right="20" w:firstLine="382"/>
        <w:spacing w:after="0" w:line="274" w:lineRule="auto"/>
        <w:rPr>
          <w:sz w:val="20"/>
          <w:szCs w:val="20"/>
          <w:color w:val="auto"/>
        </w:rPr>
      </w:pPr>
      <w:r>
        <w:rPr>
          <w:rFonts w:ascii="Times New Roman" w:cs="Times New Roman" w:eastAsia="Times New Roman" w:hAnsi="Times New Roman"/>
          <w:sz w:val="15"/>
          <w:szCs w:val="15"/>
          <w:color w:val="auto"/>
        </w:rPr>
        <w:t xml:space="preserve">Section 7.12. </w:t>
      </w:r>
      <w:r>
        <w:rPr>
          <w:rFonts w:ascii="Times New Roman" w:cs="Times New Roman" w:eastAsia="Times New Roman" w:hAnsi="Times New Roman"/>
          <w:sz w:val="15"/>
          <w:szCs w:val="15"/>
          <w:i w:val="1"/>
          <w:iCs w:val="1"/>
          <w:color w:val="auto"/>
        </w:rPr>
        <w:t>Trustee’s Application for Instructions from the Company.</w:t>
      </w:r>
      <w:r>
        <w:rPr>
          <w:rFonts w:ascii="Times New Roman" w:cs="Times New Roman" w:eastAsia="Times New Roman" w:hAnsi="Times New Roman"/>
          <w:sz w:val="15"/>
          <w:szCs w:val="15"/>
          <w:color w:val="auto"/>
        </w:rPr>
        <w:t xml:space="preserve"> Any application by the Trustee for written instructions from the Company (other than with regard to any action proposed to be taken or omitted to be taken by the Trustee that affects the rights of the Holders of the Notes under this Indenture) may, at the option of the Trustee, set forth in writing any action proposed to be taken or omitted by the Trustee under this Indenture and the date on and/or after which such action shall be taken or such omission shall be effective. The Trustee shall not be liable to the Company for any action taken by, or omission of, the Trustee in accordance with a proposal included in such application on or after the date specified in such application (which date shall not be less than three Business Days after the date notice to the Company has been deemed given pursuant to Section 18.03, unless any such officer shall have consented in writing to any earlier date), unless, prior to taking any such action (or the effective date in the case of any omission), the Trustee shall have received written instructions in accordance with this Indenture in response to such application specifying the action to be taken or omitted.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8</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w:t>
      </w:r>
      <w:r>
        <w:rPr>
          <w:rFonts w:ascii="Times New Roman" w:cs="Times New Roman" w:eastAsia="Times New Roman" w:hAnsi="Times New Roman"/>
          <w:sz w:val="10"/>
          <w:szCs w:val="10"/>
          <w:color w:val="auto"/>
        </w:rPr>
        <w:t>oncerning</w:t>
      </w:r>
      <w:r>
        <w:rPr>
          <w:rFonts w:ascii="Times New Roman" w:cs="Times New Roman" w:eastAsia="Times New Roman" w:hAnsi="Times New Roman"/>
          <w:sz w:val="16"/>
          <w:szCs w:val="16"/>
          <w:color w:val="auto"/>
        </w:rPr>
        <w:t xml:space="preserve"> T</w:t>
      </w:r>
      <w:r>
        <w:rPr>
          <w:rFonts w:ascii="Times New Roman" w:cs="Times New Roman" w:eastAsia="Times New Roman" w:hAnsi="Times New Roman"/>
          <w:sz w:val="10"/>
          <w:szCs w:val="10"/>
          <w:color w:val="auto"/>
        </w:rPr>
        <w:t>he</w:t>
      </w:r>
      <w:r>
        <w:rPr>
          <w:rFonts w:ascii="Times New Roman" w:cs="Times New Roman" w:eastAsia="Times New Roman" w:hAnsi="Times New Roman"/>
          <w:sz w:val="16"/>
          <w:szCs w:val="16"/>
          <w:color w:val="auto"/>
        </w:rPr>
        <w:t xml:space="preserve"> H</w:t>
      </w:r>
      <w:r>
        <w:rPr>
          <w:rFonts w:ascii="Times New Roman" w:cs="Times New Roman" w:eastAsia="Times New Roman" w:hAnsi="Times New Roman"/>
          <w:sz w:val="10"/>
          <w:szCs w:val="10"/>
          <w:color w:val="auto"/>
        </w:rPr>
        <w:t>olders</w:t>
      </w:r>
    </w:p>
    <w:p>
      <w:pPr>
        <w:spacing w:after="0" w:line="180" w:lineRule="exact"/>
        <w:rPr>
          <w:sz w:val="20"/>
          <w:szCs w:val="20"/>
          <w:color w:val="auto"/>
        </w:rPr>
      </w:pPr>
    </w:p>
    <w:p>
      <w:pPr>
        <w:jc w:val="both"/>
        <w:ind w:firstLine="382"/>
        <w:spacing w:after="0" w:line="254" w:lineRule="auto"/>
        <w:rPr>
          <w:sz w:val="20"/>
          <w:szCs w:val="20"/>
          <w:color w:val="auto"/>
        </w:rPr>
      </w:pPr>
      <w:r>
        <w:rPr>
          <w:rFonts w:ascii="Times New Roman" w:cs="Times New Roman" w:eastAsia="Times New Roman" w:hAnsi="Times New Roman"/>
          <w:sz w:val="16"/>
          <w:szCs w:val="16"/>
          <w:color w:val="auto"/>
        </w:rPr>
        <w:t xml:space="preserve">Section 8.01. </w:t>
      </w:r>
      <w:r>
        <w:rPr>
          <w:rFonts w:ascii="Times New Roman" w:cs="Times New Roman" w:eastAsia="Times New Roman" w:hAnsi="Times New Roman"/>
          <w:sz w:val="16"/>
          <w:szCs w:val="16"/>
          <w:i w:val="1"/>
          <w:iCs w:val="1"/>
          <w:color w:val="auto"/>
        </w:rPr>
        <w:t>Action by Holders.</w:t>
      </w:r>
      <w:r>
        <w:rPr>
          <w:rFonts w:ascii="Times New Roman" w:cs="Times New Roman" w:eastAsia="Times New Roman" w:hAnsi="Times New Roman"/>
          <w:sz w:val="16"/>
          <w:szCs w:val="16"/>
          <w:color w:val="auto"/>
        </w:rPr>
        <w:t xml:space="preserve"> Whenever in this Indenture it is provided that the Holders of a specified percentage of the aggregate principal amount of the Notes may take any action (including the making of any demand or request, the giving of any notice, consent or waiver or the taking of any other action), the fact that at the time of taking any such action, the Holders of such specified percentage have joined therein may be evidenced (a) by any instrument or any number of instruments of similar tenor executed by Holders in person or by agent or proxy appointed in writing, or (b) by the record of the Holders voting in favor thereof at any meeting of Holders duly called and held in accordance with the provisions of Article 9, or (c) by a combination of such instrument or instruments and any such record of such a meeting of Holders. Whenever the Company or the Trustee solicits the taking of any action by the Holders of the Notes, the Company or the Trustee may, but shall not be required to, fix in advance of such solicitation, a date as the record date for determining Holders entitled to take such action. The record date if one is selected shall be not more than fifteen days prior to the date of commencement of solicitation of such action.</w:t>
      </w:r>
    </w:p>
    <w:p>
      <w:pPr>
        <w:spacing w:after="0" w:line="163" w:lineRule="exact"/>
        <w:rPr>
          <w:sz w:val="20"/>
          <w:szCs w:val="20"/>
          <w:color w:val="auto"/>
        </w:rPr>
      </w:pPr>
    </w:p>
    <w:p>
      <w:pPr>
        <w:jc w:val="both"/>
        <w:ind w:right="20" w:firstLine="382"/>
        <w:spacing w:after="0" w:line="260" w:lineRule="auto"/>
        <w:rPr>
          <w:sz w:val="20"/>
          <w:szCs w:val="20"/>
          <w:color w:val="auto"/>
        </w:rPr>
      </w:pPr>
      <w:r>
        <w:rPr>
          <w:rFonts w:ascii="Times New Roman" w:cs="Times New Roman" w:eastAsia="Times New Roman" w:hAnsi="Times New Roman"/>
          <w:sz w:val="16"/>
          <w:szCs w:val="16"/>
          <w:color w:val="auto"/>
        </w:rPr>
        <w:t xml:space="preserve">Section 8.02. </w:t>
      </w:r>
      <w:r>
        <w:rPr>
          <w:rFonts w:ascii="Times New Roman" w:cs="Times New Roman" w:eastAsia="Times New Roman" w:hAnsi="Times New Roman"/>
          <w:sz w:val="16"/>
          <w:szCs w:val="16"/>
          <w:i w:val="1"/>
          <w:iCs w:val="1"/>
          <w:color w:val="auto"/>
        </w:rPr>
        <w:t>Proof of Execution by Holders.</w:t>
      </w:r>
      <w:r>
        <w:rPr>
          <w:rFonts w:ascii="Times New Roman" w:cs="Times New Roman" w:eastAsia="Times New Roman" w:hAnsi="Times New Roman"/>
          <w:sz w:val="16"/>
          <w:szCs w:val="16"/>
          <w:color w:val="auto"/>
        </w:rPr>
        <w:t xml:space="preserve"> Subject to the provisions of Section 7.01, Section 7.02 and Section 9.05, proof of the execution of any instrument or writing by a Holder or its agent or proxy shall be sufficient if made in accordance with such reasonable rules and regulations as may be prescribed by the Trustee or in such manner as shall be satisfactory to the Trustee. The holding of Notes shall be proved by the Note Register or by a certificate of the Note Registrar. The record of any Holders’ meeting shall be proved in the manner provided in Section 9.06.</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70" w:name="page71"/>
    <w:bookmarkEnd w:id="70"/>
    <w:p>
      <w:pPr>
        <w:jc w:val="both"/>
        <w:ind w:firstLine="382"/>
        <w:spacing w:after="0" w:line="252" w:lineRule="auto"/>
        <w:rPr>
          <w:sz w:val="20"/>
          <w:szCs w:val="20"/>
          <w:color w:val="auto"/>
        </w:rPr>
      </w:pPr>
      <w:r>
        <w:rPr>
          <w:rFonts w:ascii="Times New Roman" w:cs="Times New Roman" w:eastAsia="Times New Roman" w:hAnsi="Times New Roman"/>
          <w:sz w:val="16"/>
          <w:szCs w:val="16"/>
          <w:color w:val="auto"/>
        </w:rPr>
        <w:t xml:space="preserve">Section 8.03. </w:t>
      </w:r>
      <w:r>
        <w:rPr>
          <w:rFonts w:ascii="Times New Roman" w:cs="Times New Roman" w:eastAsia="Times New Roman" w:hAnsi="Times New Roman"/>
          <w:sz w:val="16"/>
          <w:szCs w:val="16"/>
          <w:i w:val="1"/>
          <w:iCs w:val="1"/>
          <w:color w:val="auto"/>
        </w:rPr>
        <w:t>Who Are Deemed Absolute Owners.</w:t>
      </w:r>
      <w:r>
        <w:rPr>
          <w:rFonts w:ascii="Times New Roman" w:cs="Times New Roman" w:eastAsia="Times New Roman" w:hAnsi="Times New Roman"/>
          <w:sz w:val="16"/>
          <w:szCs w:val="16"/>
          <w:color w:val="auto"/>
        </w:rPr>
        <w:t xml:space="preserve"> The Company, the Trustee, any authenticating agent, any Paying Agent, any Conversion Agent and any Note Registrar may deem the Person in whose name a Note shall be registered upon the Note Register to be, and may treat it as, the absolute owner of such Note (whether or not such Note shall be overdue and notwithstanding any notation of ownership or other writing thereon made by any Person other than the Company or any Note Registrar) for the purpose of receiving payment of or on account of the principal (including any Redemption Price and any Fundamental Change Repurchase Price) of and (subject to Section 2.03) accrued and unpaid interest on such Note, for conversion of such Note and for all other purposes under this Indenture; and neither the Company nor the Trustee nor any Paying Agent nor any Conversion Agent nor any Note Registrar shall be affected by any notice to the contrary. The sole registered holder of a Global Note shall be the Depositary or its nominee. All such payments or deliveries so made to any Holder for the time being, or upon its order, shall be valid, and, to the extent of the sums or shares of Common Stock so paid or delivered, effectual to satisfy and discharge the liability for monies payable or shares deliverable upon any such Note. Notwithstanding anything to the contrary in this Indenture or the Notes following an Event of Default, any holder of a beneficial interest in a Global Note may directly enforce against the Company, without the consent, solicitation, proxy, authorization or any other action of the Depositary or any other Person, such holder’s right to exchange such beneficial interest for a Note in certificated form in accordance with the provisions of this Indenture.</w:t>
      </w:r>
    </w:p>
    <w:p>
      <w:pPr>
        <w:spacing w:after="0" w:line="169" w:lineRule="exact"/>
        <w:rPr>
          <w:sz w:val="20"/>
          <w:szCs w:val="20"/>
          <w:color w:val="auto"/>
        </w:rPr>
      </w:pPr>
    </w:p>
    <w:p>
      <w:pPr>
        <w:jc w:val="both"/>
        <w:ind w:firstLine="382"/>
        <w:spacing w:after="0" w:line="253" w:lineRule="auto"/>
        <w:rPr>
          <w:sz w:val="20"/>
          <w:szCs w:val="20"/>
          <w:color w:val="auto"/>
        </w:rPr>
      </w:pPr>
      <w:r>
        <w:rPr>
          <w:rFonts w:ascii="Times New Roman" w:cs="Times New Roman" w:eastAsia="Times New Roman" w:hAnsi="Times New Roman"/>
          <w:sz w:val="16"/>
          <w:szCs w:val="16"/>
          <w:color w:val="auto"/>
        </w:rPr>
        <w:t xml:space="preserve">Section 8.04. </w:t>
      </w:r>
      <w:r>
        <w:rPr>
          <w:rFonts w:ascii="Times New Roman" w:cs="Times New Roman" w:eastAsia="Times New Roman" w:hAnsi="Times New Roman"/>
          <w:sz w:val="16"/>
          <w:szCs w:val="16"/>
          <w:i w:val="1"/>
          <w:iCs w:val="1"/>
          <w:color w:val="auto"/>
        </w:rPr>
        <w:t>Company-Owned Notes Disregarded.</w:t>
      </w:r>
      <w:r>
        <w:rPr>
          <w:rFonts w:ascii="Times New Roman" w:cs="Times New Roman" w:eastAsia="Times New Roman" w:hAnsi="Times New Roman"/>
          <w:sz w:val="16"/>
          <w:szCs w:val="16"/>
          <w:color w:val="auto"/>
        </w:rPr>
        <w:t xml:space="preserve"> In determining whether the Holders of the requisite aggregate principal amount of Notes have concurred in any direction, consent, waiver or other action under this Indenture, Notes that are owned by the Company or by any Subsidiary thereof shall be disregarded and deemed not to be outstanding for the purpose of any such determination;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for the purposes of determining whether the Trustee shall be protected in relying on any such direction, consent, waiver or other action only Notes that a Responsible Officer knows are so owned shall be so disregarded. Notes so owned that have been pledged in good faith may be regarded as outstanding for the purposes of this Section 8.04 if the pledgee shall establish to the satisfaction of the Trustee the pledgee’s right to so act with respect to such Notes and that the pledgee is not the Company or a Subsidiary thereof. In the case of a dispute as to such right, any decision by the Trustee taken upon the advice of counsel shall be full protection to the Trustee. Upon request of the Trustee, the Company shall furnish to the Trustee promptly an Officer’s Certificate listing and identifying all Notes, if any, known by the Company to be owned or held by or for the account of any of the above described Persons; and, subject to Section 7.01, the Trustee shall be entitled to accept such Officer’s Certificate as conclusive evidence of the facts therein set forth and of the fact that all Notes not listed therein are outstanding for the purpose of any such determination.</w:t>
      </w:r>
    </w:p>
    <w:p>
      <w:pPr>
        <w:spacing w:after="0" w:line="164"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6"/>
          <w:szCs w:val="16"/>
          <w:color w:val="auto"/>
        </w:rPr>
        <w:t xml:space="preserve">Section 8.05. </w:t>
      </w:r>
      <w:r>
        <w:rPr>
          <w:rFonts w:ascii="Times New Roman" w:cs="Times New Roman" w:eastAsia="Times New Roman" w:hAnsi="Times New Roman"/>
          <w:sz w:val="16"/>
          <w:szCs w:val="16"/>
          <w:i w:val="1"/>
          <w:iCs w:val="1"/>
          <w:color w:val="auto"/>
        </w:rPr>
        <w:t>Revocation of Consents; Future Holders Bound.</w:t>
      </w:r>
      <w:r>
        <w:rPr>
          <w:rFonts w:ascii="Times New Roman" w:cs="Times New Roman" w:eastAsia="Times New Roman" w:hAnsi="Times New Roman"/>
          <w:sz w:val="16"/>
          <w:szCs w:val="16"/>
          <w:color w:val="auto"/>
        </w:rPr>
        <w:t xml:space="preserve"> At any time prior to (but not after) the evidencing to the Trustee, as provided in Section 8.01, of the taking of any action by the Holders of the percentage of the aggregate principal amount of the Notes specified in this Indenture in connection with such action, any Holder of a Note that is shown by the evidence to be included in the Notes the Holders of which have consented to such action may, by filing written notice with the Trustee at its Corporate Trust Office and upon proof of holding as provided in Section 8.02, revoke such action so far as concerns such Note. Except as aforesaid, any such action taken by the Holder of any Note shall be conclusive and binding upon such Holder and upon all future Holders and owners of such Note and of any Notes issued in exchange or substitution therefor or upon registration of transfer thereof, irrespective of whether any notation in regard thereto is made upon such Note or any Note issued in exchange or substitution therefor or upon registration of transfer thereof.</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9</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H</w:t>
      </w:r>
      <w:r>
        <w:rPr>
          <w:rFonts w:ascii="Times New Roman" w:cs="Times New Roman" w:eastAsia="Times New Roman" w:hAnsi="Times New Roman"/>
          <w:sz w:val="10"/>
          <w:szCs w:val="10"/>
          <w:color w:val="auto"/>
        </w:rPr>
        <w:t>olders</w:t>
      </w:r>
      <w:r>
        <w:rPr>
          <w:rFonts w:ascii="Times New Roman" w:cs="Times New Roman" w:eastAsia="Times New Roman" w:hAnsi="Times New Roman"/>
          <w:sz w:val="16"/>
          <w:szCs w:val="16"/>
          <w:color w:val="auto"/>
        </w:rPr>
        <w:t>’ M</w:t>
      </w:r>
      <w:r>
        <w:rPr>
          <w:rFonts w:ascii="Times New Roman" w:cs="Times New Roman" w:eastAsia="Times New Roman" w:hAnsi="Times New Roman"/>
          <w:sz w:val="10"/>
          <w:szCs w:val="10"/>
          <w:color w:val="auto"/>
        </w:rPr>
        <w:t>eetings</w:t>
      </w:r>
    </w:p>
    <w:p>
      <w:pPr>
        <w:spacing w:after="0" w:line="180" w:lineRule="exact"/>
        <w:rPr>
          <w:sz w:val="20"/>
          <w:szCs w:val="20"/>
          <w:color w:val="auto"/>
        </w:rPr>
      </w:pPr>
    </w:p>
    <w:p>
      <w:pPr>
        <w:jc w:val="both"/>
        <w:ind w:right="20" w:firstLine="382"/>
        <w:spacing w:after="0" w:line="283" w:lineRule="auto"/>
        <w:rPr>
          <w:sz w:val="20"/>
          <w:szCs w:val="20"/>
          <w:color w:val="auto"/>
        </w:rPr>
      </w:pPr>
      <w:r>
        <w:rPr>
          <w:rFonts w:ascii="Times New Roman" w:cs="Times New Roman" w:eastAsia="Times New Roman" w:hAnsi="Times New Roman"/>
          <w:sz w:val="16"/>
          <w:szCs w:val="16"/>
          <w:color w:val="auto"/>
        </w:rPr>
        <w:t xml:space="preserve">Section 9.01. </w:t>
      </w:r>
      <w:r>
        <w:rPr>
          <w:rFonts w:ascii="Times New Roman" w:cs="Times New Roman" w:eastAsia="Times New Roman" w:hAnsi="Times New Roman"/>
          <w:sz w:val="16"/>
          <w:szCs w:val="16"/>
          <w:i w:val="1"/>
          <w:iCs w:val="1"/>
          <w:color w:val="auto"/>
        </w:rPr>
        <w:t>Purpose of Meetings.</w:t>
      </w:r>
      <w:r>
        <w:rPr>
          <w:rFonts w:ascii="Times New Roman" w:cs="Times New Roman" w:eastAsia="Times New Roman" w:hAnsi="Times New Roman"/>
          <w:sz w:val="16"/>
          <w:szCs w:val="16"/>
          <w:color w:val="auto"/>
        </w:rPr>
        <w:t xml:space="preserve"> A meeting of Holders may be called at any time and from time to time pursuant to the provisions of this Article 9 for any of the following purposes:</w:t>
      </w:r>
    </w:p>
    <w:p>
      <w:pPr>
        <w:spacing w:after="0" w:line="142" w:lineRule="exact"/>
        <w:rPr>
          <w:sz w:val="20"/>
          <w:szCs w:val="20"/>
          <w:color w:val="auto"/>
        </w:rPr>
      </w:pPr>
    </w:p>
    <w:p>
      <w:pPr>
        <w:jc w:val="both"/>
        <w:ind w:firstLine="1143"/>
        <w:spacing w:after="0" w:line="265" w:lineRule="auto"/>
        <w:tabs>
          <w:tab w:leader="none" w:pos="1364"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give any notice to the Company or to the Trustee or to give any directions to the Trustee permitted under this Indenture, or to consent to the waiving of any Default or Event of Default hereunder (in each case, as permitted under this Indenture) and its consequences, or to take any other action authorized to be taken by Holders pursuant to any of the provisions of Article 6;</w:t>
      </w:r>
    </w:p>
    <w:p>
      <w:pPr>
        <w:spacing w:after="0" w:line="155"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remove the Trustee and nominate a successor trustee pursuant to the provisions of Article 7;</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71" w:name="page72"/>
    <w:bookmarkEnd w:id="71"/>
    <w:p>
      <w:pPr>
        <w:ind w:left="1360" w:hanging="217"/>
        <w:spacing w:after="0"/>
        <w:tabs>
          <w:tab w:leader="none" w:pos="136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consent to the execution of an indenture or indentures supplemental hereto pursuant to the provisions of Section 10.02; or</w:t>
      </w:r>
    </w:p>
    <w:p>
      <w:pPr>
        <w:spacing w:after="0" w:line="198" w:lineRule="exact"/>
        <w:rPr>
          <w:rFonts w:ascii="Times New Roman" w:cs="Times New Roman" w:eastAsia="Times New Roman" w:hAnsi="Times New Roman"/>
          <w:sz w:val="16"/>
          <w:szCs w:val="16"/>
          <w:color w:val="auto"/>
        </w:rPr>
      </w:pPr>
    </w:p>
    <w:p>
      <w:pPr>
        <w:ind w:right="20" w:firstLine="1143"/>
        <w:spacing w:after="0" w:line="280" w:lineRule="auto"/>
        <w:tabs>
          <w:tab w:leader="none" w:pos="1373"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take any other action authorized to be taken by or on behalf of the Holders of any specified aggregate principal amount of the Notes under any other provision of this Indenture or under applicable law.</w:t>
      </w:r>
    </w:p>
    <w:p>
      <w:pPr>
        <w:spacing w:after="0" w:line="142" w:lineRule="exact"/>
        <w:rPr>
          <w:sz w:val="20"/>
          <w:szCs w:val="20"/>
          <w:color w:val="auto"/>
        </w:rPr>
      </w:pPr>
    </w:p>
    <w:p>
      <w:pPr>
        <w:jc w:val="both"/>
        <w:ind w:firstLine="382"/>
        <w:spacing w:after="0" w:line="260" w:lineRule="auto"/>
        <w:rPr>
          <w:sz w:val="20"/>
          <w:szCs w:val="20"/>
          <w:color w:val="auto"/>
        </w:rPr>
      </w:pPr>
      <w:r>
        <w:rPr>
          <w:rFonts w:ascii="Times New Roman" w:cs="Times New Roman" w:eastAsia="Times New Roman" w:hAnsi="Times New Roman"/>
          <w:sz w:val="16"/>
          <w:szCs w:val="16"/>
          <w:color w:val="auto"/>
        </w:rPr>
        <w:t xml:space="preserve">Section 9.02. </w:t>
      </w:r>
      <w:r>
        <w:rPr>
          <w:rFonts w:ascii="Times New Roman" w:cs="Times New Roman" w:eastAsia="Times New Roman" w:hAnsi="Times New Roman"/>
          <w:sz w:val="16"/>
          <w:szCs w:val="16"/>
          <w:i w:val="1"/>
          <w:iCs w:val="1"/>
          <w:color w:val="auto"/>
        </w:rPr>
        <w:t>Call of Meetings by Trustee.</w:t>
      </w:r>
      <w:r>
        <w:rPr>
          <w:rFonts w:ascii="Times New Roman" w:cs="Times New Roman" w:eastAsia="Times New Roman" w:hAnsi="Times New Roman"/>
          <w:sz w:val="16"/>
          <w:szCs w:val="16"/>
          <w:color w:val="auto"/>
        </w:rPr>
        <w:t xml:space="preserve"> The Trustee may at any time call a meeting of Holders to take any action specified in Section 9.01, to be held at such time and at such place as the Trustee shall determine. Notice of every meeting of the Holders, setting forth the time and the place of such meeting and in general terms the action proposed to be taken at such meeting and the establishment of any record date pursuant to Section 8.01, shall be delivered to Holders of such Notes. Such notice shall also be delivered to the Company. Such notices shall be delivered not less than 20 nor more than 90 days prior to the date fixed for the meeting.</w:t>
      </w:r>
    </w:p>
    <w:p>
      <w:pPr>
        <w:spacing w:after="0" w:line="161"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Any meeting of Holders shall be valid without notice if the Holders of all Notes then outstanding are present in person or by proxy or if notice is waived before or after the meeting by the Holders of all Notes then outstanding, and if the Company and the Trustee are either present by duly authorized representatives or have, before or after the meeting, waived notice.</w:t>
      </w:r>
    </w:p>
    <w:p>
      <w:pPr>
        <w:spacing w:after="0" w:line="153"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6"/>
          <w:szCs w:val="16"/>
          <w:color w:val="auto"/>
        </w:rPr>
        <w:t xml:space="preserve">Section 9.03. </w:t>
      </w:r>
      <w:r>
        <w:rPr>
          <w:rFonts w:ascii="Times New Roman" w:cs="Times New Roman" w:eastAsia="Times New Roman" w:hAnsi="Times New Roman"/>
          <w:sz w:val="16"/>
          <w:szCs w:val="16"/>
          <w:i w:val="1"/>
          <w:iCs w:val="1"/>
          <w:color w:val="auto"/>
        </w:rPr>
        <w:t>Call of Meetings by Company or Holders.</w:t>
      </w:r>
      <w:r>
        <w:rPr>
          <w:rFonts w:ascii="Times New Roman" w:cs="Times New Roman" w:eastAsia="Times New Roman" w:hAnsi="Times New Roman"/>
          <w:sz w:val="16"/>
          <w:szCs w:val="16"/>
          <w:color w:val="auto"/>
        </w:rPr>
        <w:t xml:space="preserve"> In case at any time the Company, pursuant to a Board Resolution, or the Holders of at least 10% of the aggregate principal amount of the Notes then outstanding, shall have requested the Trustee to call a meeting of Holders, by written request setting forth in reasonable detail the action proposed to be taken at the meeting, and the Trustee shall not have delivered the notice of such meeting within 20 days after receipt of such request, then the Company or such Holders may determine the time and the place for such meeting and may call such meeting to take any action authorized in Section 9.01, by delivering notice thereof as provided in Section 9.02.</w:t>
      </w:r>
    </w:p>
    <w:p>
      <w:pPr>
        <w:spacing w:after="0" w:line="162" w:lineRule="exact"/>
        <w:rPr>
          <w:sz w:val="20"/>
          <w:szCs w:val="20"/>
          <w:color w:val="auto"/>
        </w:rPr>
      </w:pPr>
    </w:p>
    <w:p>
      <w:pPr>
        <w:jc w:val="both"/>
        <w:ind w:right="20" w:firstLine="382"/>
        <w:spacing w:after="0" w:line="260" w:lineRule="auto"/>
        <w:rPr>
          <w:sz w:val="20"/>
          <w:szCs w:val="20"/>
          <w:color w:val="auto"/>
        </w:rPr>
      </w:pPr>
      <w:r>
        <w:rPr>
          <w:rFonts w:ascii="Times New Roman" w:cs="Times New Roman" w:eastAsia="Times New Roman" w:hAnsi="Times New Roman"/>
          <w:sz w:val="16"/>
          <w:szCs w:val="16"/>
          <w:color w:val="auto"/>
        </w:rPr>
        <w:t xml:space="preserve">Section 9.04. </w:t>
      </w:r>
      <w:r>
        <w:rPr>
          <w:rFonts w:ascii="Times New Roman" w:cs="Times New Roman" w:eastAsia="Times New Roman" w:hAnsi="Times New Roman"/>
          <w:sz w:val="16"/>
          <w:szCs w:val="16"/>
          <w:i w:val="1"/>
          <w:iCs w:val="1"/>
          <w:color w:val="auto"/>
        </w:rPr>
        <w:t>Qualifications for Voting.</w:t>
      </w:r>
      <w:r>
        <w:rPr>
          <w:rFonts w:ascii="Times New Roman" w:cs="Times New Roman" w:eastAsia="Times New Roman" w:hAnsi="Times New Roman"/>
          <w:sz w:val="16"/>
          <w:szCs w:val="16"/>
          <w:color w:val="auto"/>
        </w:rPr>
        <w:t xml:space="preserve"> To be entitled to vote at any meeting of Holders a Person shall (a) be a Holder of one or more Notes on the record date pertaining to such meeting or (b) be a Person appointed by an instrument in writing as proxy by a Holder of one or more Notes on the record date pertaining to such meeting. The only Persons who shall be entitled to be present or to speak at any meeting of Holders shall be the Persons entitled to vote at such meeting and their counsel and any representatives of the Trustee and its counsel and any representatives of the Company and its counsel.</w:t>
      </w:r>
    </w:p>
    <w:p>
      <w:pPr>
        <w:spacing w:after="0" w:line="159" w:lineRule="exact"/>
        <w:rPr>
          <w:sz w:val="20"/>
          <w:szCs w:val="20"/>
          <w:color w:val="auto"/>
        </w:rPr>
      </w:pPr>
    </w:p>
    <w:p>
      <w:pPr>
        <w:jc w:val="both"/>
        <w:ind w:right="20" w:firstLine="382"/>
        <w:spacing w:after="0" w:line="266" w:lineRule="auto"/>
        <w:rPr>
          <w:sz w:val="20"/>
          <w:szCs w:val="20"/>
          <w:color w:val="auto"/>
        </w:rPr>
      </w:pPr>
      <w:r>
        <w:rPr>
          <w:rFonts w:ascii="Times New Roman" w:cs="Times New Roman" w:eastAsia="Times New Roman" w:hAnsi="Times New Roman"/>
          <w:sz w:val="16"/>
          <w:szCs w:val="16"/>
          <w:color w:val="auto"/>
        </w:rPr>
        <w:t xml:space="preserve">Section 9.05. </w:t>
      </w:r>
      <w:r>
        <w:rPr>
          <w:rFonts w:ascii="Times New Roman" w:cs="Times New Roman" w:eastAsia="Times New Roman" w:hAnsi="Times New Roman"/>
          <w:sz w:val="16"/>
          <w:szCs w:val="16"/>
          <w:i w:val="1"/>
          <w:iCs w:val="1"/>
          <w:color w:val="auto"/>
        </w:rPr>
        <w:t>Regulations.</w:t>
      </w:r>
      <w:r>
        <w:rPr>
          <w:rFonts w:ascii="Times New Roman" w:cs="Times New Roman" w:eastAsia="Times New Roman" w:hAnsi="Times New Roman"/>
          <w:sz w:val="16"/>
          <w:szCs w:val="16"/>
          <w:color w:val="auto"/>
        </w:rPr>
        <w:t xml:space="preserve"> Notwithstanding any other provisions of this Indenture, the Trustee may make such reasonable regulations as it may deem advisable for any meeting of Holders, in regard to proof of the holding of Notes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spacing w:after="0" w:line="155" w:lineRule="exact"/>
        <w:rPr>
          <w:sz w:val="20"/>
          <w:szCs w:val="20"/>
          <w:color w:val="auto"/>
        </w:rPr>
      </w:pPr>
    </w:p>
    <w:p>
      <w:pPr>
        <w:jc w:val="both"/>
        <w:ind w:right="20" w:firstLine="382"/>
        <w:spacing w:after="0" w:line="259" w:lineRule="auto"/>
        <w:rPr>
          <w:sz w:val="20"/>
          <w:szCs w:val="20"/>
          <w:color w:val="auto"/>
        </w:rPr>
      </w:pPr>
      <w:r>
        <w:rPr>
          <w:rFonts w:ascii="Times New Roman" w:cs="Times New Roman" w:eastAsia="Times New Roman" w:hAnsi="Times New Roman"/>
          <w:sz w:val="16"/>
          <w:szCs w:val="16"/>
          <w:color w:val="auto"/>
        </w:rPr>
        <w:t>The Trustee shall, by an instrument in writing, appoint a temporary chairman of the meeting, unless the meeting shall have been called by the Company or by Holders as provided in Section 9.03, in which case the Company or the Holders calling the meeting, as the case may be, shall in like manner appoint a temporary chairman. A permanent chairman and a permanent secretary of the meeting shall be elected by vote of the Holders of a majority in aggregate principal amount of the outstanding Notes (including, without limitation, additional Notes and PIK Notes) represented at the meeting and entitled to vote at the meeting.</w:t>
      </w:r>
    </w:p>
    <w:p>
      <w:pPr>
        <w:spacing w:after="0" w:line="162" w:lineRule="exact"/>
        <w:rPr>
          <w:sz w:val="20"/>
          <w:szCs w:val="20"/>
          <w:color w:val="auto"/>
        </w:rPr>
      </w:pPr>
    </w:p>
    <w:p>
      <w:pPr>
        <w:jc w:val="both"/>
        <w:ind w:right="20" w:firstLine="382"/>
        <w:spacing w:after="0" w:line="255" w:lineRule="auto"/>
        <w:rPr>
          <w:sz w:val="20"/>
          <w:szCs w:val="20"/>
          <w:color w:val="auto"/>
        </w:rPr>
      </w:pPr>
      <w:r>
        <w:rPr>
          <w:rFonts w:ascii="Times New Roman" w:cs="Times New Roman" w:eastAsia="Times New Roman" w:hAnsi="Times New Roman"/>
          <w:sz w:val="16"/>
          <w:szCs w:val="16"/>
          <w:color w:val="auto"/>
        </w:rPr>
        <w:t xml:space="preserve">Subject to the provisions of Section 8.04, at any meeting of Holders each Holder or proxyholder shall be entitled to one vote for each $1,000 principal amount of Notes held or represented by him or her;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no vote shall be cast or counted at any meeting in respect of any Note challenged as not outstanding and ruled by the chairman of the meeting to be not outstanding. The chairman of the meeting shall have no right to vote other than by virtue of Notes held by it or instruments in writing as aforesaid duly designating it as the proxy to vote on behalf of other Holders. Any meeting of Holders duly called pursuant to the provisions of Section 9.02 or Section 9.03 may be adjourned from time to time by the Holders of a majority of the aggregate principal amount of Notes represented at the meeting, whether or not constituting a quorum, and the meeting may be held as so adjourned without further notice.</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2" w:name="page73"/>
    <w:bookmarkEnd w:id="72"/>
    <w:p>
      <w:pPr>
        <w:jc w:val="both"/>
        <w:ind w:right="20" w:firstLine="382"/>
        <w:spacing w:after="0" w:line="253" w:lineRule="auto"/>
        <w:rPr>
          <w:sz w:val="20"/>
          <w:szCs w:val="20"/>
          <w:color w:val="auto"/>
        </w:rPr>
      </w:pPr>
      <w:r>
        <w:rPr>
          <w:rFonts w:ascii="Times New Roman" w:cs="Times New Roman" w:eastAsia="Times New Roman" w:hAnsi="Times New Roman"/>
          <w:sz w:val="16"/>
          <w:szCs w:val="16"/>
          <w:color w:val="auto"/>
        </w:rPr>
        <w:t xml:space="preserve">Section 9.06. </w:t>
      </w:r>
      <w:r>
        <w:rPr>
          <w:rFonts w:ascii="Times New Roman" w:cs="Times New Roman" w:eastAsia="Times New Roman" w:hAnsi="Times New Roman"/>
          <w:sz w:val="16"/>
          <w:szCs w:val="16"/>
          <w:i w:val="1"/>
          <w:iCs w:val="1"/>
          <w:color w:val="auto"/>
        </w:rPr>
        <w:t>Voting.</w:t>
      </w:r>
      <w:r>
        <w:rPr>
          <w:rFonts w:ascii="Times New Roman" w:cs="Times New Roman" w:eastAsia="Times New Roman" w:hAnsi="Times New Roman"/>
          <w:sz w:val="16"/>
          <w:szCs w:val="16"/>
          <w:color w:val="auto"/>
        </w:rPr>
        <w:t xml:space="preserve"> The vote upon any resolution submitted to any meeting of Holders shall be by written ballot on which shall be subscribed the signatures of the Holders or of their representatives by proxy and the outstanding aggregate principal amount of the Notes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delivered as provided in Section 9.02. The record shall show the aggregate principal amount of the Notes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w:t>
      </w:r>
    </w:p>
    <w:p>
      <w:pPr>
        <w:spacing w:after="0" w:line="1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Any record so signed and verified shall be conclusive evidence of the matters therein stated.</w:t>
      </w:r>
    </w:p>
    <w:p>
      <w:pPr>
        <w:spacing w:after="0" w:line="196" w:lineRule="exact"/>
        <w:rPr>
          <w:sz w:val="20"/>
          <w:szCs w:val="20"/>
          <w:color w:val="auto"/>
        </w:rPr>
      </w:pPr>
    </w:p>
    <w:p>
      <w:pPr>
        <w:jc w:val="both"/>
        <w:ind w:firstLine="382"/>
        <w:spacing w:after="0" w:line="266" w:lineRule="auto"/>
        <w:rPr>
          <w:sz w:val="20"/>
          <w:szCs w:val="20"/>
          <w:color w:val="auto"/>
        </w:rPr>
      </w:pPr>
      <w:r>
        <w:rPr>
          <w:rFonts w:ascii="Times New Roman" w:cs="Times New Roman" w:eastAsia="Times New Roman" w:hAnsi="Times New Roman"/>
          <w:sz w:val="16"/>
          <w:szCs w:val="16"/>
          <w:color w:val="auto"/>
        </w:rPr>
        <w:t xml:space="preserve">Section 9.07. </w:t>
      </w:r>
      <w:r>
        <w:rPr>
          <w:rFonts w:ascii="Times New Roman" w:cs="Times New Roman" w:eastAsia="Times New Roman" w:hAnsi="Times New Roman"/>
          <w:sz w:val="16"/>
          <w:szCs w:val="16"/>
          <w:i w:val="1"/>
          <w:iCs w:val="1"/>
          <w:color w:val="auto"/>
        </w:rPr>
        <w:t>No Delay of Rights by Meeting.</w:t>
      </w:r>
      <w:r>
        <w:rPr>
          <w:rFonts w:ascii="Times New Roman" w:cs="Times New Roman" w:eastAsia="Times New Roman" w:hAnsi="Times New Roman"/>
          <w:sz w:val="16"/>
          <w:szCs w:val="16"/>
          <w:color w:val="auto"/>
        </w:rPr>
        <w:t xml:space="preserve"> Nothing contained in this Article 9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the Holders under any of the provisions of this Indenture or of the Notes.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10</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0"/>
          <w:szCs w:val="10"/>
          <w:color w:val="auto"/>
        </w:rPr>
        <w:t>upplemental</w:t>
      </w:r>
      <w:r>
        <w:rPr>
          <w:rFonts w:ascii="Times New Roman" w:cs="Times New Roman" w:eastAsia="Times New Roman" w:hAnsi="Times New Roman"/>
          <w:sz w:val="16"/>
          <w:szCs w:val="16"/>
          <w:color w:val="auto"/>
        </w:rPr>
        <w:t xml:space="preserve"> I</w:t>
      </w:r>
      <w:r>
        <w:rPr>
          <w:rFonts w:ascii="Times New Roman" w:cs="Times New Roman" w:eastAsia="Times New Roman" w:hAnsi="Times New Roman"/>
          <w:sz w:val="10"/>
          <w:szCs w:val="10"/>
          <w:color w:val="auto"/>
        </w:rPr>
        <w:t>ndentures</w:t>
      </w:r>
    </w:p>
    <w:p>
      <w:pPr>
        <w:spacing w:after="0" w:line="180" w:lineRule="exact"/>
        <w:rPr>
          <w:sz w:val="20"/>
          <w:szCs w:val="20"/>
          <w:color w:val="auto"/>
        </w:rPr>
      </w:pPr>
    </w:p>
    <w:p>
      <w:pPr>
        <w:jc w:val="both"/>
        <w:ind w:right="20" w:firstLine="382"/>
        <w:spacing w:after="0" w:line="283" w:lineRule="auto"/>
        <w:rPr>
          <w:sz w:val="20"/>
          <w:szCs w:val="20"/>
          <w:color w:val="auto"/>
        </w:rPr>
      </w:pPr>
      <w:r>
        <w:rPr>
          <w:rFonts w:ascii="Times New Roman" w:cs="Times New Roman" w:eastAsia="Times New Roman" w:hAnsi="Times New Roman"/>
          <w:sz w:val="16"/>
          <w:szCs w:val="16"/>
          <w:color w:val="auto"/>
        </w:rPr>
        <w:t xml:space="preserve">Section 10.01. </w:t>
      </w:r>
      <w:r>
        <w:rPr>
          <w:rFonts w:ascii="Times New Roman" w:cs="Times New Roman" w:eastAsia="Times New Roman" w:hAnsi="Times New Roman"/>
          <w:sz w:val="16"/>
          <w:szCs w:val="16"/>
          <w:i w:val="1"/>
          <w:iCs w:val="1"/>
          <w:color w:val="auto"/>
        </w:rPr>
        <w:t>Supplemental Indentures Without Consent of Holders.</w:t>
      </w:r>
      <w:r>
        <w:rPr>
          <w:rFonts w:ascii="Times New Roman" w:cs="Times New Roman" w:eastAsia="Times New Roman" w:hAnsi="Times New Roman"/>
          <w:sz w:val="16"/>
          <w:szCs w:val="16"/>
          <w:color w:val="auto"/>
        </w:rPr>
        <w:t xml:space="preserve"> The Company and the Trustee, at the Company’s expense, may from time to time and at any time amend this Indenture or enter into an indenture or indentures supplemental hereto for one or more of the following purposes to:</w:t>
      </w:r>
    </w:p>
    <w:p>
      <w:pPr>
        <w:spacing w:after="0" w:line="142" w:lineRule="exact"/>
        <w:rPr>
          <w:sz w:val="20"/>
          <w:szCs w:val="20"/>
          <w:color w:val="auto"/>
        </w:rPr>
      </w:pPr>
    </w:p>
    <w:p>
      <w:pPr>
        <w:ind w:left="1360" w:hanging="217"/>
        <w:spacing w:after="0"/>
        <w:tabs>
          <w:tab w:leader="none" w:pos="13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cure any ambiguity, omission, defect or inconsistency in this Indenture;</w:t>
      </w:r>
    </w:p>
    <w:p>
      <w:pPr>
        <w:spacing w:after="0" w:line="198"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for the assumption by a Successor Company of the obligations of the Company under this Indenture pursuant to Article 11;</w:t>
      </w:r>
    </w:p>
    <w:p>
      <w:pPr>
        <w:spacing w:after="0" w:line="198"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 guarantees with respect to the Notes;</w:t>
      </w:r>
    </w:p>
    <w:p>
      <w:pPr>
        <w:spacing w:after="0" w:line="198"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secure the Notes;</w:t>
      </w:r>
    </w:p>
    <w:p>
      <w:pPr>
        <w:spacing w:after="0" w:line="198" w:lineRule="exact"/>
        <w:rPr>
          <w:rFonts w:ascii="Times New Roman" w:cs="Times New Roman" w:eastAsia="Times New Roman" w:hAnsi="Times New Roman"/>
          <w:sz w:val="16"/>
          <w:szCs w:val="16"/>
          <w:color w:val="auto"/>
        </w:rPr>
      </w:pPr>
    </w:p>
    <w:p>
      <w:pPr>
        <w:ind w:left="1380" w:hanging="237"/>
        <w:spacing w:after="0"/>
        <w:tabs>
          <w:tab w:leader="none" w:pos="138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 to the covenants or Events of Default of the Company for the benefit of the Holders or surrender any right or power conferred upon the Company</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this Indenture;</w:t>
      </w:r>
    </w:p>
    <w:p>
      <w:pPr>
        <w:spacing w:after="0" w:line="181" w:lineRule="exact"/>
        <w:rPr>
          <w:rFonts w:ascii="Times New Roman" w:cs="Times New Roman" w:eastAsia="Times New Roman" w:hAnsi="Times New Roman"/>
          <w:sz w:val="16"/>
          <w:szCs w:val="16"/>
          <w:color w:val="auto"/>
        </w:rPr>
      </w:pPr>
    </w:p>
    <w:p>
      <w:pPr>
        <w:ind w:left="1380" w:hanging="237"/>
        <w:spacing w:after="0"/>
        <w:tabs>
          <w:tab w:leader="none" w:pos="138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change that does not adversely affect the rights of any Holder in any material respect;</w:t>
      </w:r>
    </w:p>
    <w:p>
      <w:pPr>
        <w:spacing w:after="0" w:line="198"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the Conversion Rate as provided herein;</w:t>
      </w:r>
    </w:p>
    <w:p>
      <w:pPr>
        <w:spacing w:after="0" w:line="198"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 for the acceptance of appointment by a successor trustee or facilitate the administration of the trusts under this Indenture by more than one trustee;</w:t>
      </w:r>
    </w:p>
    <w:p>
      <w:pPr>
        <w:spacing w:after="0" w:line="207" w:lineRule="exact"/>
        <w:rPr>
          <w:rFonts w:ascii="Times New Roman" w:cs="Times New Roman" w:eastAsia="Times New Roman" w:hAnsi="Times New Roman"/>
          <w:sz w:val="15"/>
          <w:szCs w:val="15"/>
          <w:color w:val="auto"/>
        </w:rPr>
      </w:pPr>
    </w:p>
    <w:p>
      <w:pPr>
        <w:jc w:val="both"/>
        <w:ind w:firstLine="1143"/>
        <w:spacing w:after="0" w:line="266" w:lineRule="auto"/>
        <w:tabs>
          <w:tab w:leader="none" w:pos="1428"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irrevocably elect a Settlement Method or a Specified Dollar Amount, or eliminate the Company’s ability to select a Settlement Method;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no such election or elimination will affect any Settlement Method theretofore elected (or deemed to be elected) with respect to any Note pursuant to Section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14.02;</w:t>
      </w:r>
    </w:p>
    <w:p>
      <w:pPr>
        <w:spacing w:after="0" w:line="155" w:lineRule="exact"/>
        <w:rPr>
          <w:rFonts w:ascii="Times New Roman" w:cs="Times New Roman" w:eastAsia="Times New Roman" w:hAnsi="Times New Roman"/>
          <w:sz w:val="16"/>
          <w:szCs w:val="16"/>
          <w:color w:val="auto"/>
        </w:rPr>
      </w:pPr>
    </w:p>
    <w:p>
      <w:pPr>
        <w:ind w:firstLine="1143"/>
        <w:spacing w:after="0" w:line="280" w:lineRule="auto"/>
        <w:tabs>
          <w:tab w:leader="none" w:pos="1381"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any Merger Event, provide that the notes are convertible into Reference Property, subject to the provisions of Section 14.02, and make such related changes to the terms of the Notes to the extent expressly required by Section 14.07;</w:t>
      </w:r>
    </w:p>
    <w:p>
      <w:pPr>
        <w:spacing w:after="0" w:line="144" w:lineRule="exact"/>
        <w:rPr>
          <w:rFonts w:ascii="Times New Roman" w:cs="Times New Roman" w:eastAsia="Times New Roman" w:hAnsi="Times New Roman"/>
          <w:sz w:val="16"/>
          <w:szCs w:val="16"/>
          <w:color w:val="auto"/>
        </w:rPr>
      </w:pPr>
    </w:p>
    <w:p>
      <w:pPr>
        <w:ind w:firstLine="1143"/>
        <w:spacing w:after="0" w:line="280" w:lineRule="auto"/>
        <w:tabs>
          <w:tab w:leader="none" w:pos="1396"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comply with the rules of any applicable Depositary, including The Depository Trust Company, so long as such amendment does not materially and adversely affect the rights of any Holder;</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73" w:name="page74"/>
    <w:bookmarkEnd w:id="73"/>
    <w:p>
      <w:pPr>
        <w:ind w:left="1340" w:hanging="197"/>
        <w:spacing w:after="0"/>
        <w:tabs>
          <w:tab w:leader="none" w:pos="134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for the issuance of additional Notes in accordance with this Indenture; or</w:t>
      </w:r>
    </w:p>
    <w:p>
      <w:pPr>
        <w:spacing w:after="0" w:line="198" w:lineRule="exact"/>
        <w:rPr>
          <w:rFonts w:ascii="Times New Roman" w:cs="Times New Roman" w:eastAsia="Times New Roman" w:hAnsi="Times New Roman"/>
          <w:sz w:val="16"/>
          <w:szCs w:val="16"/>
          <w:color w:val="auto"/>
        </w:rPr>
      </w:pPr>
    </w:p>
    <w:p>
      <w:pPr>
        <w:ind w:firstLine="1143"/>
        <w:spacing w:after="0" w:line="280" w:lineRule="auto"/>
        <w:tabs>
          <w:tab w:leader="none" w:pos="1429"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comply with any requirement of the Commission in connection with the qualification of this Indenture under the Trust Indenture Act to the extent this Indenture is qualified thereunder.</w:t>
      </w:r>
    </w:p>
    <w:p>
      <w:pPr>
        <w:spacing w:after="0" w:line="144" w:lineRule="exact"/>
        <w:rPr>
          <w:sz w:val="20"/>
          <w:szCs w:val="20"/>
          <w:color w:val="auto"/>
        </w:rPr>
      </w:pPr>
    </w:p>
    <w:p>
      <w:pPr>
        <w:jc w:val="both"/>
        <w:ind w:right="20" w:firstLine="382"/>
        <w:spacing w:after="0" w:line="265" w:lineRule="auto"/>
        <w:rPr>
          <w:sz w:val="20"/>
          <w:szCs w:val="20"/>
          <w:color w:val="auto"/>
        </w:rPr>
      </w:pPr>
      <w:r>
        <w:rPr>
          <w:rFonts w:ascii="Times New Roman" w:cs="Times New Roman" w:eastAsia="Times New Roman" w:hAnsi="Times New Roman"/>
          <w:sz w:val="16"/>
          <w:szCs w:val="16"/>
          <w:color w:val="auto"/>
        </w:rPr>
        <w:t>Upon the written request of the Company, the Trustee is hereby authorized to join with the Company in the execution of any such amendment or supplemental indenture and to make any further appropriate agreements and stipulations that may be therein contained, but the Trustee shall not be obligated to, but may in its discretion, enter into any supplemental indenture that affects the Trustee’s own rights, duties or immunities under this Indenture or otherwise.</w:t>
      </w:r>
    </w:p>
    <w:p>
      <w:pPr>
        <w:spacing w:after="0" w:line="155"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Any supplemental indenture authorized by the provisions of this Section 10.01 may be executed by the Company and the Trustee without the consent of the Holders of any of the Notes at the time outstanding, notwithstanding any of the provisions of Section 10.02.</w:t>
      </w:r>
    </w:p>
    <w:p>
      <w:pPr>
        <w:spacing w:after="0" w:line="142"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6"/>
          <w:szCs w:val="16"/>
          <w:color w:val="auto"/>
        </w:rPr>
        <w:t xml:space="preserve">Section 10.02. </w:t>
      </w:r>
      <w:r>
        <w:rPr>
          <w:rFonts w:ascii="Times New Roman" w:cs="Times New Roman" w:eastAsia="Times New Roman" w:hAnsi="Times New Roman"/>
          <w:sz w:val="16"/>
          <w:szCs w:val="16"/>
          <w:i w:val="1"/>
          <w:iCs w:val="1"/>
          <w:color w:val="auto"/>
        </w:rPr>
        <w:t>Supplemental Indentures with Consent of Holders.</w:t>
      </w:r>
      <w:r>
        <w:rPr>
          <w:rFonts w:ascii="Times New Roman" w:cs="Times New Roman" w:eastAsia="Times New Roman" w:hAnsi="Times New Roman"/>
          <w:sz w:val="16"/>
          <w:szCs w:val="16"/>
          <w:color w:val="auto"/>
        </w:rPr>
        <w:t xml:space="preserve"> With the consent (evidenced as provided in Article 8) of the Holders of at least a majority of the aggregate principal amount of the Notes then outstanding (determined in accordance with Article 8 and including, without limitation, consents obtained in connection with a repurchase of, or tender or exchange offer for, Notes), the Company and the Trustee, at the Company’s expense, may from time to time and at any time enter into an indenture or indentures supplemental hereto for the purpose of adding any provisions to or changing in any manner or eliminating any of the provisions of this Indenture, the Notes or any supplemental indenture or of modifying in any manner the rights of the Holders;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without the consent of each Holder of an outstanding Note affected, no such supplemental indenture shall:</w:t>
      </w:r>
    </w:p>
    <w:p>
      <w:pPr>
        <w:spacing w:after="0" w:line="163" w:lineRule="exact"/>
        <w:rPr>
          <w:sz w:val="20"/>
          <w:szCs w:val="20"/>
          <w:color w:val="auto"/>
        </w:rPr>
      </w:pPr>
    </w:p>
    <w:p>
      <w:pPr>
        <w:ind w:left="1360" w:hanging="217"/>
        <w:spacing w:after="0"/>
        <w:tabs>
          <w:tab w:leader="none" w:pos="13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 the principal amount of Notes whose Holders must consent to an amendment;</w:t>
      </w:r>
    </w:p>
    <w:p>
      <w:pPr>
        <w:spacing w:after="0" w:line="198"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 the rate of or extend the stated time for payment of interest on any Note;</w:t>
      </w:r>
    </w:p>
    <w:p>
      <w:pPr>
        <w:spacing w:after="0" w:line="198"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 the principal of, reduce the premium payable upon conversion or redemption of a Note or extend the Maturity Date of any Note;</w:t>
      </w:r>
    </w:p>
    <w:p>
      <w:pPr>
        <w:spacing w:after="0" w:line="198"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change that adversely affects the conversion rights of any Notes;</w:t>
      </w:r>
    </w:p>
    <w:p>
      <w:pPr>
        <w:spacing w:after="0" w:line="198" w:lineRule="exact"/>
        <w:rPr>
          <w:rFonts w:ascii="Times New Roman" w:cs="Times New Roman" w:eastAsia="Times New Roman" w:hAnsi="Times New Roman"/>
          <w:sz w:val="16"/>
          <w:szCs w:val="16"/>
          <w:color w:val="auto"/>
        </w:rPr>
      </w:pPr>
    </w:p>
    <w:p>
      <w:pPr>
        <w:ind w:right="20" w:firstLine="1143"/>
        <w:spacing w:after="0" w:line="280" w:lineRule="auto"/>
        <w:tabs>
          <w:tab w:leader="none" w:pos="1376"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 the Redemption Price or the Fundamental Change Repurchase Price of any Note or amend or modify in any manner adverse to the Holders the Company’s obligation to make such payments, whether through an amendment or waiver of provisions in the covenants, definitions or otherwise;</w:t>
      </w:r>
    </w:p>
    <w:p>
      <w:pPr>
        <w:spacing w:after="0" w:line="144" w:lineRule="exact"/>
        <w:rPr>
          <w:rFonts w:ascii="Times New Roman" w:cs="Times New Roman" w:eastAsia="Times New Roman" w:hAnsi="Times New Roman"/>
          <w:sz w:val="16"/>
          <w:szCs w:val="16"/>
          <w:color w:val="auto"/>
        </w:rPr>
      </w:pPr>
    </w:p>
    <w:p>
      <w:pPr>
        <w:ind w:left="1380" w:hanging="237"/>
        <w:spacing w:after="0"/>
        <w:tabs>
          <w:tab w:leader="none" w:pos="138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Note payable in a currency, or at a place of payment, other than that stated in the Note;</w:t>
      </w:r>
    </w:p>
    <w:p>
      <w:pPr>
        <w:spacing w:after="0" w:line="198"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the ranking of the Notes;</w:t>
      </w:r>
    </w:p>
    <w:p>
      <w:pPr>
        <w:spacing w:after="0" w:line="198" w:lineRule="exact"/>
        <w:rPr>
          <w:rFonts w:ascii="Times New Roman" w:cs="Times New Roman" w:eastAsia="Times New Roman" w:hAnsi="Times New Roman"/>
          <w:sz w:val="16"/>
          <w:szCs w:val="16"/>
          <w:color w:val="auto"/>
        </w:rPr>
      </w:pPr>
    </w:p>
    <w:p>
      <w:pPr>
        <w:ind w:right="20" w:firstLine="1143"/>
        <w:spacing w:after="0" w:line="280" w:lineRule="auto"/>
        <w:tabs>
          <w:tab w:leader="none" w:pos="1373"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impair the right of any Holder to receive payment of principal and interest on such Holder’s Note on or after the due dates therefor or to institute suit for the enforcement of any payment on or with respect to such Holder’s Notes; or</w:t>
      </w:r>
    </w:p>
    <w:p>
      <w:pPr>
        <w:spacing w:after="0" w:line="144" w:lineRule="exact"/>
        <w:rPr>
          <w:rFonts w:ascii="Times New Roman" w:cs="Times New Roman" w:eastAsia="Times New Roman" w:hAnsi="Times New Roman"/>
          <w:sz w:val="16"/>
          <w:szCs w:val="16"/>
          <w:color w:val="auto"/>
        </w:rPr>
      </w:pPr>
    </w:p>
    <w:p>
      <w:pPr>
        <w:ind w:left="1380" w:hanging="237"/>
        <w:spacing w:after="0"/>
        <w:tabs>
          <w:tab w:leader="none" w:pos="138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change in this Article 10 that requires each Holder’s consent or in the waiver provisions in Section 6.02 or Section 6.09.</w:t>
      </w:r>
    </w:p>
    <w:p>
      <w:pPr>
        <w:spacing w:after="0" w:line="198"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Upon the written request of the Company, and upon the filing with the Trustee of evidence of the consent of requisite Holders as aforesaid and subject to Section 10.05,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55"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6"/>
          <w:szCs w:val="16"/>
          <w:color w:val="auto"/>
        </w:rPr>
        <w:t>Holders do not need under this Section 10.02 to approve the particular form of any proposed supplemental indenture. It shall be sufficient if such Holders approve the substance thereof. After any such supplemental indenture becomes effective, the Company shall deliver to the Holders a notice (with a copy to the Trustee) briefly describing such supplemental indenture. However, the failure to give such notice to all the Holders (with a copy to the Trustee), or any defect in the notice, will not impair or affect the validity of the supplemental indenture.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4" w:name="page75"/>
    <w:bookmarkEnd w:id="74"/>
    <w:p>
      <w:pPr>
        <w:jc w:val="both"/>
        <w:ind w:right="20" w:firstLine="382"/>
        <w:spacing w:after="0" w:line="260" w:lineRule="auto"/>
        <w:rPr>
          <w:sz w:val="20"/>
          <w:szCs w:val="20"/>
          <w:color w:val="auto"/>
        </w:rPr>
      </w:pPr>
      <w:r>
        <w:rPr>
          <w:rFonts w:ascii="Times New Roman" w:cs="Times New Roman" w:eastAsia="Times New Roman" w:hAnsi="Times New Roman"/>
          <w:sz w:val="16"/>
          <w:szCs w:val="16"/>
          <w:color w:val="auto"/>
        </w:rPr>
        <w:t xml:space="preserve">Section 10.03. </w:t>
      </w:r>
      <w:r>
        <w:rPr>
          <w:rFonts w:ascii="Times New Roman" w:cs="Times New Roman" w:eastAsia="Times New Roman" w:hAnsi="Times New Roman"/>
          <w:sz w:val="16"/>
          <w:szCs w:val="16"/>
          <w:i w:val="1"/>
          <w:iCs w:val="1"/>
          <w:color w:val="auto"/>
        </w:rPr>
        <w:t>Effect of Supplemental Indentures.</w:t>
      </w:r>
      <w:r>
        <w:rPr>
          <w:rFonts w:ascii="Times New Roman" w:cs="Times New Roman" w:eastAsia="Times New Roman" w:hAnsi="Times New Roman"/>
          <w:sz w:val="16"/>
          <w:szCs w:val="16"/>
          <w:color w:val="auto"/>
        </w:rPr>
        <w:t xml:space="preserve"> Upon the execution of any supplemental indenture pursuant to the provisions of this Article 10, this Indenture shall be and be deemed to be modified and amended in accordance therewith and the respective rights, limitation of rights, obligations, duties and immunities under this Indenture of the Trustee, the Company and the 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59"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6"/>
          <w:szCs w:val="16"/>
          <w:color w:val="auto"/>
        </w:rPr>
        <w:t xml:space="preserve">Section 10.04. </w:t>
      </w:r>
      <w:r>
        <w:rPr>
          <w:rFonts w:ascii="Times New Roman" w:cs="Times New Roman" w:eastAsia="Times New Roman" w:hAnsi="Times New Roman"/>
          <w:sz w:val="16"/>
          <w:szCs w:val="16"/>
          <w:i w:val="1"/>
          <w:iCs w:val="1"/>
          <w:color w:val="auto"/>
        </w:rPr>
        <w:t>Notation on Notes.</w:t>
      </w:r>
      <w:r>
        <w:rPr>
          <w:rFonts w:ascii="Times New Roman" w:cs="Times New Roman" w:eastAsia="Times New Roman" w:hAnsi="Times New Roman"/>
          <w:sz w:val="16"/>
          <w:szCs w:val="16"/>
          <w:color w:val="auto"/>
        </w:rPr>
        <w:t xml:space="preserve"> Notes authenticated and delivered after the execution of any supplemental indenture pursuant to the provisions of this Article 10 may, at the Company’s expense, bear a notation in form approved by the Trustee as to any matter provided for in such supplemental indenture. If the Company or the Trustee shall so determine, new Notes so modified as to conform, in the opinion of the Trustee and the Company, to any modification of this Indenture contained in any such supplemental indenture may, at the Company’s expense, be prepared and executed by the Company, authenticated by the Trustee (or an authenticating agent duly appointed by the Trustee pursuant to Section 18.10) and delivered in exchange for the Notes then outstanding, upon surrender of such Notes then outstanding.</w:t>
      </w:r>
    </w:p>
    <w:p>
      <w:pPr>
        <w:spacing w:after="0" w:line="162"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6"/>
          <w:szCs w:val="16"/>
          <w:color w:val="auto"/>
        </w:rPr>
        <w:t xml:space="preserve">Section 10.05. </w:t>
      </w:r>
      <w:r>
        <w:rPr>
          <w:rFonts w:ascii="Times New Roman" w:cs="Times New Roman" w:eastAsia="Times New Roman" w:hAnsi="Times New Roman"/>
          <w:sz w:val="16"/>
          <w:szCs w:val="16"/>
          <w:i w:val="1"/>
          <w:iCs w:val="1"/>
          <w:color w:val="auto"/>
        </w:rPr>
        <w:t>Evidence of Compliance of Supplemental Indenture to Be Furnished Trustee.</w:t>
      </w:r>
      <w:r>
        <w:rPr>
          <w:rFonts w:ascii="Times New Roman" w:cs="Times New Roman" w:eastAsia="Times New Roman" w:hAnsi="Times New Roman"/>
          <w:sz w:val="16"/>
          <w:szCs w:val="16"/>
          <w:color w:val="auto"/>
        </w:rPr>
        <w:t xml:space="preserve"> In addition to the documents required by Section 18.05, the Trustee shall receive an Officer’s Certificate and an Opinion of Counsel as conclusive evidence that any supplemental indenture executed pursuant hereto complies with the requirements of this Article 10 and is permitted or authorized by this Indenture; such Opinion of Counsel shall include a customary legal opinion stating that such supplemental indenture is the valid and binding obligation of the Company, subject to customary exceptions and qualifications. The Trustee shall have no responsibility for determining whether any amendment or supplemental indenture will or may have an adverse effect on any Holder.</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11</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w:t>
      </w:r>
      <w:r>
        <w:rPr>
          <w:rFonts w:ascii="Times New Roman" w:cs="Times New Roman" w:eastAsia="Times New Roman" w:hAnsi="Times New Roman"/>
          <w:sz w:val="10"/>
          <w:szCs w:val="10"/>
          <w:color w:val="auto"/>
        </w:rPr>
        <w:t>onsolidation</w:t>
      </w:r>
      <w:r>
        <w:rPr>
          <w:rFonts w:ascii="Times New Roman" w:cs="Times New Roman" w:eastAsia="Times New Roman" w:hAnsi="Times New Roman"/>
          <w:sz w:val="16"/>
          <w:szCs w:val="16"/>
          <w:color w:val="auto"/>
        </w:rPr>
        <w:t>, M</w:t>
      </w:r>
      <w:r>
        <w:rPr>
          <w:rFonts w:ascii="Times New Roman" w:cs="Times New Roman" w:eastAsia="Times New Roman" w:hAnsi="Times New Roman"/>
          <w:sz w:val="10"/>
          <w:szCs w:val="10"/>
          <w:color w:val="auto"/>
        </w:rPr>
        <w:t>erger</w:t>
      </w:r>
      <w:r>
        <w:rPr>
          <w:rFonts w:ascii="Times New Roman" w:cs="Times New Roman" w:eastAsia="Times New Roman" w:hAnsi="Times New Roman"/>
          <w:sz w:val="16"/>
          <w:szCs w:val="16"/>
          <w:color w:val="auto"/>
        </w:rPr>
        <w:t>, S</w:t>
      </w:r>
      <w:r>
        <w:rPr>
          <w:rFonts w:ascii="Times New Roman" w:cs="Times New Roman" w:eastAsia="Times New Roman" w:hAnsi="Times New Roman"/>
          <w:sz w:val="10"/>
          <w:szCs w:val="10"/>
          <w:color w:val="auto"/>
        </w:rPr>
        <w:t>ale</w:t>
      </w:r>
      <w:r>
        <w:rPr>
          <w:rFonts w:ascii="Times New Roman" w:cs="Times New Roman" w:eastAsia="Times New Roman" w:hAnsi="Times New Roman"/>
          <w:sz w:val="16"/>
          <w:szCs w:val="16"/>
          <w:color w:val="auto"/>
        </w:rPr>
        <w:t>, C</w:t>
      </w:r>
      <w:r>
        <w:rPr>
          <w:rFonts w:ascii="Times New Roman" w:cs="Times New Roman" w:eastAsia="Times New Roman" w:hAnsi="Times New Roman"/>
          <w:sz w:val="10"/>
          <w:szCs w:val="10"/>
          <w:color w:val="auto"/>
        </w:rPr>
        <w:t>onveyance and</w:t>
      </w:r>
      <w:r>
        <w:rPr>
          <w:rFonts w:ascii="Times New Roman" w:cs="Times New Roman" w:eastAsia="Times New Roman" w:hAnsi="Times New Roman"/>
          <w:sz w:val="16"/>
          <w:szCs w:val="16"/>
          <w:color w:val="auto"/>
        </w:rPr>
        <w:t xml:space="preserve"> L</w:t>
      </w:r>
      <w:r>
        <w:rPr>
          <w:rFonts w:ascii="Times New Roman" w:cs="Times New Roman" w:eastAsia="Times New Roman" w:hAnsi="Times New Roman"/>
          <w:sz w:val="10"/>
          <w:szCs w:val="10"/>
          <w:color w:val="auto"/>
        </w:rPr>
        <w:t>ease</w:t>
      </w:r>
    </w:p>
    <w:p>
      <w:pPr>
        <w:spacing w:after="0" w:line="180" w:lineRule="exact"/>
        <w:rPr>
          <w:sz w:val="20"/>
          <w:szCs w:val="20"/>
          <w:color w:val="auto"/>
        </w:rPr>
      </w:pPr>
    </w:p>
    <w:p>
      <w:pPr>
        <w:jc w:val="both"/>
        <w:ind w:right="20" w:firstLine="382"/>
        <w:spacing w:after="0" w:line="318" w:lineRule="auto"/>
        <w:rPr>
          <w:sz w:val="20"/>
          <w:szCs w:val="20"/>
          <w:color w:val="auto"/>
        </w:rPr>
      </w:pPr>
      <w:r>
        <w:rPr>
          <w:rFonts w:ascii="Times New Roman" w:cs="Times New Roman" w:eastAsia="Times New Roman" w:hAnsi="Times New Roman"/>
          <w:sz w:val="15"/>
          <w:szCs w:val="15"/>
          <w:color w:val="auto"/>
        </w:rPr>
        <w:t xml:space="preserve">Section 11.01. </w:t>
      </w:r>
      <w:r>
        <w:rPr>
          <w:rFonts w:ascii="Times New Roman" w:cs="Times New Roman" w:eastAsia="Times New Roman" w:hAnsi="Times New Roman"/>
          <w:sz w:val="15"/>
          <w:szCs w:val="15"/>
          <w:i w:val="1"/>
          <w:iCs w:val="1"/>
          <w:color w:val="auto"/>
        </w:rPr>
        <w:t>Company May Consolidate, Etc. on Certain Terms.</w:t>
      </w:r>
      <w:r>
        <w:rPr>
          <w:rFonts w:ascii="Times New Roman" w:cs="Times New Roman" w:eastAsia="Times New Roman" w:hAnsi="Times New Roman"/>
          <w:sz w:val="15"/>
          <w:szCs w:val="15"/>
          <w:color w:val="auto"/>
        </w:rPr>
        <w:t xml:space="preserve"> Subject to the provisions of Section 11.02, the Company shall not consolidate with, merge with or into, or sell, convey, transfer or lease all or substantially all of the consolidated assets of the Company and its consolidated subsidiaries, taken as a whole, to another Person unless:</w:t>
      </w:r>
    </w:p>
    <w:p>
      <w:pPr>
        <w:spacing w:after="0" w:line="116" w:lineRule="exact"/>
        <w:rPr>
          <w:sz w:val="20"/>
          <w:szCs w:val="20"/>
          <w:color w:val="auto"/>
        </w:rPr>
      </w:pPr>
    </w:p>
    <w:p>
      <w:pPr>
        <w:jc w:val="both"/>
        <w:ind w:firstLine="1143"/>
        <w:spacing w:after="0" w:line="266" w:lineRule="auto"/>
        <w:tabs>
          <w:tab w:leader="none" w:pos="1364"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resulting, surviving or transferee Person (the “</w:t>
      </w:r>
      <w:r>
        <w:rPr>
          <w:rFonts w:ascii="Times New Roman" w:cs="Times New Roman" w:eastAsia="Times New Roman" w:hAnsi="Times New Roman"/>
          <w:sz w:val="16"/>
          <w:szCs w:val="16"/>
          <w:b w:val="1"/>
          <w:bCs w:val="1"/>
          <w:color w:val="auto"/>
        </w:rPr>
        <w:t>Successor Company</w:t>
      </w:r>
      <w:r>
        <w:rPr>
          <w:rFonts w:ascii="Times New Roman" w:cs="Times New Roman" w:eastAsia="Times New Roman" w:hAnsi="Times New Roman"/>
          <w:sz w:val="16"/>
          <w:szCs w:val="16"/>
          <w:color w:val="auto"/>
        </w:rPr>
        <w:t>”), if not the Company, shall be a corporation organized and existing under the laws of the United States of America, any State thereof or the District of Columbia, and the Successor Company (if not the Company) shall expressly assume, by supplemental indenture all of the obligations of the Company under the Notes and this Indenture;</w:t>
      </w:r>
    </w:p>
    <w:p>
      <w:pPr>
        <w:spacing w:after="0" w:line="155"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immediately after giving effect to such transaction, no Default or Event of Default shall have occurred and be continuing under this Indenture;</w:t>
      </w:r>
    </w:p>
    <w:p>
      <w:pPr>
        <w:spacing w:after="0" w:line="198"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76"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upon the occurrence of any such transaction, (x) the Notes would become convertible into securities issued by an issuer other than the resulting, surviving, transferee or successor corporation, and (y) such resulting, surviving, transferee or successor corporation is a Wholly Owned Subsidiary of the issuer of such securities into which the Notes have become convertible, such other issuer shall fully and unconditionally guarantee on a senior basis the resulting, surviving, transferee or successor corporation’s obligations under the Notes; and</w:t>
      </w:r>
    </w:p>
    <w:p>
      <w:pPr>
        <w:spacing w:after="0" w:line="161" w:lineRule="exact"/>
        <w:rPr>
          <w:rFonts w:ascii="Times New Roman" w:cs="Times New Roman" w:eastAsia="Times New Roman" w:hAnsi="Times New Roman"/>
          <w:sz w:val="16"/>
          <w:szCs w:val="16"/>
          <w:color w:val="auto"/>
        </w:rPr>
      </w:pPr>
    </w:p>
    <w:p>
      <w:pPr>
        <w:ind w:right="20" w:firstLine="1143"/>
        <w:spacing w:after="0" w:line="280" w:lineRule="auto"/>
        <w:tabs>
          <w:tab w:leader="none" w:pos="1373"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Guarantor, unless such Guarantor is the Person with which the Company has entered into a transaction under this Section 11.01, will have confirmed in writing that its Guarantee will continue to apply to the Obligations of the Company or the surviving entity in accordance with the Notes and this Indenture.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75" w:name="page76"/>
    <w:bookmarkEnd w:id="75"/>
    <w:p>
      <w:pPr>
        <w:jc w:val="both"/>
        <w:ind w:left="4" w:firstLine="382"/>
        <w:spacing w:after="0" w:line="257" w:lineRule="auto"/>
        <w:rPr>
          <w:sz w:val="20"/>
          <w:szCs w:val="20"/>
          <w:color w:val="auto"/>
        </w:rPr>
      </w:pPr>
      <w:r>
        <w:rPr>
          <w:rFonts w:ascii="Times New Roman" w:cs="Times New Roman" w:eastAsia="Times New Roman" w:hAnsi="Times New Roman"/>
          <w:sz w:val="16"/>
          <w:szCs w:val="16"/>
          <w:color w:val="auto"/>
        </w:rPr>
        <w:t>For purposes of this Section 11.01, the sale, conveyance, transfer or lease of all or substantially all of the properties and assets of one or more Subsidiaries of the Company to another Person, which properties and assets, if held by the Company instead of such Subsidiaries, would constitute all or substantially all of the properties and assets of the Company on a consolidated basis, shall be deemed to be the sale, conveyance, transfer or lease of all or substantially all of the properties and assets of the Company to another Person. Notwithstanding the foregoing, this Article 11 shall not apply to any sale, conveyance, transfer or lease of assets between or among the Company and its direct or indirect Wholly Owned Subsidiaries and, in such an event, the Company shall not be discharged from its obligations under the Notes and this Indenture.</w:t>
      </w:r>
    </w:p>
    <w:p>
      <w:pPr>
        <w:spacing w:after="0" w:line="160" w:lineRule="exact"/>
        <w:rPr>
          <w:sz w:val="20"/>
          <w:szCs w:val="20"/>
          <w:color w:val="auto"/>
        </w:rPr>
      </w:pPr>
    </w:p>
    <w:p>
      <w:pPr>
        <w:jc w:val="both"/>
        <w:ind w:left="4" w:firstLine="382"/>
        <w:spacing w:after="0" w:line="251" w:lineRule="auto"/>
        <w:rPr>
          <w:sz w:val="20"/>
          <w:szCs w:val="20"/>
          <w:color w:val="auto"/>
        </w:rPr>
      </w:pPr>
      <w:r>
        <w:rPr>
          <w:rFonts w:ascii="Times New Roman" w:cs="Times New Roman" w:eastAsia="Times New Roman" w:hAnsi="Times New Roman"/>
          <w:sz w:val="16"/>
          <w:szCs w:val="16"/>
          <w:color w:val="auto"/>
        </w:rPr>
        <w:t xml:space="preserve">Section 11.02. </w:t>
      </w:r>
      <w:r>
        <w:rPr>
          <w:rFonts w:ascii="Times New Roman" w:cs="Times New Roman" w:eastAsia="Times New Roman" w:hAnsi="Times New Roman"/>
          <w:sz w:val="16"/>
          <w:szCs w:val="16"/>
          <w:i w:val="1"/>
          <w:iCs w:val="1"/>
          <w:color w:val="auto"/>
        </w:rPr>
        <w:t>Successor Corporation to Be Substituted.</w:t>
      </w:r>
      <w:r>
        <w:rPr>
          <w:rFonts w:ascii="Times New Roman" w:cs="Times New Roman" w:eastAsia="Times New Roman" w:hAnsi="Times New Roman"/>
          <w:sz w:val="16"/>
          <w:szCs w:val="16"/>
          <w:color w:val="auto"/>
        </w:rPr>
        <w:t xml:space="preserve"> In case of any such consolidation, merger, sale, conveyance, transfer or lease and upon the assumption by the Successor Company, by supplemental indenture, executed and delivered to the Trustee and satisfactory in form to the Trustee, of the due and punctual payment of the principal of and accrued and unpaid interest on all of the Notes, the due and punctual delivery or payment, as the case may be, of any consideration due upon conversion of the Notes and the due and punctual performance of all of the covenants and conditions of this Indenture to be performed by the Company, such Successor Company (if not the Company) shall succeed to and, except in the case of a lease of all or substantially all of the Company’s properties and assets, shall be substituted for the Company, with the same effect as if it had been named herein as the party of the first part, and may thereafter exercise every right and power of the Company under this Indenture. Such Successor Company thereupon may cause to be signed, and may issue either in its own name or in the name of the Company any or all of the Notes issuable hereunder which theretofore shall not have been signed by the Company and delivered to the Trustee; and, upon the order of such Successor Company instead of the Company and subject to all the terms, conditions and limitations in this Indenture prescribed, the Trustee shall authenticate and shall deliver, or cause to be authenticated and delivered, any Notes that previously shall have been signed and delivered by the Officers of the Company to the Trustee for authentication, and any Notes that such Successor Company thereafter shall cause to be signed and delivered to the Trustee 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 hereof. In the event of any such consolidation, merger, sale, conveyance or transfer (but not in the case of a lease), upon compliance with this Article 11 the Person named as the “Company” in the first paragraph of this Indenture (or any successor that shall thereafter have become such in the manner prescribed in this Article 11) may be dissolved, wound up and liquidated at any time thereafter and, except in the case of a lease, such Person shall be released from its liabilities as obligor and maker of the Notes and from its obligations under this Indenture and the Notes.</w:t>
      </w:r>
    </w:p>
    <w:p>
      <w:pPr>
        <w:spacing w:after="0" w:line="174" w:lineRule="exact"/>
        <w:rPr>
          <w:sz w:val="20"/>
          <w:szCs w:val="20"/>
          <w:color w:val="auto"/>
        </w:rPr>
      </w:pPr>
    </w:p>
    <w:p>
      <w:pPr>
        <w:jc w:val="both"/>
        <w:ind w:left="4" w:right="20" w:firstLine="382"/>
        <w:spacing w:after="0" w:line="280" w:lineRule="auto"/>
        <w:rPr>
          <w:sz w:val="20"/>
          <w:szCs w:val="20"/>
          <w:color w:val="auto"/>
        </w:rPr>
      </w:pPr>
      <w:r>
        <w:rPr>
          <w:rFonts w:ascii="Times New Roman" w:cs="Times New Roman" w:eastAsia="Times New Roman" w:hAnsi="Times New Roman"/>
          <w:sz w:val="16"/>
          <w:szCs w:val="16"/>
          <w:color w:val="auto"/>
        </w:rPr>
        <w:t>In case of any such consolidation, merger, sale, conveyance, transfer or lease, such changes in phraseology and form (but not in substance) may be made in the Notes thereafter to be issued as may be appropriate.</w:t>
      </w:r>
    </w:p>
    <w:p>
      <w:pPr>
        <w:spacing w:after="0" w:line="14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ARTICLE 12</w:t>
      </w:r>
    </w:p>
    <w:p>
      <w:pPr>
        <w:spacing w:after="0" w:line="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I</w:t>
      </w:r>
      <w:r>
        <w:rPr>
          <w:rFonts w:ascii="Times New Roman" w:cs="Times New Roman" w:eastAsia="Times New Roman" w:hAnsi="Times New Roman"/>
          <w:sz w:val="10"/>
          <w:szCs w:val="10"/>
          <w:color w:val="auto"/>
        </w:rPr>
        <w:t>mmunity of</w:t>
      </w:r>
      <w:r>
        <w:rPr>
          <w:rFonts w:ascii="Times New Roman" w:cs="Times New Roman" w:eastAsia="Times New Roman" w:hAnsi="Times New Roman"/>
          <w:sz w:val="16"/>
          <w:szCs w:val="16"/>
          <w:color w:val="auto"/>
        </w:rPr>
        <w:t xml:space="preserve"> I</w:t>
      </w:r>
      <w:r>
        <w:rPr>
          <w:rFonts w:ascii="Times New Roman" w:cs="Times New Roman" w:eastAsia="Times New Roman" w:hAnsi="Times New Roman"/>
          <w:sz w:val="10"/>
          <w:szCs w:val="10"/>
          <w:color w:val="auto"/>
        </w:rPr>
        <w:t>ncorporators</w:t>
      </w:r>
      <w:r>
        <w:rPr>
          <w:rFonts w:ascii="Times New Roman" w:cs="Times New Roman" w:eastAsia="Times New Roman" w:hAnsi="Times New Roman"/>
          <w:sz w:val="16"/>
          <w:szCs w:val="16"/>
          <w:color w:val="auto"/>
        </w:rPr>
        <w:t>, S</w:t>
      </w:r>
      <w:r>
        <w:rPr>
          <w:rFonts w:ascii="Times New Roman" w:cs="Times New Roman" w:eastAsia="Times New Roman" w:hAnsi="Times New Roman"/>
          <w:sz w:val="10"/>
          <w:szCs w:val="10"/>
          <w:color w:val="auto"/>
        </w:rPr>
        <w:t>tockholders</w:t>
      </w:r>
      <w:r>
        <w:rPr>
          <w:rFonts w:ascii="Times New Roman" w:cs="Times New Roman" w:eastAsia="Times New Roman" w:hAnsi="Times New Roman"/>
          <w:sz w:val="16"/>
          <w:szCs w:val="16"/>
          <w:color w:val="auto"/>
        </w:rPr>
        <w:t>, O</w:t>
      </w:r>
      <w:r>
        <w:rPr>
          <w:rFonts w:ascii="Times New Roman" w:cs="Times New Roman" w:eastAsia="Times New Roman" w:hAnsi="Times New Roman"/>
          <w:sz w:val="10"/>
          <w:szCs w:val="10"/>
          <w:color w:val="auto"/>
        </w:rPr>
        <w:t>fficers and</w:t>
      </w:r>
      <w:r>
        <w:rPr>
          <w:rFonts w:ascii="Times New Roman" w:cs="Times New Roman" w:eastAsia="Times New Roman" w:hAnsi="Times New Roman"/>
          <w:sz w:val="16"/>
          <w:szCs w:val="16"/>
          <w:color w:val="auto"/>
        </w:rPr>
        <w:t xml:space="preserve"> D</w:t>
      </w:r>
      <w:r>
        <w:rPr>
          <w:rFonts w:ascii="Times New Roman" w:cs="Times New Roman" w:eastAsia="Times New Roman" w:hAnsi="Times New Roman"/>
          <w:sz w:val="10"/>
          <w:szCs w:val="10"/>
          <w:color w:val="auto"/>
        </w:rPr>
        <w:t>irectors</w:t>
      </w:r>
    </w:p>
    <w:p>
      <w:pPr>
        <w:spacing w:after="0" w:line="180" w:lineRule="exact"/>
        <w:rPr>
          <w:sz w:val="20"/>
          <w:szCs w:val="20"/>
          <w:color w:val="auto"/>
        </w:rPr>
      </w:pPr>
    </w:p>
    <w:p>
      <w:pPr>
        <w:jc w:val="both"/>
        <w:ind w:left="4" w:right="20" w:firstLine="382"/>
        <w:spacing w:after="0" w:line="276" w:lineRule="auto"/>
        <w:rPr>
          <w:sz w:val="20"/>
          <w:szCs w:val="20"/>
          <w:color w:val="auto"/>
        </w:rPr>
      </w:pPr>
      <w:r>
        <w:rPr>
          <w:rFonts w:ascii="Times New Roman" w:cs="Times New Roman" w:eastAsia="Times New Roman" w:hAnsi="Times New Roman"/>
          <w:sz w:val="15"/>
          <w:szCs w:val="15"/>
          <w:color w:val="auto"/>
        </w:rPr>
        <w:t xml:space="preserve">Section 12.01. </w:t>
      </w:r>
      <w:r>
        <w:rPr>
          <w:rFonts w:ascii="Times New Roman" w:cs="Times New Roman" w:eastAsia="Times New Roman" w:hAnsi="Times New Roman"/>
          <w:sz w:val="15"/>
          <w:szCs w:val="15"/>
          <w:i w:val="1"/>
          <w:iCs w:val="1"/>
          <w:color w:val="auto"/>
        </w:rPr>
        <w:t>Indenture and Notes Solely Corporate Obligations.</w:t>
      </w:r>
      <w:r>
        <w:rPr>
          <w:rFonts w:ascii="Times New Roman" w:cs="Times New Roman" w:eastAsia="Times New Roman" w:hAnsi="Times New Roman"/>
          <w:sz w:val="15"/>
          <w:szCs w:val="15"/>
          <w:color w:val="auto"/>
        </w:rPr>
        <w:t xml:space="preserve"> No recourse for the payment of the principal of or accrued and unpaid interest on any Note, nor for any claim based thereon or otherwise in respect thereof, and no recourse under or upon any obligation, covenant or agreement of the Company in this Indenture or in any supplemental indenture or in any Note, nor because of the creation of any indebtedness represented thereby, shall be had against any incorporator, stockholder, employee, agent, Officer or director or Subsidiary, as such, past, present or future, of the Company or of any successor corporation, either directly or through the Company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Notes.</w:t>
      </w:r>
    </w:p>
    <w:p>
      <w:pPr>
        <w:spacing w:after="0" w:line="15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ARTICLE 13</w:t>
      </w:r>
    </w:p>
    <w:p>
      <w:pPr>
        <w:spacing w:after="0" w:line="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[R</w:t>
      </w:r>
      <w:r>
        <w:rPr>
          <w:rFonts w:ascii="Times New Roman" w:cs="Times New Roman" w:eastAsia="Times New Roman" w:hAnsi="Times New Roman"/>
          <w:sz w:val="10"/>
          <w:szCs w:val="10"/>
          <w:color w:val="auto"/>
        </w:rPr>
        <w:t>eserved</w:t>
      </w:r>
      <w:r>
        <w:rPr>
          <w:rFonts w:ascii="Times New Roman" w:cs="Times New Roman" w:eastAsia="Times New Roman" w:hAnsi="Times New Roman"/>
          <w:sz w:val="16"/>
          <w:szCs w:val="16"/>
          <w:color w:val="auto"/>
        </w:rPr>
        <w:t>]</w:t>
      </w:r>
    </w:p>
    <w:p>
      <w:pPr>
        <w:spacing w:after="0" w:line="18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ARTICLE 14</w:t>
      </w:r>
    </w:p>
    <w:p>
      <w:pPr>
        <w:spacing w:after="0" w:line="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C</w:t>
      </w:r>
      <w:r>
        <w:rPr>
          <w:rFonts w:ascii="Times New Roman" w:cs="Times New Roman" w:eastAsia="Times New Roman" w:hAnsi="Times New Roman"/>
          <w:sz w:val="10"/>
          <w:szCs w:val="10"/>
          <w:color w:val="auto"/>
        </w:rPr>
        <w:t>onversion of</w:t>
      </w:r>
      <w:r>
        <w:rPr>
          <w:rFonts w:ascii="Times New Roman" w:cs="Times New Roman" w:eastAsia="Times New Roman" w:hAnsi="Times New Roman"/>
          <w:sz w:val="16"/>
          <w:szCs w:val="16"/>
          <w:color w:val="auto"/>
        </w:rPr>
        <w:t xml:space="preserve"> N</w:t>
      </w:r>
      <w:r>
        <w:rPr>
          <w:rFonts w:ascii="Times New Roman" w:cs="Times New Roman" w:eastAsia="Times New Roman" w:hAnsi="Times New Roman"/>
          <w:sz w:val="10"/>
          <w:szCs w:val="10"/>
          <w:color w:val="auto"/>
        </w:rPr>
        <w:t>otes</w:t>
      </w:r>
    </w:p>
    <w:p>
      <w:pPr>
        <w:spacing w:after="0" w:line="180" w:lineRule="exact"/>
        <w:rPr>
          <w:sz w:val="20"/>
          <w:szCs w:val="20"/>
          <w:color w:val="auto"/>
        </w:rPr>
      </w:pPr>
    </w:p>
    <w:p>
      <w:pPr>
        <w:jc w:val="both"/>
        <w:ind w:left="4" w:right="20" w:firstLine="382"/>
        <w:spacing w:after="0" w:line="261" w:lineRule="auto"/>
        <w:rPr>
          <w:sz w:val="20"/>
          <w:szCs w:val="20"/>
          <w:color w:val="auto"/>
        </w:rPr>
      </w:pPr>
      <w:r>
        <w:rPr>
          <w:rFonts w:ascii="Times New Roman" w:cs="Times New Roman" w:eastAsia="Times New Roman" w:hAnsi="Times New Roman"/>
          <w:sz w:val="16"/>
          <w:szCs w:val="16"/>
          <w:color w:val="auto"/>
        </w:rPr>
        <w:t xml:space="preserve">Section 14.01. </w:t>
      </w:r>
      <w:r>
        <w:rPr>
          <w:rFonts w:ascii="Times New Roman" w:cs="Times New Roman" w:eastAsia="Times New Roman" w:hAnsi="Times New Roman"/>
          <w:sz w:val="16"/>
          <w:szCs w:val="16"/>
          <w:i w:val="1"/>
          <w:iCs w:val="1"/>
          <w:color w:val="auto"/>
        </w:rPr>
        <w:t>Conversion Privilege.</w:t>
      </w:r>
      <w:r>
        <w:rPr>
          <w:rFonts w:ascii="Times New Roman" w:cs="Times New Roman" w:eastAsia="Times New Roman" w:hAnsi="Times New Roman"/>
          <w:sz w:val="16"/>
          <w:szCs w:val="16"/>
          <w:color w:val="auto"/>
        </w:rPr>
        <w:t xml:space="preserve"> Subject to and upon compliance with the provisions of this Article 14, each Holder of a Note shall have the right, at such Holder’s option, to convert all or any portion (if the portion to be converted is $1,000 principal amount or an integral multiple of $1.00 in excess thereof) of such Note at any time prior</w:t>
      </w:r>
    </w:p>
    <w:p>
      <w:pPr>
        <w:spacing w:after="0" w:line="1" w:lineRule="exact"/>
        <w:rPr>
          <w:sz w:val="20"/>
          <w:szCs w:val="20"/>
          <w:color w:val="auto"/>
        </w:rPr>
      </w:pPr>
    </w:p>
    <w:p>
      <w:pPr>
        <w:jc w:val="both"/>
        <w:ind w:left="4" w:right="20"/>
        <w:spacing w:after="0" w:line="225" w:lineRule="auto"/>
        <w:rPr>
          <w:sz w:val="20"/>
          <w:szCs w:val="20"/>
          <w:color w:val="auto"/>
        </w:rPr>
      </w:pPr>
      <w:r>
        <w:rPr>
          <w:rFonts w:ascii="Times New Roman" w:cs="Times New Roman" w:eastAsia="Times New Roman" w:hAnsi="Times New Roman"/>
          <w:sz w:val="16"/>
          <w:szCs w:val="16"/>
          <w:color w:val="auto"/>
        </w:rPr>
        <w:t>to the close of business on the second Scheduled Trading Day immediately preceding the Maturity Date at an initial conversion rate of [●]</w:t>
      </w:r>
      <w:r>
        <w:rPr>
          <w:rFonts w:ascii="Times New Roman" w:cs="Times New Roman" w:eastAsia="Times New Roman" w:hAnsi="Times New Roman"/>
          <w:sz w:val="26"/>
          <w:szCs w:val="26"/>
          <w:color w:val="auto"/>
          <w:vertAlign w:val="superscript"/>
        </w:rPr>
        <w:t>8</w:t>
      </w:r>
      <w:r>
        <w:rPr>
          <w:rFonts w:ascii="Times New Roman" w:cs="Times New Roman" w:eastAsia="Times New Roman" w:hAnsi="Times New Roman"/>
          <w:sz w:val="16"/>
          <w:szCs w:val="16"/>
          <w:color w:val="auto"/>
        </w:rPr>
        <w:t xml:space="preserve"> shares of Common Stock (subject to adjustment as provided in this Article 14, the “</w:t>
      </w:r>
      <w:r>
        <w:rPr>
          <w:rFonts w:ascii="Times New Roman" w:cs="Times New Roman" w:eastAsia="Times New Roman" w:hAnsi="Times New Roman"/>
          <w:sz w:val="16"/>
          <w:szCs w:val="16"/>
          <w:b w:val="1"/>
          <w:bCs w:val="1"/>
          <w:color w:val="auto"/>
        </w:rPr>
        <w:t>Conversion Rate</w:t>
      </w:r>
      <w:r>
        <w:rPr>
          <w:rFonts w:ascii="Times New Roman" w:cs="Times New Roman" w:eastAsia="Times New Roman" w:hAnsi="Times New Roman"/>
          <w:sz w:val="16"/>
          <w:szCs w:val="16"/>
          <w:color w:val="auto"/>
        </w:rPr>
        <w:t>”) per $1,000 principal amount of Notes (subject to, and in accordance with, the settlement provisions of Section 14.02, the “</w:t>
      </w:r>
      <w:r>
        <w:rPr>
          <w:rFonts w:ascii="Times New Roman" w:cs="Times New Roman" w:eastAsia="Times New Roman" w:hAnsi="Times New Roman"/>
          <w:sz w:val="16"/>
          <w:szCs w:val="16"/>
          <w:b w:val="1"/>
          <w:bCs w:val="1"/>
          <w:color w:val="auto"/>
        </w:rPr>
        <w:t>Conversion Obligation</w:t>
      </w:r>
      <w:r>
        <w:rPr>
          <w:rFonts w:ascii="Times New Roman" w:cs="Times New Roman" w:eastAsia="Times New Roman" w:hAnsi="Times New Roman"/>
          <w:sz w:val="16"/>
          <w:szCs w:val="16"/>
          <w:color w:val="auto"/>
        </w:rPr>
        <w:t>”). Any conversion of Notes and any calculation or adjustment in connection with any conversion (including, for the avoidance of doubt, any Specified Dollar Amount), in excess of $1,000 will be calculated and converted on a proportional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1790700"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193" w:lineRule="exact"/>
        <w:rPr>
          <w:sz w:val="20"/>
          <w:szCs w:val="20"/>
          <w:color w:val="auto"/>
        </w:rPr>
      </w:pPr>
    </w:p>
    <w:p>
      <w:pPr>
        <w:ind w:left="5544" w:right="4960" w:hanging="5544"/>
        <w:spacing w:after="0" w:line="779" w:lineRule="auto"/>
        <w:tabs>
          <w:tab w:leader="none" w:pos="283"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NTD: The initial conversion price will be a 15% premium to $10 per share of Common Stock.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7148195"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76" w:name="page77"/>
    <w:bookmarkEnd w:id="76"/>
    <w:p>
      <w:pPr>
        <w:ind w:left="380"/>
        <w:spacing w:after="0"/>
        <w:rPr>
          <w:sz w:val="20"/>
          <w:szCs w:val="20"/>
          <w:color w:val="auto"/>
        </w:rPr>
      </w:pPr>
      <w:r>
        <w:rPr>
          <w:rFonts w:ascii="Times New Roman" w:cs="Times New Roman" w:eastAsia="Times New Roman" w:hAnsi="Times New Roman"/>
          <w:sz w:val="16"/>
          <w:szCs w:val="16"/>
          <w:color w:val="auto"/>
        </w:rPr>
        <w:t xml:space="preserve">Section 14.02. </w:t>
      </w:r>
      <w:r>
        <w:rPr>
          <w:rFonts w:ascii="Times New Roman" w:cs="Times New Roman" w:eastAsia="Times New Roman" w:hAnsi="Times New Roman"/>
          <w:sz w:val="16"/>
          <w:szCs w:val="16"/>
          <w:i w:val="1"/>
          <w:iCs w:val="1"/>
          <w:color w:val="auto"/>
        </w:rPr>
        <w:t>Conversion Procedure; Settlement Upon Conversion</w:t>
      </w:r>
      <w:r>
        <w:rPr>
          <w:rFonts w:ascii="Times New Roman" w:cs="Times New Roman" w:eastAsia="Times New Roman" w:hAnsi="Times New Roman"/>
          <w:sz w:val="16"/>
          <w:szCs w:val="16"/>
          <w:color w:val="auto"/>
        </w:rPr>
        <w:t>. (a)</w:t>
      </w:r>
    </w:p>
    <w:p>
      <w:pPr>
        <w:spacing w:after="0" w:line="200" w:lineRule="exact"/>
        <w:rPr>
          <w:sz w:val="20"/>
          <w:szCs w:val="20"/>
          <w:color w:val="auto"/>
        </w:rPr>
      </w:pPr>
    </w:p>
    <w:p>
      <w:pPr>
        <w:jc w:val="both"/>
        <w:ind w:firstLine="1716"/>
        <w:spacing w:after="0" w:line="253" w:lineRule="auto"/>
        <w:tabs>
          <w:tab w:leader="none" w:pos="1979"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this Section 14.02, Section 14.03(b) and Section 14.07(a), upon conversion of any Note, the Company shall satisfy its Conversion Obligation by paying or delivering, as the case may be, to the converting Holder, in respect of each $1,000 principal amount of Notes being converted, cash (“</w:t>
      </w:r>
      <w:r>
        <w:rPr>
          <w:rFonts w:ascii="Times New Roman" w:cs="Times New Roman" w:eastAsia="Times New Roman" w:hAnsi="Times New Roman"/>
          <w:sz w:val="16"/>
          <w:szCs w:val="16"/>
          <w:b w:val="1"/>
          <w:bCs w:val="1"/>
          <w:color w:val="auto"/>
        </w:rPr>
        <w:t>Cash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Settlement</w:t>
      </w:r>
      <w:r>
        <w:rPr>
          <w:rFonts w:ascii="Times New Roman" w:cs="Times New Roman" w:eastAsia="Times New Roman" w:hAnsi="Times New Roman"/>
          <w:sz w:val="16"/>
          <w:szCs w:val="16"/>
          <w:color w:val="auto"/>
        </w:rPr>
        <w:t>”), shares of Common Stock, together with cash, if applicable, in lieu of delivering any fractional share of Common Stock in accordance with subsection (j)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this </w:t>
      </w:r>
      <w:r>
        <w:rPr>
          <w:rFonts w:ascii="Times New Roman" w:cs="Times New Roman" w:eastAsia="Times New Roman" w:hAnsi="Times New Roman"/>
          <w:sz w:val="16"/>
          <w:szCs w:val="16"/>
          <w:u w:val="single" w:color="auto"/>
          <w:color w:val="auto"/>
        </w:rPr>
        <w:t>Section 14.02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Physical Settlement</w:t>
      </w:r>
      <w:r>
        <w:rPr>
          <w:rFonts w:ascii="Times New Roman" w:cs="Times New Roman" w:eastAsia="Times New Roman" w:hAnsi="Times New Roman"/>
          <w:sz w:val="16"/>
          <w:szCs w:val="16"/>
          <w:color w:val="auto"/>
        </w:rPr>
        <w:t xml:space="preserve">”) or a combination of cash and shares of Common Stock, together with cash, if applicable, in lieu of delivering any fractional share of Common Stock in accordance with subsection (j) of this </w:t>
      </w:r>
      <w:r>
        <w:rPr>
          <w:rFonts w:ascii="Times New Roman" w:cs="Times New Roman" w:eastAsia="Times New Roman" w:hAnsi="Times New Roman"/>
          <w:sz w:val="16"/>
          <w:szCs w:val="16"/>
          <w:u w:val="single" w:color="auto"/>
          <w:color w:val="auto"/>
        </w:rPr>
        <w:t>Section 14.02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Combination Settlement</w:t>
      </w:r>
      <w:r>
        <w:rPr>
          <w:rFonts w:ascii="Times New Roman" w:cs="Times New Roman" w:eastAsia="Times New Roman" w:hAnsi="Times New Roman"/>
          <w:sz w:val="16"/>
          <w:szCs w:val="16"/>
          <w:color w:val="auto"/>
        </w:rPr>
        <w:t>”), at the Company’s election, as set forth in this Section 14.02. All conversions for which the relevant Conversion Date occurs during a Redemption Period, and all conversions for which the relevant Conversion Date occurs on or after [to be</w:t>
      </w:r>
    </w:p>
    <w:p>
      <w:pPr>
        <w:ind w:right="20"/>
        <w:spacing w:after="0" w:line="207" w:lineRule="auto"/>
        <w:rPr>
          <w:sz w:val="20"/>
          <w:szCs w:val="20"/>
          <w:color w:val="auto"/>
        </w:rPr>
      </w:pPr>
      <w:r>
        <w:rPr>
          <w:rFonts w:ascii="Times New Roman" w:cs="Times New Roman" w:eastAsia="Times New Roman" w:hAnsi="Times New Roman"/>
          <w:sz w:val="16"/>
          <w:szCs w:val="16"/>
          <w:color w:val="auto"/>
        </w:rPr>
        <w:t>the 32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6"/>
          <w:szCs w:val="16"/>
          <w:color w:val="auto"/>
        </w:rPr>
        <w:t xml:space="preserve"> day prior to Maturity] prior to the Maturity Date, shall be settled using the same Settlement Method and in the same proportions of cash and/or shares of Common Stock during the respective periods.</w:t>
      </w:r>
    </w:p>
    <w:p>
      <w:pPr>
        <w:spacing w:after="0" w:line="176" w:lineRule="exact"/>
        <w:rPr>
          <w:sz w:val="20"/>
          <w:szCs w:val="20"/>
          <w:color w:val="auto"/>
        </w:rPr>
      </w:pPr>
    </w:p>
    <w:p>
      <w:pPr>
        <w:jc w:val="both"/>
        <w:ind w:right="20" w:firstLine="1716"/>
        <w:spacing w:after="0" w:line="265" w:lineRule="auto"/>
        <w:tabs>
          <w:tab w:leader="none" w:pos="1979"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any conversions for which the relevant Conversion Date occurs during a Redemption Period, the Company shall use the same Settlement Method for all conversions with the same Conversion Date and in the same proportions of cash and/or shares of Common Stock during the respective periods, but the Company shall not have any obligation to use the same Settlement Method with respect to conversions with different Conversion Dates.</w:t>
      </w:r>
    </w:p>
    <w:p>
      <w:pPr>
        <w:spacing w:after="0" w:line="155" w:lineRule="exact"/>
        <w:rPr>
          <w:rFonts w:ascii="Times New Roman" w:cs="Times New Roman" w:eastAsia="Times New Roman" w:hAnsi="Times New Roman"/>
          <w:sz w:val="16"/>
          <w:szCs w:val="16"/>
          <w:color w:val="auto"/>
        </w:rPr>
      </w:pPr>
    </w:p>
    <w:p>
      <w:pPr>
        <w:jc w:val="both"/>
        <w:ind w:firstLine="1716"/>
        <w:spacing w:after="0" w:line="270" w:lineRule="auto"/>
        <w:tabs>
          <w:tab w:leader="none" w:pos="2018"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in respect of any Conversion Date (or any conversions for which the relevant Conversion Date occurs during a Redemption Period), the Company elects to deliver a notice (the “</w:t>
      </w:r>
      <w:r>
        <w:rPr>
          <w:rFonts w:ascii="Times New Roman" w:cs="Times New Roman" w:eastAsia="Times New Roman" w:hAnsi="Times New Roman"/>
          <w:sz w:val="15"/>
          <w:szCs w:val="15"/>
          <w:b w:val="1"/>
          <w:bCs w:val="1"/>
          <w:color w:val="auto"/>
        </w:rPr>
        <w:t>Settlement Notice</w:t>
      </w:r>
      <w:r>
        <w:rPr>
          <w:rFonts w:ascii="Times New Roman" w:cs="Times New Roman" w:eastAsia="Times New Roman" w:hAnsi="Times New Roman"/>
          <w:sz w:val="15"/>
          <w:szCs w:val="15"/>
          <w:color w:val="auto"/>
        </w:rPr>
        <w:t>”) of the relevant Settlement Method in respect of such Conversion Date (or such period, as the case may be), the Company shall deliver such Settlement Notice to converting Holders, the Trustee and the Conversion Agent (if other than the Trustee), no later than the close of business on the Trading Day immediately following the relevant Conversion Date (or, in the case of any conversions for which the relevant Conversion Date occurs during a Redemption Period, in the applicable Notice of Redemption) (the “</w:t>
      </w:r>
      <w:r>
        <w:rPr>
          <w:rFonts w:ascii="Times New Roman" w:cs="Times New Roman" w:eastAsia="Times New Roman" w:hAnsi="Times New Roman"/>
          <w:sz w:val="15"/>
          <w:szCs w:val="15"/>
          <w:b w:val="1"/>
          <w:bCs w:val="1"/>
          <w:color w:val="auto"/>
        </w:rPr>
        <w:t>Settlement Method Election Date</w:t>
      </w:r>
      <w:r>
        <w:rPr>
          <w:rFonts w:ascii="Times New Roman" w:cs="Times New Roman" w:eastAsia="Times New Roman" w:hAnsi="Times New Roman"/>
          <w:sz w:val="15"/>
          <w:szCs w:val="15"/>
          <w:color w:val="auto"/>
        </w:rPr>
        <w:t>”). If the Company does not elect a Settlement Method as set forth in the immediately preceding sentence, the Company shall be deemed to have elected the Default Settlement Method in respect of its Conversion Obligation and the Specified Dollar Amount per $1,000 principal amount of Notes shall be equal to $1,000. Such Settlement Notice shall specify the relevant Settlement Method and in the case of an election of Combination Settlement, the relevant Settlement Notice shall indicate the Specified Dollar Amount per $1,000 principal amount of Notes. If the Company timely delivers a Settlement Notice electing Combination Settlement in respect of its Conversion Obligation but does not indicate a Specified Dollar Amount per $1,000 principal amount of Notes to be converted in such Settlement Notice, the Specified Dollar Amount per $1,000 principal amount of Notes shall be deemed to be $1,000. For the avoidance of doubt, the Company’s failure to timely elect a Settlement Method or specify the applicable Specified Dollar Amount will not constitute a Default or Event of Default under this Indenture.</w:t>
      </w:r>
    </w:p>
    <w:p>
      <w:pPr>
        <w:spacing w:after="0" w:line="157" w:lineRule="exact"/>
        <w:rPr>
          <w:rFonts w:ascii="Times New Roman" w:cs="Times New Roman" w:eastAsia="Times New Roman" w:hAnsi="Times New Roman"/>
          <w:sz w:val="15"/>
          <w:szCs w:val="15"/>
          <w:color w:val="auto"/>
        </w:rPr>
      </w:pPr>
    </w:p>
    <w:p>
      <w:pPr>
        <w:ind w:firstLine="1716"/>
        <w:spacing w:after="0" w:line="283" w:lineRule="auto"/>
        <w:tabs>
          <w:tab w:leader="none" w:pos="199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cash, shares of Common Stock or combination of cash and shares of Common Stock in respect of any conversion of Notes (the “</w:t>
      </w:r>
      <w:r>
        <w:rPr>
          <w:rFonts w:ascii="Times New Roman" w:cs="Times New Roman" w:eastAsia="Times New Roman" w:hAnsi="Times New Roman"/>
          <w:sz w:val="16"/>
          <w:szCs w:val="16"/>
          <w:b w:val="1"/>
          <w:bCs w:val="1"/>
          <w:color w:val="auto"/>
        </w:rPr>
        <w:t>Settlement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Amount</w:t>
      </w:r>
      <w:r>
        <w:rPr>
          <w:rFonts w:ascii="Times New Roman" w:cs="Times New Roman" w:eastAsia="Times New Roman" w:hAnsi="Times New Roman"/>
          <w:sz w:val="16"/>
          <w:szCs w:val="16"/>
          <w:color w:val="auto"/>
        </w:rPr>
        <w:t>”) shall be computed as follows:</w:t>
      </w:r>
    </w:p>
    <w:p>
      <w:pPr>
        <w:spacing w:after="0" w:line="142" w:lineRule="exact"/>
        <w:rPr>
          <w:sz w:val="20"/>
          <w:szCs w:val="20"/>
          <w:color w:val="auto"/>
        </w:rPr>
      </w:pPr>
    </w:p>
    <w:p>
      <w:pPr>
        <w:jc w:val="both"/>
        <w:ind w:firstLine="1716"/>
        <w:spacing w:after="0" w:line="265" w:lineRule="auto"/>
        <w:tabs>
          <w:tab w:leader="none" w:pos="1982"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elects (or is deemed to have elected) to satisfy its Conversion Obligation in respect of such conversion by Physical Settlement, the Company shall deliver to the converting Holder in respect of each $1,000 principal amount of Notes being converted a number of shares of Common Stock equal to the Conversion Rate in effect on the Conversion Date;</w:t>
      </w:r>
    </w:p>
    <w:p>
      <w:pPr>
        <w:spacing w:after="0" w:line="155" w:lineRule="exact"/>
        <w:rPr>
          <w:rFonts w:ascii="Times New Roman" w:cs="Times New Roman" w:eastAsia="Times New Roman" w:hAnsi="Times New Roman"/>
          <w:sz w:val="16"/>
          <w:szCs w:val="16"/>
          <w:color w:val="auto"/>
        </w:rPr>
      </w:pPr>
    </w:p>
    <w:p>
      <w:pPr>
        <w:jc w:val="both"/>
        <w:ind w:firstLine="1716"/>
        <w:spacing w:after="0" w:line="265" w:lineRule="auto"/>
        <w:tabs>
          <w:tab w:leader="none" w:pos="1993"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elects to satisfy its Conversion Obligation in respect of such conversion by Cash Settlement, the Company shall pay to the converting Holder in respect of each $1,000 principal amount of Notes being converted cash in an amount equal to the sum of the Daily Conversion Values for each of the 30 consecutive Trading Days during the related Observation Period; and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77" w:name="page78"/>
    <w:bookmarkEnd w:id="77"/>
    <w:p>
      <w:pPr>
        <w:jc w:val="both"/>
        <w:ind w:right="20" w:firstLine="1716"/>
        <w:spacing w:after="0" w:line="265" w:lineRule="auto"/>
        <w:tabs>
          <w:tab w:leader="none" w:pos="1997"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elects (or is deemed to have elected) to satisfy its Conversion Obligation in respect of such conversion by Combination Settlement, the Company shall pay or deliver, as the case may be, to the converting Holder in respect of each $1,000 principal amount of Notes being converted, a Settlement Amount equal to the sum of the Daily Settlement Amounts for each of the 30 consecutive Trading Days during the related Observation Period.</w:t>
      </w:r>
    </w:p>
    <w:p>
      <w:pPr>
        <w:spacing w:after="0" w:line="155" w:lineRule="exact"/>
        <w:rPr>
          <w:sz w:val="20"/>
          <w:szCs w:val="20"/>
          <w:color w:val="auto"/>
        </w:rPr>
      </w:pPr>
    </w:p>
    <w:p>
      <w:pPr>
        <w:jc w:val="both"/>
        <w:ind w:right="20" w:firstLine="1716"/>
        <w:spacing w:after="0" w:line="257" w:lineRule="auto"/>
        <w:tabs>
          <w:tab w:leader="none" w:pos="1958"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Daily Settlement Amounts (if applicable) and the Daily Conversion Values (if applicable) shall be determined by the Company promptly following the last day of the Observation Period. Promptly after such determination of the Daily Settlement Amounts or the Daily Conversion Values, as the case may be, and the amount of cash payable in lieu of delivering any fractional share of Common Stock, the Company shall notify the Trustee and the Conversion Agent (if other than the Trustee) of the Daily Settlement Amounts or the Daily Conversion Values, as the case may be, and the amount of cash payable in lieu of delivering fractional shares of Common Stock. The Trustee and the Conversion Agent (if other than the Trustee) shall have no responsibility for any such determination.</w:t>
      </w:r>
    </w:p>
    <w:p>
      <w:pPr>
        <w:spacing w:after="0" w:line="162"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73"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Section 14.02(e), before any Holder of a Note shall be entitled to convert a Note as set forth above, such Holder shall (i) in the case of a Global Note, comply with the applicable procedures of the Depositary in effect at that time and, if required, pay funds equal to interest payable on the next Interest Payment Date to which such Holder is not entitled as set forth in Section 14.02(h) and (ii) in the case of a Physical Note (1) complete, manually sign and deliver an irrevocable notice to the Conversion Agent as set forth in the Form of Notice of Conversion (or a facsimile, PDF or other electronic transmission thereof) (a notice pursuant to the applicable procedure of the Depositary or a notice as set forth in the Form of Notice of Conversion, a “</w:t>
      </w:r>
      <w:r>
        <w:rPr>
          <w:rFonts w:ascii="Times New Roman" w:cs="Times New Roman" w:eastAsia="Times New Roman" w:hAnsi="Times New Roman"/>
          <w:sz w:val="16"/>
          <w:szCs w:val="16"/>
          <w:b w:val="1"/>
          <w:bCs w:val="1"/>
          <w:color w:val="auto"/>
        </w:rPr>
        <w:t>Notice of Conversion</w:t>
      </w:r>
      <w:r>
        <w:rPr>
          <w:rFonts w:ascii="Times New Roman" w:cs="Times New Roman" w:eastAsia="Times New Roman" w:hAnsi="Times New Roman"/>
          <w:sz w:val="16"/>
          <w:szCs w:val="16"/>
          <w:color w:val="auto"/>
        </w:rPr>
        <w:t>”) at the office of the Conversion Agent and state in writing therein the principal amount of Notes to be converted and the name or names (with addresses) in which such Holder wishes the certificate or certificates for any shares of Common Stock to be delivered upon settlement of the Conversion Obligation to be registered, (2) surrender such Notes, duly endorsed to the Company or in blank (and accompanied by appropriate endorsement and transfer documents in a form reasonably satisfactory to the Conversion Agent), at the office of the Conversion Agent, (3) if required, furnish appropriate endorsements and transfer documents in a form reasonably satisfactory to the Conversion Agent and (4) if required, pay funds equal to interest payable on the next Interest Payment Date to which such Holder is not entitled as set forth in Section 14.02(h). The Trustee (and if different, the Conversion Agent) shall notify the Company of any conversion pursuant to this Article 14 on the Conversion Date for such conversion. No Notes may be surrendered for conversion by a Holder thereof if such Holder has also delivered a Fundamental Change Repurchase Notice to the Company in respect of such Notes and has not validly withdrawn such Fundamental Change Repurchase Notice in accordance with Section 15.03.</w:t>
      </w:r>
    </w:p>
    <w:p>
      <w:pPr>
        <w:spacing w:after="0" w:line="165" w:lineRule="exact"/>
        <w:rPr>
          <w:sz w:val="20"/>
          <w:szCs w:val="20"/>
          <w:color w:val="auto"/>
        </w:rPr>
      </w:pPr>
    </w:p>
    <w:p>
      <w:pPr>
        <w:ind w:right="20" w:firstLine="382"/>
        <w:spacing w:after="0" w:line="280" w:lineRule="auto"/>
        <w:rPr>
          <w:sz w:val="20"/>
          <w:szCs w:val="20"/>
          <w:color w:val="auto"/>
        </w:rPr>
      </w:pPr>
      <w:r>
        <w:rPr>
          <w:rFonts w:ascii="Times New Roman" w:cs="Times New Roman" w:eastAsia="Times New Roman" w:hAnsi="Times New Roman"/>
          <w:sz w:val="16"/>
          <w:szCs w:val="16"/>
          <w:color w:val="auto"/>
        </w:rPr>
        <w:t>If more than one Note shall be surrendered for conversion at one time by the same Holder, the Conversion Obligation with respect to such Notes shall be computed on the basis of the aggregate principal amount of the Notes (or specified portions thereof to the extent permitted thereby) so surrendered.</w:t>
      </w:r>
    </w:p>
    <w:p>
      <w:pPr>
        <w:spacing w:after="0" w:line="142" w:lineRule="exact"/>
        <w:rPr>
          <w:sz w:val="20"/>
          <w:szCs w:val="20"/>
          <w:color w:val="auto"/>
        </w:rPr>
      </w:pPr>
    </w:p>
    <w:p>
      <w:pPr>
        <w:jc w:val="both"/>
        <w:ind w:firstLine="1143"/>
        <w:spacing w:after="0" w:line="254" w:lineRule="auto"/>
        <w:tabs>
          <w:tab w:leader="none" w:pos="1376"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Note shall be deemed to have been converted immediately prior to the close of business on the date (the “</w:t>
      </w:r>
      <w:r>
        <w:rPr>
          <w:rFonts w:ascii="Times New Roman" w:cs="Times New Roman" w:eastAsia="Times New Roman" w:hAnsi="Times New Roman"/>
          <w:sz w:val="16"/>
          <w:szCs w:val="16"/>
          <w:b w:val="1"/>
          <w:bCs w:val="1"/>
          <w:color w:val="auto"/>
        </w:rPr>
        <w:t>Conversion Date</w:t>
      </w:r>
      <w:r>
        <w:rPr>
          <w:rFonts w:ascii="Times New Roman" w:cs="Times New Roman" w:eastAsia="Times New Roman" w:hAnsi="Times New Roman"/>
          <w:sz w:val="16"/>
          <w:szCs w:val="16"/>
          <w:color w:val="auto"/>
        </w:rPr>
        <w:t>”) that the Holder has complied with the requirements set forth in subsection (b) above. Except as set forth in Section 14.03(b) and Section 14.07(a), the Company shall pay or deliver, as the case may be, the consideration due in respect of the Conversion Obligation on the second Business Day immediately following the relevant Conversion Date, if the Company elects to satisfy its Conversion Obligation through Physical Settlement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with respect to any Conversion Date following the Regular Record Date immediately preceding the Maturity Date where Physical Settlement applies to the related conversion, the Company will settle any such conversion on the Maturity Date), or on the second Business Day immediately following the last Trading Day of the Observation Period, in the case of any other Settlement Method. If any shares of Common Stock are due to a converting Holder, the Company shall issue or cause to be issued, and deliver (if applicable) to the converting Holder, or such Holder’s nominee or nominees, the full number of shares of Common Stock to which such Holder shall be entitled, in book-entry format through the Depositary, in satisfaction of the Company’s Conversion Obligation.</w:t>
      </w:r>
    </w:p>
    <w:p>
      <w:pPr>
        <w:spacing w:after="0" w:line="165" w:lineRule="exact"/>
        <w:rPr>
          <w:rFonts w:ascii="Times New Roman" w:cs="Times New Roman" w:eastAsia="Times New Roman" w:hAnsi="Times New Roman"/>
          <w:sz w:val="16"/>
          <w:szCs w:val="16"/>
          <w:color w:val="auto"/>
        </w:rPr>
      </w:pPr>
    </w:p>
    <w:p>
      <w:pPr>
        <w:jc w:val="both"/>
        <w:ind w:firstLine="1143"/>
        <w:spacing w:after="0" w:line="257" w:lineRule="auto"/>
        <w:tabs>
          <w:tab w:leader="none" w:pos="1385"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case any Note shall be surrendered for partial conversion, the Company shall execute and the Trustee shall authenticate and deliver to or upon the written order of the Holder of the Note so surrendered a new Note or Notes in authorized denominations in an aggregate principal amount equal to the unconverted portion of the surrendered Note, without payment of any service charge by the converting Holder but, if required by the Company or Trustee, with payment of a sum sufficient to cover any documentary, stamp or similar issue or transfer tax or similar governmental charge required by law or that may be imposed in connection therewith as a result of the name of the Holder of the new Notes issued upon such conversion being different from the name of the Holder of the old Notes surrendered for such conversion.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8" w:name="page79"/>
    <w:bookmarkEnd w:id="78"/>
    <w:p>
      <w:pPr>
        <w:jc w:val="both"/>
        <w:ind w:right="20" w:firstLine="1143"/>
        <w:spacing w:after="0" w:line="259" w:lineRule="auto"/>
        <w:tabs>
          <w:tab w:leader="none" w:pos="1364"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Holder submits a Note for conversion, the Company shall pay any documentary, stamp or similar issue or transfer tax due on the issue of any shares of Common Stock upon conversion, unless the tax is due because the Holder requests such shares to be issued in a name other than the Holder’s name, in which case the Holder shall pay that tax. The Conversion Agent may refuse to deliver the certificates representing the shares of Common Stock being issued in a name other than the Holder’s name until the Trustee receives a sum sufficient to pay any tax that is due by such Holder in accordance with the immediately preceding sentence.</w:t>
      </w:r>
    </w:p>
    <w:p>
      <w:pPr>
        <w:spacing w:after="0" w:line="161" w:lineRule="exact"/>
        <w:rPr>
          <w:rFonts w:ascii="Times New Roman" w:cs="Times New Roman" w:eastAsia="Times New Roman" w:hAnsi="Times New Roman"/>
          <w:sz w:val="16"/>
          <w:szCs w:val="16"/>
          <w:color w:val="auto"/>
        </w:rPr>
      </w:pPr>
    </w:p>
    <w:p>
      <w:pPr>
        <w:ind w:right="20" w:firstLine="1143"/>
        <w:spacing w:after="0" w:line="280" w:lineRule="auto"/>
        <w:tabs>
          <w:tab w:leader="none" w:pos="139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provided in Section 14.04, no adjustment shall be made for dividends on any shares of Common Stock issued upon the conversion of any Note as provided in this Article 14.</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73"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conversion of an interest in a Global Note, the Trustee, or the Custodian at the direction of the Trustee, shall make a notation on such Global Note as to the reduction in the principal amount represented thereby. The Company shall notify the Trustee in writing of any conversion of Notes effected through any Conversion Agent other than the Trustee.</w:t>
      </w:r>
    </w:p>
    <w:p>
      <w:pPr>
        <w:spacing w:after="0" w:line="155" w:lineRule="exact"/>
        <w:rPr>
          <w:rFonts w:ascii="Times New Roman" w:cs="Times New Roman" w:eastAsia="Times New Roman" w:hAnsi="Times New Roman"/>
          <w:sz w:val="16"/>
          <w:szCs w:val="16"/>
          <w:color w:val="auto"/>
        </w:rPr>
      </w:pPr>
    </w:p>
    <w:p>
      <w:pPr>
        <w:jc w:val="both"/>
        <w:ind w:firstLine="1143"/>
        <w:spacing w:after="0" w:line="251" w:lineRule="auto"/>
        <w:tabs>
          <w:tab w:leader="none" w:pos="1373"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conversion, a Holder shall not receive any separate cash payment for accrued and unpaid interest, if any, except as set forth in this Section 14.02(h), and the Company will not adjust the Conversion Rate for any accrued and unpaid interest on any converted Notes. The Company’s settlement of the full Conversion Obligation shall be deemed to satisfy in full its obligation to pay the principal amount of the Note and accrued and unpaid interest, if any, to, but not including, the relevant Conversion Date. As a result, accrued and unpaid interest, if any, to, but not including, the relevant Conversion Date shall be deemed to be paid in full rather than cancelled, extinguished or forfeited. Upon a conversion of Notes into a combination of cash and shares of Common Stock, accrued and unpaid interest will be deemed to be paid first out of the cash paid upon such conversion. Notwithstanding the foregoing, if Notes are converted after the close of business on a Regular Record Date and prior to the open of business on the corresponding Interest Payment Date, Holders of such Notes as of the close of business on such Regular Record Date will receive the full amount of interest payable on such Notes (to, but not including the corresponding Interest Payment Date) on the corresponding Interest Payment Date notwithstanding the conversion. Notes surrendered for conversion during the period from the close of business on any Regular Record Date to the open of business on the immediately following Interest Payment Date must be accompanied by funds equal to the amount of interest payable on the Notes so converted on the corresponding Interest Payment Date (regardless of whether the converting Holder was the Holder of record on such Regular Record Date);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 such payment shall be required (1) for conversions following the Regular Record Date immediately preceding the Maturity Date; (2) if the Company has specified a Redemption Date that is after a Regular Record Date and on or prior to the Scheduled Trading Day immediately following the corresponding Interest Payment Date; (3) if the Company has specified a Fundamental Change Repurchase Date or a Mandatory Conversion Date that is after a Regular Record Date and on or prior to the Business Day immediately following the corresponding Interest Payment Date; or (4) to the extent of any Defaulted Amounts, if any Defaulted Amounts exist at the time of conversion with respect to such Note. Therefore, for the avoidance of doubt, all Holders of record at the close of business on the Regular Record Date immediately preceding the Maturity Date, any Redemption Date described in clause (2) of the immediately preceding sentence and any Fundamental Change Repurchase Date described in clause (3) of the immediately preceding sentence shall receive and retain the full interest payment due on the Maturity Date or other applicable Interest Payment Date in cash regardless of whether their Notes have been converted following such Regular Record Date.</w:t>
      </w:r>
    </w:p>
    <w:p>
      <w:pPr>
        <w:spacing w:after="0" w:line="169" w:lineRule="exact"/>
        <w:rPr>
          <w:rFonts w:ascii="Times New Roman" w:cs="Times New Roman" w:eastAsia="Times New Roman" w:hAnsi="Times New Roman"/>
          <w:sz w:val="16"/>
          <w:szCs w:val="16"/>
          <w:color w:val="auto"/>
        </w:rPr>
      </w:pPr>
    </w:p>
    <w:p>
      <w:pPr>
        <w:jc w:val="both"/>
        <w:ind w:firstLine="1143"/>
        <w:spacing w:after="0" w:line="257" w:lineRule="auto"/>
        <w:tabs>
          <w:tab w:leader="none" w:pos="1349"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Person in whose name the shares of Common Stock shall be issuable upon conversion shall be treated as a stockholder of record as of the close of business on the relevant Conversion Date (if the Company elects to satisfy the related Conversion Obligation by Physical Settlement) or the last Trading Day of the relevant Observation Period (if the Company elects to satisfy the related Conversion Obligation by Combination Settlement), as the case may be. Upon a conversion of Notes, such Person shall no longer be a Holder of such Notes surrendered for conversion. Prior to conversion of a Holder’s Note, such Holder (in such capacity) shall not have any rights as a stockholder of the Company.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9" w:name="page80"/>
    <w:bookmarkEnd w:id="79"/>
    <w:p>
      <w:pPr>
        <w:jc w:val="both"/>
        <w:ind w:left="4" w:firstLine="1143"/>
        <w:spacing w:after="0" w:line="255" w:lineRule="auto"/>
        <w:tabs>
          <w:tab w:leader="none" w:pos="1354"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issue any fractional share of Common Stock upon conversion of the Notes and shall instead pay cash in lieu of delivering any fractional share of Common Stock issuable upon conversion based on the Daily VWAP for the relevant Conversion Date (or, if such Conversion Date is not a Trading Day, the immediately preceding Trading Day), in the case of Physical Settlement, or based on the Daily VWAP for the last Trading Day of the relevant Observation Period, in the case of Combination Settlement. For each Note surrendered for conversion, if the Company has elected (or is deemed to have elected) Combination Settlement, the full number of shares that shall be issued upon conversion thereof shall be computed on the basis of the aggregate Daily Settlement Amounts for the relevant Observation Period and any fractional shares remaining after such computation shall be paid in cash.</w:t>
      </w:r>
    </w:p>
    <w:p>
      <w:pPr>
        <w:spacing w:after="0" w:line="163"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6"/>
          <w:szCs w:val="16"/>
          <w:color w:val="auto"/>
        </w:rPr>
        <w:t xml:space="preserve">Section 14.03. </w:t>
      </w:r>
      <w:r>
        <w:rPr>
          <w:rFonts w:ascii="Times New Roman" w:cs="Times New Roman" w:eastAsia="Times New Roman" w:hAnsi="Times New Roman"/>
          <w:sz w:val="16"/>
          <w:szCs w:val="16"/>
          <w:i w:val="1"/>
          <w:iCs w:val="1"/>
          <w:color w:val="auto"/>
        </w:rPr>
        <w:t>Company’s Mandatory Conversion Option</w:t>
      </w:r>
      <w:r>
        <w:rPr>
          <w:rFonts w:ascii="Times New Roman" w:cs="Times New Roman" w:eastAsia="Times New Roman" w:hAnsi="Times New Roman"/>
          <w:sz w:val="16"/>
          <w:szCs w:val="16"/>
          <w:color w:val="auto"/>
        </w:rPr>
        <w:t>.</w:t>
      </w:r>
    </w:p>
    <w:p>
      <w:pPr>
        <w:spacing w:after="0" w:line="204" w:lineRule="exact"/>
        <w:rPr>
          <w:sz w:val="20"/>
          <w:szCs w:val="20"/>
          <w:color w:val="auto"/>
        </w:rPr>
      </w:pPr>
    </w:p>
    <w:p>
      <w:pPr>
        <w:jc w:val="both"/>
        <w:ind w:left="4" w:firstLine="1143"/>
        <w:spacing w:after="0" w:line="233" w:lineRule="auto"/>
        <w:tabs>
          <w:tab w:leader="none" w:pos="1368"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or after [●], 2023</w:t>
      </w:r>
      <w:r>
        <w:rPr>
          <w:rFonts w:ascii="Times New Roman" w:cs="Times New Roman" w:eastAsia="Times New Roman" w:hAnsi="Times New Roman"/>
          <w:sz w:val="26"/>
          <w:szCs w:val="26"/>
          <w:color w:val="auto"/>
          <w:vertAlign w:val="superscript"/>
        </w:rPr>
        <w:t>9</w:t>
      </w:r>
      <w:r>
        <w:rPr>
          <w:rFonts w:ascii="Times New Roman" w:cs="Times New Roman" w:eastAsia="Times New Roman" w:hAnsi="Times New Roman"/>
          <w:sz w:val="16"/>
          <w:szCs w:val="16"/>
          <w:color w:val="auto"/>
        </w:rPr>
        <w:t xml:space="preserve"> and prior to the close of business on [●], 2026</w:t>
      </w:r>
      <w:r>
        <w:rPr>
          <w:rFonts w:ascii="Times New Roman" w:cs="Times New Roman" w:eastAsia="Times New Roman" w:hAnsi="Times New Roman"/>
          <w:sz w:val="26"/>
          <w:szCs w:val="26"/>
          <w:color w:val="auto"/>
          <w:vertAlign w:val="superscript"/>
        </w:rPr>
        <w:t>10</w:t>
      </w:r>
      <w:r>
        <w:rPr>
          <w:rFonts w:ascii="Times New Roman" w:cs="Times New Roman" w:eastAsia="Times New Roman" w:hAnsi="Times New Roman"/>
          <w:sz w:val="16"/>
          <w:szCs w:val="16"/>
          <w:color w:val="auto"/>
        </w:rPr>
        <w:t>, the Company may, at its option, elect to convert the original principal amount of the Notes in whole but not in part (a “</w:t>
      </w:r>
      <w:r>
        <w:rPr>
          <w:rFonts w:ascii="Times New Roman" w:cs="Times New Roman" w:eastAsia="Times New Roman" w:hAnsi="Times New Roman"/>
          <w:sz w:val="16"/>
          <w:szCs w:val="16"/>
          <w:b w:val="1"/>
          <w:bCs w:val="1"/>
          <w:color w:val="auto"/>
        </w:rPr>
        <w:t>Mandatory Conversion</w:t>
      </w:r>
      <w:r>
        <w:rPr>
          <w:rFonts w:ascii="Times New Roman" w:cs="Times New Roman" w:eastAsia="Times New Roman" w:hAnsi="Times New Roman"/>
          <w:sz w:val="16"/>
          <w:szCs w:val="16"/>
          <w:color w:val="auto"/>
        </w:rPr>
        <w:t>”) if (x) the Last Reported Sale Price of the Common Stock for at least 20 Trading Days (whether or not consecutive) during the period of 30 consecutive Trading Days ending on, and including, the last Trading Day of the immediately preceding calendar quarter (the “</w:t>
      </w:r>
      <w:r>
        <w:rPr>
          <w:rFonts w:ascii="Times New Roman" w:cs="Times New Roman" w:eastAsia="Times New Roman" w:hAnsi="Times New Roman"/>
          <w:sz w:val="16"/>
          <w:szCs w:val="16"/>
          <w:b w:val="1"/>
          <w:bCs w:val="1"/>
          <w:color w:val="auto"/>
        </w:rPr>
        <w:t>Mandatory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Conversion Determination Date</w:t>
      </w:r>
      <w:r>
        <w:rPr>
          <w:rFonts w:ascii="Times New Roman" w:cs="Times New Roman" w:eastAsia="Times New Roman" w:hAnsi="Times New Roman"/>
          <w:sz w:val="16"/>
          <w:szCs w:val="16"/>
          <w:color w:val="auto"/>
        </w:rPr>
        <w:t>”) is greater than or equal to 130% of the Conversion Price on each applicable Trading Day and (y) the 30-Day ADTV ending on,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including, the Mandatory Conversion Determination Date is greater than or equal to $2,000,000 (the “</w:t>
      </w:r>
      <w:r>
        <w:rPr>
          <w:rFonts w:ascii="Times New Roman" w:cs="Times New Roman" w:eastAsia="Times New Roman" w:hAnsi="Times New Roman"/>
          <w:sz w:val="16"/>
          <w:szCs w:val="16"/>
          <w:b w:val="1"/>
          <w:bCs w:val="1"/>
          <w:color w:val="auto"/>
        </w:rPr>
        <w:t>Mandatory Conversion Condition</w:t>
      </w:r>
      <w:r>
        <w:rPr>
          <w:rFonts w:ascii="Times New Roman" w:cs="Times New Roman" w:eastAsia="Times New Roman" w:hAnsi="Times New Roman"/>
          <w:sz w:val="16"/>
          <w:szCs w:val="16"/>
          <w:color w:val="auto"/>
        </w:rPr>
        <w:t>”).</w:t>
      </w:r>
    </w:p>
    <w:p>
      <w:pPr>
        <w:spacing w:after="0" w:line="172" w:lineRule="exact"/>
        <w:rPr>
          <w:rFonts w:ascii="Times New Roman" w:cs="Times New Roman" w:eastAsia="Times New Roman" w:hAnsi="Times New Roman"/>
          <w:sz w:val="16"/>
          <w:szCs w:val="16"/>
          <w:color w:val="auto"/>
        </w:rPr>
      </w:pPr>
    </w:p>
    <w:p>
      <w:pPr>
        <w:ind w:left="4" w:right="20" w:firstLine="1143"/>
        <w:spacing w:after="0" w:line="283" w:lineRule="auto"/>
        <w:tabs>
          <w:tab w:leader="none" w:pos="1389"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exercise its right to a Mandatory Conversion, the Company will send notice of the Company’s election (a “</w:t>
      </w:r>
      <w:r>
        <w:rPr>
          <w:rFonts w:ascii="Times New Roman" w:cs="Times New Roman" w:eastAsia="Times New Roman" w:hAnsi="Times New Roman"/>
          <w:sz w:val="16"/>
          <w:szCs w:val="16"/>
          <w:b w:val="1"/>
          <w:bCs w:val="1"/>
          <w:color w:val="auto"/>
        </w:rPr>
        <w:t>Mandatory Conversion Notice</w:t>
      </w:r>
      <w:r>
        <w:rPr>
          <w:rFonts w:ascii="Times New Roman" w:cs="Times New Roman" w:eastAsia="Times New Roman" w:hAnsi="Times New Roman"/>
          <w:sz w:val="16"/>
          <w:szCs w:val="16"/>
          <w:color w:val="auto"/>
        </w:rPr>
        <w:t>”) to Holders, the Trustee and the Conversion Agent no later than the fifth Business Day following the Mandatory Conversion Determination Date.</w:t>
      </w:r>
    </w:p>
    <w:p>
      <w:pPr>
        <w:spacing w:after="0" w:line="142"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color w:val="auto"/>
        </w:rPr>
        <w:t>Such Mandatory Conversion Notice must state:</w:t>
      </w:r>
    </w:p>
    <w:p>
      <w:pPr>
        <w:spacing w:after="0" w:line="198" w:lineRule="exact"/>
        <w:rPr>
          <w:sz w:val="20"/>
          <w:szCs w:val="20"/>
          <w:color w:val="auto"/>
        </w:rPr>
      </w:pPr>
    </w:p>
    <w:p>
      <w:pPr>
        <w:ind w:left="1944" w:hanging="224"/>
        <w:spacing w:after="0"/>
        <w:tabs>
          <w:tab w:leader="none" w:pos="1944"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the Notes have been called for Mandatory Conversion, briefly describing the Mandatory Conversion under this Indenture;</w:t>
      </w:r>
    </w:p>
    <w:p>
      <w:pPr>
        <w:spacing w:after="0" w:line="198" w:lineRule="exact"/>
        <w:rPr>
          <w:rFonts w:ascii="Times New Roman" w:cs="Times New Roman" w:eastAsia="Times New Roman" w:hAnsi="Times New Roman"/>
          <w:sz w:val="16"/>
          <w:szCs w:val="16"/>
          <w:color w:val="auto"/>
        </w:rPr>
      </w:pPr>
    </w:p>
    <w:p>
      <w:pPr>
        <w:ind w:left="1964" w:hanging="244"/>
        <w:spacing w:after="0"/>
        <w:tabs>
          <w:tab w:leader="none" w:pos="1964"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Mandatory Conversion Date;</w:t>
      </w:r>
    </w:p>
    <w:p>
      <w:pPr>
        <w:spacing w:after="0" w:line="198" w:lineRule="exact"/>
        <w:rPr>
          <w:rFonts w:ascii="Times New Roman" w:cs="Times New Roman" w:eastAsia="Times New Roman" w:hAnsi="Times New Roman"/>
          <w:sz w:val="16"/>
          <w:szCs w:val="16"/>
          <w:color w:val="auto"/>
        </w:rPr>
      </w:pPr>
    </w:p>
    <w:p>
      <w:pPr>
        <w:ind w:left="2004" w:hanging="284"/>
        <w:spacing w:after="0"/>
        <w:tabs>
          <w:tab w:leader="none" w:pos="2004"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current Conversion Rate;</w:t>
      </w:r>
    </w:p>
    <w:p>
      <w:pPr>
        <w:spacing w:after="0" w:line="198" w:lineRule="exact"/>
        <w:rPr>
          <w:rFonts w:ascii="Times New Roman" w:cs="Times New Roman" w:eastAsia="Times New Roman" w:hAnsi="Times New Roman"/>
          <w:sz w:val="16"/>
          <w:szCs w:val="16"/>
          <w:color w:val="auto"/>
        </w:rPr>
      </w:pPr>
    </w:p>
    <w:p>
      <w:pPr>
        <w:ind w:left="1984" w:hanging="264"/>
        <w:spacing w:after="0"/>
        <w:tabs>
          <w:tab w:leader="none" w:pos="1984"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 and address of the Paying Agent and the Conversion Agent;</w:t>
      </w:r>
    </w:p>
    <w:p>
      <w:pPr>
        <w:spacing w:after="0" w:line="198" w:lineRule="exact"/>
        <w:rPr>
          <w:rFonts w:ascii="Times New Roman" w:cs="Times New Roman" w:eastAsia="Times New Roman" w:hAnsi="Times New Roman"/>
          <w:sz w:val="16"/>
          <w:szCs w:val="16"/>
          <w:color w:val="auto"/>
        </w:rPr>
      </w:pPr>
    </w:p>
    <w:p>
      <w:pPr>
        <w:ind w:left="1944" w:hanging="224"/>
        <w:spacing w:after="0"/>
        <w:tabs>
          <w:tab w:leader="none" w:pos="1944"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Settlement Method, which shall apply in the same proportions of cash and/or shares of Common Stock to all Holders; and</w:t>
      </w:r>
    </w:p>
    <w:p>
      <w:pPr>
        <w:spacing w:after="0" w:line="198" w:lineRule="exact"/>
        <w:rPr>
          <w:rFonts w:ascii="Times New Roman" w:cs="Times New Roman" w:eastAsia="Times New Roman" w:hAnsi="Times New Roman"/>
          <w:sz w:val="16"/>
          <w:szCs w:val="16"/>
          <w:color w:val="auto"/>
        </w:rPr>
      </w:pPr>
    </w:p>
    <w:p>
      <w:pPr>
        <w:ind w:left="1984" w:hanging="264"/>
        <w:spacing w:after="0"/>
        <w:tabs>
          <w:tab w:leader="none" w:pos="1984"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CUSIP and ISIN numbers, if any, of the Notes.</w:t>
      </w:r>
    </w:p>
    <w:p>
      <w:pPr>
        <w:spacing w:after="0" w:line="198" w:lineRule="exact"/>
        <w:rPr>
          <w:rFonts w:ascii="Times New Roman" w:cs="Times New Roman" w:eastAsia="Times New Roman" w:hAnsi="Times New Roman"/>
          <w:sz w:val="16"/>
          <w:szCs w:val="16"/>
          <w:color w:val="auto"/>
        </w:rPr>
      </w:pPr>
    </w:p>
    <w:p>
      <w:pPr>
        <w:jc w:val="both"/>
        <w:ind w:left="4" w:right="20" w:firstLine="1143"/>
        <w:spacing w:after="0" w:line="255" w:lineRule="auto"/>
        <w:tabs>
          <w:tab w:leader="none" w:pos="1368"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exercises its right to effect a Mandatory Conversion in accordance with this Section 14.03, then a Conversion Date will automatically, and without the need for any action on the part of any Holder, the Trustee or the Conversion Agent, be deemed to occur, with respect to each Note then outstanding, on the Mandatory Conversion Date. The Mandatory Conversion Date will be a Business Day of the Company’s choosing that is no more than 30, nor less than 10, Business Days after the Company sends the Mandatory Conversion Notice; provided that the Mandatory Conversion Date shall be no later than the second Scheduled Trading Day prior to the Maturity Date. The Company shall pay or deliver, as the case may be, the consideration due in respect of the Conversion Obligation on the second Business Day immediately following the Mandatory Conversion Date or the related Observation Period.</w:t>
      </w:r>
    </w:p>
    <w:p>
      <w:pPr>
        <w:spacing w:after="0" w:line="165" w:lineRule="exact"/>
        <w:rPr>
          <w:rFonts w:ascii="Times New Roman" w:cs="Times New Roman" w:eastAsia="Times New Roman" w:hAnsi="Times New Roman"/>
          <w:sz w:val="16"/>
          <w:szCs w:val="16"/>
          <w:color w:val="auto"/>
        </w:rPr>
      </w:pPr>
    </w:p>
    <w:p>
      <w:pPr>
        <w:ind w:left="4" w:firstLine="1143"/>
        <w:spacing w:after="0" w:line="280" w:lineRule="auto"/>
        <w:tabs>
          <w:tab w:leader="none" w:pos="1389"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Conversion Rate in connection with a Mandatory Conversion shall be increased by a number of Additional Shares per $1,000 principal amount of Notes assuming the Notes had been converted pursuant to Section 14.04.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1790700"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160" w:lineRule="exact"/>
        <w:rPr>
          <w:sz w:val="20"/>
          <w:szCs w:val="20"/>
          <w:color w:val="auto"/>
        </w:rPr>
      </w:pPr>
    </w:p>
    <w:p>
      <w:pPr>
        <w:ind w:left="284" w:hanging="284"/>
        <w:spacing w:after="0"/>
        <w:tabs>
          <w:tab w:leader="none" w:pos="284"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NTD: To be the date that is one day after the first anniversary of the issuance date.</w:t>
      </w:r>
    </w:p>
    <w:p>
      <w:pPr>
        <w:spacing w:after="0" w:line="23" w:lineRule="exact"/>
        <w:rPr>
          <w:rFonts w:ascii="Times New Roman" w:cs="Times New Roman" w:eastAsia="Times New Roman" w:hAnsi="Times New Roman"/>
          <w:sz w:val="16"/>
          <w:szCs w:val="16"/>
          <w:color w:val="auto"/>
        </w:rPr>
      </w:pPr>
    </w:p>
    <w:p>
      <w:pPr>
        <w:ind w:left="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  NTD: To be the two Business Days before the Maturity Date.</w:t>
      </w:r>
    </w:p>
    <w:p>
      <w:pPr>
        <w:spacing w:after="0" w:line="37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80" w:name="page81"/>
    <w:bookmarkEnd w:id="80"/>
    <w:p>
      <w:pPr>
        <w:jc w:val="both"/>
        <w:ind w:right="20" w:firstLine="1143"/>
        <w:spacing w:after="0" w:line="257" w:lineRule="auto"/>
        <w:tabs>
          <w:tab w:leader="none" w:pos="1409"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share of Common Stock delivered upon a Mandatory Conversion of any Note will be a newly issued or treasury share and will be duly and validly issued, fully paid, non-assessable, free from preemptive rights and free of any lien or adverse claim. If the Common Stock is then listed on any securities exchange and has been registered on an effective registration statement with the Commission, then the Company will cause each share of Common Stock, when delivered upon a Mandatory Conversion of any Note, to be admitted for listing on such exchange. Notwithstanding anything herein to the contrary, the Company shall not be permitted to effect any Mandatory Conversion hereunder unless as of such Mandatory Conversion Date no Equity Conditions Failure then exists.</w:t>
      </w:r>
    </w:p>
    <w:p>
      <w:pPr>
        <w:spacing w:after="0" w:line="160" w:lineRule="exact"/>
        <w:rPr>
          <w:sz w:val="20"/>
          <w:szCs w:val="20"/>
          <w:color w:val="auto"/>
        </w:rPr>
      </w:pPr>
    </w:p>
    <w:p>
      <w:pPr>
        <w:jc w:val="both"/>
        <w:ind w:firstLine="382"/>
        <w:spacing w:after="0" w:line="252" w:lineRule="auto"/>
        <w:rPr>
          <w:sz w:val="20"/>
          <w:szCs w:val="20"/>
          <w:color w:val="auto"/>
        </w:rPr>
      </w:pPr>
      <w:r>
        <w:rPr>
          <w:rFonts w:ascii="Times New Roman" w:cs="Times New Roman" w:eastAsia="Times New Roman" w:hAnsi="Times New Roman"/>
          <w:sz w:val="16"/>
          <w:szCs w:val="16"/>
          <w:color w:val="auto"/>
        </w:rPr>
        <w:t xml:space="preserve">Section 14.04. </w:t>
      </w:r>
      <w:r>
        <w:rPr>
          <w:rFonts w:ascii="Times New Roman" w:cs="Times New Roman" w:eastAsia="Times New Roman" w:hAnsi="Times New Roman"/>
          <w:sz w:val="16"/>
          <w:szCs w:val="16"/>
          <w:i w:val="1"/>
          <w:iCs w:val="1"/>
          <w:color w:val="auto"/>
        </w:rPr>
        <w:t>Increased Conversion Rate Applicable to Certain Notes Surrendered in Connection with Make-Whole Fundamental Changes or during a Redemption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Period</w:t>
      </w:r>
      <w:r>
        <w:rPr>
          <w:rFonts w:ascii="Times New Roman" w:cs="Times New Roman" w:eastAsia="Times New Roman" w:hAnsi="Times New Roman"/>
          <w:sz w:val="16"/>
          <w:szCs w:val="16"/>
          <w:color w:val="auto"/>
        </w:rPr>
        <w:t>. (a) If (i) the Effective Date of a Make-Whole Fundamental Change occurs prior to the Maturity Date and a Holder elects to convert its Notes in connection with such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Make-Whole Fundamental Change or (ii) the Company issues a Notice of Redemption as provided under Section 16.02 and a Holder elects to convert such Notes with a Conversion Date during the related Redemption Period, the Company shall, in each case, under the circumstances described below, increase the Conversion Rate for the Notes so surrendered for conversion by a number of additional shares of Common Stock (the “</w:t>
      </w:r>
      <w:r>
        <w:rPr>
          <w:rFonts w:ascii="Times New Roman" w:cs="Times New Roman" w:eastAsia="Times New Roman" w:hAnsi="Times New Roman"/>
          <w:sz w:val="16"/>
          <w:szCs w:val="16"/>
          <w:b w:val="1"/>
          <w:bCs w:val="1"/>
          <w:color w:val="auto"/>
        </w:rPr>
        <w:t>Additional Shares</w:t>
      </w:r>
      <w:r>
        <w:rPr>
          <w:rFonts w:ascii="Times New Roman" w:cs="Times New Roman" w:eastAsia="Times New Roman" w:hAnsi="Times New Roman"/>
          <w:sz w:val="16"/>
          <w:szCs w:val="16"/>
          <w:color w:val="auto"/>
        </w:rPr>
        <w:t>”), as described below. A conversion of Notes shall be deemed for these purposes to be “in connection with” such Make-Whole Fundamental Change if the relevant Conversion Date occurs during the period from, and including, the Effective Date of the Make-Whole Fundamental Change up to, and including, the close of business on the Business Day immediately prior to the related Fundamental Change Repurchase Date (or, in the case of a Make-Whole Fundamental Change that would have been a Fundamental Change but for the proviso in clause (b) of the definition thereof,</w:t>
      </w:r>
    </w:p>
    <w:p>
      <w:pPr>
        <w:spacing w:after="0" w:line="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6"/>
          <w:szCs w:val="16"/>
          <w:color w:val="auto"/>
        </w:rPr>
        <w:t>the 35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Trading Day immediately following the Effective Date of such Make-Whole Fundamental Change) (such period, the “</w:t>
      </w:r>
      <w:r>
        <w:rPr>
          <w:rFonts w:ascii="Times New Roman" w:cs="Times New Roman" w:eastAsia="Times New Roman" w:hAnsi="Times New Roman"/>
          <w:sz w:val="16"/>
          <w:szCs w:val="16"/>
          <w:b w:val="1"/>
          <w:bCs w:val="1"/>
          <w:color w:val="auto"/>
        </w:rPr>
        <w:t>Make-Whole Fundamental Change Period</w:t>
      </w:r>
      <w:r>
        <w:rPr>
          <w:rFonts w:ascii="Times New Roman" w:cs="Times New Roman" w:eastAsia="Times New Roman" w:hAnsi="Times New Roman"/>
          <w:sz w:val="16"/>
          <w:szCs w:val="16"/>
          <w:color w:val="auto"/>
        </w:rPr>
        <w:t>”). For the avoidance of doubt, the Company shall not increase the Conversion Rate pursuant to the provisions of this Section 14.03 on account of an anticipated Fundamental Change that does not occur. If the Company issues a Notice of Redemption as set forth under Section 16.02 the Company shall increase the Conversion Rate during the related Redemption Period only with respect to conversions of Notes called for redemption (or deemed called for redemption as contemplated by the penultimate sentence of Section 16.02(d)), and not for Notes not called for redemption. Accordingly, if the Company elects to redeem fewer than all of the outstanding Notes as described under Section 16.05. Holders of the Notes not called for redemption will not be entitled to convert such Notes on account of the Notice of Redemption and will not be entitled to an increased Conversion Rate for conversions of such Notes on account of the Notice of Redemption during the related Redemption Period if such Notes are otherwise convertible, except in the limited circumstances set forth in the penultimate sentence of Section 16.02(d).</w:t>
      </w:r>
    </w:p>
    <w:p>
      <w:pPr>
        <w:spacing w:after="0" w:line="179" w:lineRule="exact"/>
        <w:rPr>
          <w:sz w:val="20"/>
          <w:szCs w:val="20"/>
          <w:color w:val="auto"/>
        </w:rPr>
      </w:pPr>
    </w:p>
    <w:p>
      <w:pPr>
        <w:jc w:val="both"/>
        <w:ind w:firstLine="1143"/>
        <w:spacing w:after="0" w:line="252" w:lineRule="auto"/>
        <w:tabs>
          <w:tab w:leader="none" w:pos="1373"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surrender of Notes for conversion in connection with a Make-Whole Fundamental Change or of Notes called for redemption with a Conversion Date occurring during the related Redemption Period, the Company shall, at its option, satisfy the related Conversion Obligation by Physical Settlement, Cash Settlement or Combination Settlement based on the Conversion Rate as increased to reflect the additional shares pursuant to the table set forth below, in accordance with Section 14.02;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that if, at the effective time of a Make-Whole Fundamental Change described in clause (b) of the definition of Fundamental Change, the Reference Property following such Make-Whole Fundamental Change is composed entirely of cash, for any conversion of Notes following the Effective Date of such Make-Whole Fundamental Change, the Conversion Obligation shall be calculated based solely on the Stock Price for the transaction and shall be deemed to be an amount of cash per $1,000 principal amount of converted Notes equal to the Conversion Rate (including any increase to reflect the Additional Shares), </w:t>
      </w:r>
      <w:r>
        <w:rPr>
          <w:rFonts w:ascii="Times New Roman" w:cs="Times New Roman" w:eastAsia="Times New Roman" w:hAnsi="Times New Roman"/>
          <w:sz w:val="16"/>
          <w:szCs w:val="16"/>
          <w:i w:val="1"/>
          <w:iCs w:val="1"/>
          <w:color w:val="auto"/>
        </w:rPr>
        <w:t>multiplied by</w:t>
      </w:r>
      <w:r>
        <w:rPr>
          <w:rFonts w:ascii="Times New Roman" w:cs="Times New Roman" w:eastAsia="Times New Roman" w:hAnsi="Times New Roman"/>
          <w:sz w:val="16"/>
          <w:szCs w:val="16"/>
          <w:color w:val="auto"/>
        </w:rPr>
        <w:t xml:space="preserve"> such Stock Price. In such event, the Conversion Obligation shall be determined and paid to Holders in cash on the second Business Day following the Conversion Date. The Company shall notify the Holders, the Trustee and the Conversion Agent (if other than the Trustee) of the Effective Date of any Make-Whole Fundamental Change in writing no later than five Business Days after such Effective Date.</w:t>
      </w:r>
    </w:p>
    <w:p>
      <w:pPr>
        <w:spacing w:after="0" w:line="171" w:lineRule="exact"/>
        <w:rPr>
          <w:rFonts w:ascii="Times New Roman" w:cs="Times New Roman" w:eastAsia="Times New Roman" w:hAnsi="Times New Roman"/>
          <w:sz w:val="16"/>
          <w:szCs w:val="16"/>
          <w:color w:val="auto"/>
        </w:rPr>
      </w:pPr>
    </w:p>
    <w:p>
      <w:pPr>
        <w:jc w:val="both"/>
        <w:ind w:firstLine="1143"/>
        <w:spacing w:after="0" w:line="252" w:lineRule="auto"/>
        <w:tabs>
          <w:tab w:leader="none" w:pos="1474"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Additional Shares, if any, by which the Conversion Rate shall be increased for conversions in connection with a Make-Whole Fundamental Change or a Notice of Redemption shall be determined by reference to the table below, based on the date on which the Make-Whole Fundamental Change occurs or becomes effective (in each case, the “</w:t>
      </w:r>
      <w:r>
        <w:rPr>
          <w:rFonts w:ascii="Times New Roman" w:cs="Times New Roman" w:eastAsia="Times New Roman" w:hAnsi="Times New Roman"/>
          <w:sz w:val="16"/>
          <w:szCs w:val="16"/>
          <w:b w:val="1"/>
          <w:bCs w:val="1"/>
          <w:color w:val="auto"/>
        </w:rPr>
        <w:t>Effective Date</w:t>
      </w:r>
      <w:r>
        <w:rPr>
          <w:rFonts w:ascii="Times New Roman" w:cs="Times New Roman" w:eastAsia="Times New Roman" w:hAnsi="Times New Roman"/>
          <w:sz w:val="16"/>
          <w:szCs w:val="16"/>
          <w:color w:val="auto"/>
        </w:rPr>
        <w:t>”) or the Redemption Notice Date, as applicable, and the price (the “</w:t>
      </w:r>
      <w:r>
        <w:rPr>
          <w:rFonts w:ascii="Times New Roman" w:cs="Times New Roman" w:eastAsia="Times New Roman" w:hAnsi="Times New Roman"/>
          <w:sz w:val="16"/>
          <w:szCs w:val="16"/>
          <w:b w:val="1"/>
          <w:bCs w:val="1"/>
          <w:color w:val="auto"/>
        </w:rPr>
        <w:t>Stock Price</w:t>
      </w:r>
      <w:r>
        <w:rPr>
          <w:rFonts w:ascii="Times New Roman" w:cs="Times New Roman" w:eastAsia="Times New Roman" w:hAnsi="Times New Roman"/>
          <w:sz w:val="16"/>
          <w:szCs w:val="16"/>
          <w:color w:val="auto"/>
        </w:rPr>
        <w:t>”) paid (or deemed to be paid) per share of the Common Stock in the Make-Whole Fundamental Change or on the Redemption Notice Date, as applicable. If the holders of the Common Stock receive in exchange for their Common Stock only cash in a Make-Whole Fundamental Change described in clause (b) of the definition of Fundamental Change, the Stock Price shall be the cash amount paid per share. Otherwise, the Stock Price shall be the average of the Last Reported Sale Prices of the Common Stock over the ten consecutive Trading Day period ending on, and including, the Trading Day immediately preceding the applicable Effective Date of the Make-Whole Fundamental Change or the Redemption Notice Date, as the case may be. In the event that a conversion during a Redemption Period would also be deemed to be in connection with a Make-Whole Fundamental Change, a Holder of the Notes to be converted will be entitled to a single increase to the Conversion Rate with respect to the first to occur of the applicable Redemption Notice Date or the Effective Date of the applicable Make-Whole Fundamental Change, and the later event will be deemed not to have occurred for purposes of this Section 14.03.</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1" w:name="page82"/>
    <w:bookmarkEnd w:id="81"/>
    <w:p>
      <w:pPr>
        <w:jc w:val="both"/>
        <w:ind w:left="4" w:firstLine="1143"/>
        <w:spacing w:after="0" w:line="259" w:lineRule="auto"/>
        <w:tabs>
          <w:tab w:leader="none" w:pos="1389"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Stock Prices set forth in the column headings of the table below shall be adjusted as of any date on which the Conversion Rate of the Notes is otherwise adjusted. The adjusted Stock Prices shall equal the Stock Prices applicable immediately prior to such adjustment, </w:t>
      </w:r>
      <w:r>
        <w:rPr>
          <w:rFonts w:ascii="Times New Roman" w:cs="Times New Roman" w:eastAsia="Times New Roman" w:hAnsi="Times New Roman"/>
          <w:sz w:val="16"/>
          <w:szCs w:val="16"/>
          <w:i w:val="1"/>
          <w:iCs w:val="1"/>
          <w:color w:val="auto"/>
        </w:rPr>
        <w:t>multiplied by</w:t>
      </w:r>
      <w:r>
        <w:rPr>
          <w:rFonts w:ascii="Times New Roman" w:cs="Times New Roman" w:eastAsia="Times New Roman" w:hAnsi="Times New Roman"/>
          <w:sz w:val="16"/>
          <w:szCs w:val="16"/>
          <w:color w:val="auto"/>
        </w:rPr>
        <w:t xml:space="preserve"> a fraction, the numerator of which is the Conversion Rate immediately prior to such adjustment giving rise to the Stock Price adjustment and the denominator of which is the Conversion Rate as so adjusted. The number of Additional Shares set forth in the table below shall be adjusted in the same manner and at the same time as the Conversion Rate as set forth in Section 14.04.</w:t>
      </w:r>
    </w:p>
    <w:p>
      <w:pPr>
        <w:spacing w:after="0" w:line="161" w:lineRule="exact"/>
        <w:rPr>
          <w:rFonts w:ascii="Times New Roman" w:cs="Times New Roman" w:eastAsia="Times New Roman" w:hAnsi="Times New Roman"/>
          <w:sz w:val="16"/>
          <w:szCs w:val="16"/>
          <w:color w:val="auto"/>
        </w:rPr>
      </w:pPr>
    </w:p>
    <w:p>
      <w:pPr>
        <w:ind w:left="4" w:right="320" w:firstLine="1143"/>
        <w:spacing w:after="0" w:line="289" w:lineRule="auto"/>
        <w:tabs>
          <w:tab w:leader="none" w:pos="1368"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table sets forth the number of Additional Shares by which the Conversion Rate shall be increased per $1,000 principal amount of Notes pursuant to this Section 14.03 for each Stock Price and Effective Date or Redemption Notice Date, as applicable, set forth below:</w:t>
      </w:r>
      <w:r>
        <w:rPr>
          <w:rFonts w:ascii="Times New Roman" w:cs="Times New Roman" w:eastAsia="Times New Roman" w:hAnsi="Times New Roman"/>
          <w:sz w:val="26"/>
          <w:szCs w:val="26"/>
          <w:color w:val="auto"/>
          <w:vertAlign w:val="superscript"/>
        </w:rPr>
        <w:t>11</w:t>
      </w:r>
    </w:p>
    <w:p>
      <w:pPr>
        <w:spacing w:after="0" w:line="26"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Effective</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Date/Redemption</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4"/>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auto"/>
              </w:rPr>
              <w:t>Stock Price</w:t>
            </w:r>
            <w:r>
              <w:rPr>
                <w:rFonts w:ascii="Times New Roman" w:cs="Times New Roman" w:eastAsia="Times New Roman" w:hAnsi="Times New Roman"/>
                <w:sz w:val="26"/>
                <w:szCs w:val="26"/>
                <w:b w:val="1"/>
                <w:bCs w:val="1"/>
                <w:color w:val="auto"/>
                <w:vertAlign w:val="superscript"/>
              </w:rPr>
              <w:t>12</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Notice Date</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4"/>
            <w:vMerge w:val="continue"/>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200" w:type="dxa"/>
            <w:vAlign w:val="bottom"/>
            <w:tcBorders>
              <w:top w:val="single" w:sz="8" w:color="auto"/>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$10.00</w:t>
            </w:r>
          </w:p>
        </w:tc>
        <w:tc>
          <w:tcPr>
            <w:tcW w:w="200" w:type="dxa"/>
            <w:vAlign w:val="bottom"/>
            <w:tcBorders>
              <w:top w:val="single" w:sz="8" w:color="auto"/>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$12.00</w:t>
            </w:r>
          </w:p>
        </w:tc>
        <w:tc>
          <w:tcPr>
            <w:tcW w:w="200" w:type="dxa"/>
            <w:vAlign w:val="bottom"/>
            <w:tcBorders>
              <w:top w:val="single" w:sz="8" w:color="auto"/>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$14.00</w:t>
            </w:r>
          </w:p>
        </w:tc>
        <w:tc>
          <w:tcPr>
            <w:tcW w:w="200" w:type="dxa"/>
            <w:vAlign w:val="bottom"/>
            <w:tcBorders>
              <w:top w:val="single" w:sz="8" w:color="auto"/>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$16.00</w:t>
            </w:r>
          </w:p>
        </w:tc>
        <w:tc>
          <w:tcPr>
            <w:tcW w:w="180" w:type="dxa"/>
            <w:vAlign w:val="bottom"/>
            <w:tcBorders>
              <w:top w:val="single" w:sz="8" w:color="auto"/>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$18.00</w:t>
            </w:r>
          </w:p>
        </w:tc>
        <w:tc>
          <w:tcPr>
            <w:tcW w:w="180" w:type="dxa"/>
            <w:vAlign w:val="bottom"/>
            <w:tcBorders>
              <w:top w:val="single" w:sz="8" w:color="auto"/>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$20.00</w:t>
            </w:r>
          </w:p>
        </w:tc>
        <w:tc>
          <w:tcPr>
            <w:tcW w:w="200" w:type="dxa"/>
            <w:vAlign w:val="bottom"/>
            <w:tcBorders>
              <w:top w:val="single" w:sz="8" w:color="auto"/>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$25.00</w:t>
            </w:r>
          </w:p>
        </w:tc>
        <w:tc>
          <w:tcPr>
            <w:tcW w:w="220" w:type="dxa"/>
            <w:vAlign w:val="bottom"/>
            <w:tcBorders>
              <w:top w:val="single" w:sz="8" w:color="auto"/>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$30.00</w:t>
            </w:r>
          </w:p>
        </w:tc>
        <w:tc>
          <w:tcPr>
            <w:tcW w:w="220" w:type="dxa"/>
            <w:vAlign w:val="bottom"/>
            <w:tcBorders>
              <w:top w:val="single" w:sz="8" w:color="auto"/>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$40.00</w:t>
            </w:r>
          </w:p>
        </w:tc>
        <w:tc>
          <w:tcPr>
            <w:tcW w:w="220" w:type="dxa"/>
            <w:vAlign w:val="bottom"/>
            <w:tcBorders>
              <w:top w:val="single" w:sz="8" w:color="auto"/>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$50.00</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2022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13.0430</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2023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13.0430</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2024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13.0430</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2025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13.0430</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2026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13.0430</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6"/>
          <w:szCs w:val="16"/>
          <w:color w:val="auto"/>
        </w:rPr>
        <w:t>The exact Stock Prices and Effective Dates or Redemption Notice Dates may not be set forth in the table above, in which case:</w:t>
      </w:r>
    </w:p>
    <w:p>
      <w:pPr>
        <w:spacing w:after="0" w:line="198" w:lineRule="exact"/>
        <w:rPr>
          <w:sz w:val="20"/>
          <w:szCs w:val="20"/>
          <w:color w:val="auto"/>
        </w:rPr>
      </w:pPr>
    </w:p>
    <w:p>
      <w:pPr>
        <w:jc w:val="both"/>
        <w:ind w:left="4" w:right="20" w:firstLine="1716"/>
        <w:spacing w:after="0" w:line="259" w:lineRule="auto"/>
        <w:tabs>
          <w:tab w:leader="none" w:pos="1959"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Stock Price is between two Stock Prices in the table above or the Effective Date or Redemption Notice Date, as applicable, is between two Effective Dates or Redemption Notice Dates, as applicable, in the table, the number of Additional Shares by which the Conversion Rate shall be increased shall be determined by a straight-line interpolation between the number of Additional Shares set forth for the higher and lower Stock Prices and the earlier and later Effective Dates or Redemption Notice Dates, as applicable, based on a 365- or 366-day year, as applicable;</w:t>
      </w:r>
    </w:p>
    <w:p>
      <w:pPr>
        <w:spacing w:after="0" w:line="161" w:lineRule="exact"/>
        <w:rPr>
          <w:rFonts w:ascii="Times New Roman" w:cs="Times New Roman" w:eastAsia="Times New Roman" w:hAnsi="Times New Roman"/>
          <w:sz w:val="16"/>
          <w:szCs w:val="16"/>
          <w:color w:val="auto"/>
        </w:rPr>
      </w:pPr>
    </w:p>
    <w:p>
      <w:pPr>
        <w:ind w:left="4" w:right="20" w:firstLine="1716"/>
        <w:spacing w:after="0" w:line="280" w:lineRule="auto"/>
        <w:tabs>
          <w:tab w:leader="none" w:pos="196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Stock Price is greater than $50.00 per share (subject to adjustment in the same manner as the Stock Prices set forth in the column headings of the table above pursuant to subsection (d) above), no Additional Shares shall be added to the Conversion Rate; and</w:t>
      </w:r>
    </w:p>
    <w:p>
      <w:pPr>
        <w:spacing w:after="0" w:line="144" w:lineRule="exact"/>
        <w:rPr>
          <w:rFonts w:ascii="Times New Roman" w:cs="Times New Roman" w:eastAsia="Times New Roman" w:hAnsi="Times New Roman"/>
          <w:sz w:val="16"/>
          <w:szCs w:val="16"/>
          <w:color w:val="auto"/>
        </w:rPr>
      </w:pPr>
    </w:p>
    <w:p>
      <w:pPr>
        <w:ind w:left="4" w:right="20" w:firstLine="1716"/>
        <w:spacing w:after="0" w:line="280" w:lineRule="auto"/>
        <w:tabs>
          <w:tab w:leader="none" w:pos="2004"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Stock Price is less than $10.00 per share (subject to adjustment in the same manner as the Stock Prices set forth in the column headings of the table above pursuant to subsection (d) above), no Additional Shares shall be added to the Conversion Rate.</w:t>
      </w:r>
    </w:p>
    <w:p>
      <w:pPr>
        <w:spacing w:after="0" w:line="144" w:lineRule="exact"/>
        <w:rPr>
          <w:sz w:val="20"/>
          <w:szCs w:val="20"/>
          <w:color w:val="auto"/>
        </w:rPr>
      </w:pPr>
    </w:p>
    <w:p>
      <w:pPr>
        <w:ind w:left="4" w:right="20" w:firstLine="382"/>
        <w:spacing w:after="0" w:line="280" w:lineRule="auto"/>
        <w:rPr>
          <w:sz w:val="20"/>
          <w:szCs w:val="20"/>
          <w:color w:val="auto"/>
        </w:rPr>
      </w:pPr>
      <w:r>
        <w:rPr>
          <w:rFonts w:ascii="Times New Roman" w:cs="Times New Roman" w:eastAsia="Times New Roman" w:hAnsi="Times New Roman"/>
          <w:sz w:val="16"/>
          <w:szCs w:val="16"/>
          <w:color w:val="auto"/>
        </w:rPr>
        <w:t>Notwithstanding the foregoing, in no event shall the Conversion Rate per $1,000 principal amount of Notes exceed [●] shares of Common Stock, subject to adjustment in the same manner as the Conversion Rate pursuant to Section 14.04.</w:t>
      </w:r>
    </w:p>
    <w:p>
      <w:pPr>
        <w:spacing w:after="0" w:line="144" w:lineRule="exact"/>
        <w:rPr>
          <w:sz w:val="20"/>
          <w:szCs w:val="20"/>
          <w:color w:val="auto"/>
        </w:rPr>
      </w:pPr>
    </w:p>
    <w:p>
      <w:pPr>
        <w:ind w:left="4" w:right="20" w:firstLine="1143"/>
        <w:spacing w:after="0" w:line="280" w:lineRule="auto"/>
        <w:tabs>
          <w:tab w:leader="none" w:pos="1393"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Nothing in this Section 14.04 shall prevent an adjustment to the Conversion Rate that would otherwise be required pursuant to Section 14.04 in respect of a Make-Whole Fundamental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1790700"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160" w:lineRule="exact"/>
        <w:rPr>
          <w:sz w:val="20"/>
          <w:szCs w:val="20"/>
          <w:color w:val="auto"/>
        </w:rPr>
      </w:pPr>
    </w:p>
    <w:p>
      <w:pPr>
        <w:ind w:left="284" w:right="20" w:hanging="284"/>
        <w:spacing w:after="0" w:line="260" w:lineRule="auto"/>
        <w:tabs>
          <w:tab w:leader="none" w:pos="284"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NTD: Table to be completed prior to issuance using customary methodology with the assistance of a nationally recognized investment bank that has experience with convertible notes of this type.</w:t>
      </w:r>
    </w:p>
    <w:p>
      <w:pPr>
        <w:ind w:left="284" w:hanging="284"/>
        <w:spacing w:after="0"/>
        <w:tabs>
          <w:tab w:leader="none" w:pos="284"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NTD: Bankers to confirm.</w:t>
      </w:r>
    </w:p>
    <w:p>
      <w:pPr>
        <w:spacing w:after="0" w:line="37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82" w:name="page83"/>
    <w:bookmarkEnd w:id="82"/>
    <w:p>
      <w:pPr>
        <w:ind w:left="4" w:firstLine="382"/>
        <w:spacing w:after="0" w:line="261" w:lineRule="auto"/>
        <w:rPr>
          <w:sz w:val="20"/>
          <w:szCs w:val="20"/>
          <w:color w:val="auto"/>
        </w:rPr>
      </w:pPr>
      <w:r>
        <w:rPr>
          <w:rFonts w:ascii="Times New Roman" w:cs="Times New Roman" w:eastAsia="Times New Roman" w:hAnsi="Times New Roman"/>
          <w:sz w:val="16"/>
          <w:szCs w:val="16"/>
          <w:color w:val="auto"/>
        </w:rPr>
        <w:t xml:space="preserve">Section 14.05. </w:t>
      </w:r>
      <w:r>
        <w:rPr>
          <w:rFonts w:ascii="Times New Roman" w:cs="Times New Roman" w:eastAsia="Times New Roman" w:hAnsi="Times New Roman"/>
          <w:sz w:val="16"/>
          <w:szCs w:val="16"/>
          <w:i w:val="1"/>
          <w:iCs w:val="1"/>
          <w:color w:val="auto"/>
        </w:rPr>
        <w:t>Adjustment of Conversion Rate.</w:t>
      </w:r>
      <w:r>
        <w:rPr>
          <w:rFonts w:ascii="Times New Roman" w:cs="Times New Roman" w:eastAsia="Times New Roman" w:hAnsi="Times New Roman"/>
          <w:sz w:val="16"/>
          <w:szCs w:val="16"/>
          <w:color w:val="auto"/>
        </w:rPr>
        <w:t xml:space="preserve"> The Conversion Rate shall be adjusted from time to time by the Company if any of the following events occurs, except that the Company shall not make any adjustments to the Conversion Rate if Holders of the Notes participate (other than in the case of (x) a share split or share combination or</w:t>
      </w:r>
    </w:p>
    <w:p>
      <w:pPr>
        <w:spacing w:after="0" w:line="1" w:lineRule="exact"/>
        <w:rPr>
          <w:sz w:val="20"/>
          <w:szCs w:val="20"/>
          <w:color w:val="auto"/>
        </w:rPr>
      </w:pPr>
    </w:p>
    <w:p>
      <w:pPr>
        <w:jc w:val="both"/>
        <w:ind w:left="4" w:right="20" w:hanging="4"/>
        <w:spacing w:after="0" w:line="251" w:lineRule="auto"/>
        <w:tabs>
          <w:tab w:leader="none" w:pos="231"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tender or exchange offer), at the same time and upon the same terms as holders of the Common Stock and solely as a result of holding the Notes, in any of the transactions described in this Section 14.04, without having to convert their Notes, as if they held a number of shares of Common Stock equal to the Conversion Rate, </w:t>
      </w:r>
      <w:r>
        <w:rPr>
          <w:rFonts w:ascii="Times New Roman" w:cs="Times New Roman" w:eastAsia="Times New Roman" w:hAnsi="Times New Roman"/>
          <w:sz w:val="16"/>
          <w:szCs w:val="16"/>
          <w:i w:val="1"/>
          <w:iCs w:val="1"/>
          <w:color w:val="auto"/>
        </w:rPr>
        <w:t>multiplied by</w:t>
      </w:r>
      <w:r>
        <w:rPr>
          <w:rFonts w:ascii="Times New Roman" w:cs="Times New Roman" w:eastAsia="Times New Roman" w:hAnsi="Times New Roman"/>
          <w:sz w:val="16"/>
          <w:szCs w:val="16"/>
          <w:color w:val="auto"/>
        </w:rPr>
        <w:t xml:space="preserve"> the principal amount (expressed in thousands) of Notes held by such Holder. Neither the Trustee nor the Conversion Agent shall have any responsibility to verify the accuracy of any adjustment to the Conversion Rate. The Company shall notify the Holders, the Trustee and the Conversion Agent promptly in writing of any adjustments to the Conversion Rate, which adjustments shall be conclusive and binding on holders, absent manifest error.</w:t>
      </w:r>
    </w:p>
    <w:p>
      <w:pPr>
        <w:spacing w:after="0" w:line="168" w:lineRule="exact"/>
        <w:rPr>
          <w:rFonts w:ascii="Times New Roman" w:cs="Times New Roman" w:eastAsia="Times New Roman" w:hAnsi="Times New Roman"/>
          <w:sz w:val="16"/>
          <w:szCs w:val="16"/>
          <w:color w:val="auto"/>
        </w:rPr>
      </w:pPr>
    </w:p>
    <w:p>
      <w:pPr>
        <w:ind w:left="4" w:right="80" w:firstLine="1143"/>
        <w:spacing w:after="0" w:line="280" w:lineRule="auto"/>
        <w:tabs>
          <w:tab w:leader="none" w:pos="1368" w:val="left"/>
        </w:tabs>
        <w:numPr>
          <w:ilvl w:val="1"/>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exclusively issues shares of Common Stock as a dividend or distribution on shares of the Common Stock to all or substantially all holders of the Common Stock, or if the Company effects a share split or share combination,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2420620</wp:posOffset>
            </wp:positionH>
            <wp:positionV relativeFrom="paragraph">
              <wp:posOffset>-18415</wp:posOffset>
            </wp:positionV>
            <wp:extent cx="2276475" cy="895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276475" cy="895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464" w:type="dxa"/>
        <w:tblCellMar>
          <w:top w:w="0" w:type="dxa"/>
          <w:left w:w="0" w:type="dxa"/>
          <w:bottom w:w="0" w:type="dxa"/>
          <w:right w:w="0" w:type="dxa"/>
        </w:tblCellMar>
      </w:tblP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where,</w:t>
            </w:r>
          </w:p>
        </w:tc>
        <w:tc>
          <w:tcPr>
            <w:tcW w:w="320" w:type="dxa"/>
            <w:vAlign w:val="bottom"/>
          </w:tcPr>
          <w:p>
            <w:pPr>
              <w:spacing w:after="0"/>
              <w:rPr>
                <w:sz w:val="18"/>
                <w:szCs w:val="18"/>
                <w:color w:val="auto"/>
              </w:rPr>
            </w:pPr>
          </w:p>
        </w:tc>
        <w:tc>
          <w:tcPr>
            <w:tcW w:w="9920" w:type="dxa"/>
            <w:vAlign w:val="bottom"/>
          </w:tcPr>
          <w:p>
            <w:pPr>
              <w:spacing w:after="0"/>
              <w:rPr>
                <w:sz w:val="18"/>
                <w:szCs w:val="18"/>
                <w:color w:val="auto"/>
              </w:rPr>
            </w:pPr>
          </w:p>
        </w:tc>
      </w:tr>
      <w:tr>
        <w:trPr>
          <w:trHeight w:val="437"/>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CR0</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 Conversion Rate in effect immediately prior to the open of business on the Ex-Dividend Date of such dividend or distribution, or immediately prior</w:t>
            </w:r>
          </w:p>
        </w:tc>
      </w:tr>
      <w:tr>
        <w:trPr>
          <w:trHeight w:val="208"/>
        </w:trPr>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 the open of business on the Effective Date of such share split or share combination, as applicable;</w:t>
            </w:r>
          </w:p>
        </w:tc>
      </w:tr>
      <w:tr>
        <w:trPr>
          <w:trHeight w:val="382"/>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CR’</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 Conversion Rate in effect immediately after the open of business on such Ex-Dividend Date or Effective Date, as applicable;</w:t>
            </w:r>
          </w:p>
        </w:tc>
      </w:tr>
      <w:tr>
        <w:trPr>
          <w:trHeight w:val="366"/>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OS0</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 number of shares of Common Stock outstanding immediately prior to the open of business on such Ex-Dividend Date or Effective Date, as</w:t>
            </w:r>
          </w:p>
        </w:tc>
      </w:tr>
      <w:tr>
        <w:trPr>
          <w:trHeight w:val="208"/>
        </w:trPr>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applicable; and</w:t>
            </w:r>
          </w:p>
        </w:tc>
      </w:tr>
      <w:tr>
        <w:trPr>
          <w:trHeight w:val="366"/>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OS’</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 number of shares of Common Stock outstanding immediately after giving effect to such dividend, distribution, share split or share combination, as</w:t>
            </w:r>
          </w:p>
        </w:tc>
      </w:tr>
      <w:tr>
        <w:trPr>
          <w:trHeight w:val="208"/>
        </w:trPr>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applicable.</w:t>
            </w:r>
          </w:p>
        </w:tc>
      </w:tr>
    </w:tbl>
    <w:p>
      <w:pPr>
        <w:spacing w:after="0" w:line="174" w:lineRule="exact"/>
        <w:rPr>
          <w:sz w:val="20"/>
          <w:szCs w:val="20"/>
          <w:color w:val="auto"/>
        </w:rPr>
      </w:pPr>
    </w:p>
    <w:p>
      <w:pPr>
        <w:jc w:val="both"/>
        <w:ind w:left="4" w:right="20" w:firstLine="382"/>
        <w:spacing w:after="0" w:line="259" w:lineRule="auto"/>
        <w:rPr>
          <w:sz w:val="20"/>
          <w:szCs w:val="20"/>
          <w:color w:val="auto"/>
        </w:rPr>
      </w:pPr>
      <w:r>
        <w:rPr>
          <w:rFonts w:ascii="Times New Roman" w:cs="Times New Roman" w:eastAsia="Times New Roman" w:hAnsi="Times New Roman"/>
          <w:sz w:val="16"/>
          <w:szCs w:val="16"/>
          <w:color w:val="auto"/>
        </w:rPr>
        <w:t>Any adjustment made under this Section 14.04(a)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Section 14.04(a) is declared but not so paid or made, the Conversion Rate shall be immediately readjusted, effective as of the date the Company determines in good faith not to pay such dividend or distribution, to the Conversion Rate that would then be in effect if such dividend or distribution had not been declared.</w:t>
      </w:r>
    </w:p>
    <w:p>
      <w:pPr>
        <w:spacing w:after="0" w:line="162" w:lineRule="exact"/>
        <w:rPr>
          <w:sz w:val="20"/>
          <w:szCs w:val="20"/>
          <w:color w:val="auto"/>
        </w:rPr>
      </w:pPr>
    </w:p>
    <w:p>
      <w:pPr>
        <w:jc w:val="both"/>
        <w:ind w:left="4" w:firstLine="1143"/>
        <w:spacing w:after="0" w:line="259" w:lineRule="auto"/>
        <w:tabs>
          <w:tab w:leader="none" w:pos="1381"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issues to all or substantially all holders of the Common Stock any rights, options or warrants (other than pursuant to a stockholders rights plan) entitling them, for a period of not more than 45 calendar days after the announcement date of such issuance, to subscribe for or purchase shares of the Common Stock at a price per share that is less than the average of the Last Reported Sale Prices of the Common Stock for the 10 consecutive Trading Day period ending on, and including, the Trading Day immediately preceding the date of announcement of such issuance,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2230755</wp:posOffset>
            </wp:positionH>
            <wp:positionV relativeFrom="paragraph">
              <wp:posOffset>-7620</wp:posOffset>
            </wp:positionV>
            <wp:extent cx="2655570" cy="910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655570" cy="910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4" w:type="dxa"/>
        <w:tblCellMar>
          <w:top w:w="0" w:type="dxa"/>
          <w:left w:w="0" w:type="dxa"/>
          <w:bottom w:w="0" w:type="dxa"/>
          <w:right w:w="0" w:type="dxa"/>
        </w:tblCellMar>
      </w:tblPr>
      <w:tr>
        <w:trPr>
          <w:trHeight w:val="208"/>
        </w:trPr>
        <w:tc>
          <w:tcPr>
            <w:tcW w:w="1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where,</w:t>
            </w:r>
          </w:p>
        </w:tc>
        <w:tc>
          <w:tcPr>
            <w:tcW w:w="320" w:type="dxa"/>
            <w:vAlign w:val="bottom"/>
          </w:tcPr>
          <w:p>
            <w:pPr>
              <w:spacing w:after="0"/>
              <w:rPr>
                <w:sz w:val="18"/>
                <w:szCs w:val="18"/>
                <w:color w:val="auto"/>
              </w:rPr>
            </w:pPr>
          </w:p>
        </w:tc>
        <w:tc>
          <w:tcPr>
            <w:tcW w:w="9920" w:type="dxa"/>
            <w:vAlign w:val="bottom"/>
          </w:tcPr>
          <w:p>
            <w:pPr>
              <w:spacing w:after="0"/>
              <w:rPr>
                <w:sz w:val="18"/>
                <w:szCs w:val="18"/>
                <w:color w:val="auto"/>
              </w:rPr>
            </w:pPr>
          </w:p>
        </w:tc>
      </w:tr>
      <w:tr>
        <w:trPr>
          <w:trHeight w:val="454"/>
        </w:trPr>
        <w:tc>
          <w:tcPr>
            <w:tcW w:w="1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CR0</w:t>
            </w:r>
          </w:p>
        </w:tc>
        <w:tc>
          <w:tcPr>
            <w:tcW w:w="10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   the Conversion Rate in effect immediately prior to the open of business on the Ex-Dividend Date for such issuance;</w:t>
            </w:r>
          </w:p>
        </w:tc>
      </w:tr>
      <w:tr>
        <w:trPr>
          <w:trHeight w:val="382"/>
        </w:trPr>
        <w:tc>
          <w:tcPr>
            <w:tcW w:w="1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CR’</w:t>
            </w:r>
          </w:p>
        </w:tc>
        <w:tc>
          <w:tcPr>
            <w:tcW w:w="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 Conversion Rate in effect immediately after the open of business on such Ex-Dividend Date;</w:t>
            </w:r>
          </w:p>
        </w:tc>
      </w:tr>
      <w:tr>
        <w:trPr>
          <w:trHeight w:val="382"/>
        </w:trPr>
        <w:tc>
          <w:tcPr>
            <w:tcW w:w="1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OS0</w:t>
            </w:r>
          </w:p>
        </w:tc>
        <w:tc>
          <w:tcPr>
            <w:tcW w:w="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 number of shares of Common Stock outstanding immediately prior to the open of business on such Ex-Dividend Date;</w:t>
            </w:r>
          </w:p>
        </w:tc>
      </w:tr>
      <w:tr>
        <w:trPr>
          <w:trHeight w:val="601"/>
        </w:trPr>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jc w:val="right"/>
              <w:ind w:right="5480"/>
              <w:spacing w:after="0"/>
              <w:rPr>
                <w:sz w:val="20"/>
                <w:szCs w:val="20"/>
                <w:color w:val="auto"/>
              </w:rPr>
            </w:pPr>
            <w:r>
              <w:rPr>
                <w:rFonts w:ascii="Times New Roman" w:cs="Times New Roman" w:eastAsia="Times New Roman" w:hAnsi="Times New Roman"/>
                <w:sz w:val="16"/>
                <w:szCs w:val="16"/>
                <w:color w:val="auto"/>
              </w:rPr>
              <w:t>63</w:t>
            </w:r>
          </w:p>
        </w:tc>
      </w:tr>
    </w:tbl>
    <w:p>
      <w:pPr>
        <w:sectPr>
          <w:pgSz w:w="11900" w:h="16838" w:orient="portrait"/>
          <w:cols w:equalWidth="0" w:num="1">
            <w:col w:w="11264"/>
          </w:cols>
          <w:pgMar w:left="316" w:top="814" w:right="319" w:bottom="1440" w:gutter="0" w:footer="0" w:header="0"/>
        </w:sectPr>
      </w:pPr>
    </w:p>
    <w:bookmarkStart w:id="83" w:name="page84"/>
    <w:bookmarkEnd w:id="83"/>
    <w:p>
      <w:pPr>
        <w:ind w:left="1140" w:hanging="678"/>
        <w:spacing w:after="0"/>
        <w:tabs>
          <w:tab w:leader="none" w:pos="114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the total number of shares of Common Stock issuable pursuant to such rights, options or warrants; and</w:t>
      </w:r>
    </w:p>
    <w:p>
      <w:pPr>
        <w:spacing w:after="0" w:line="198" w:lineRule="exact"/>
        <w:rPr>
          <w:sz w:val="20"/>
          <w:szCs w:val="20"/>
          <w:color w:val="auto"/>
        </w:rPr>
      </w:pPr>
    </w:p>
    <w:p>
      <w:pPr>
        <w:ind w:left="1460" w:hanging="998"/>
        <w:spacing w:after="0" w:line="265" w:lineRule="auto"/>
        <w:tabs>
          <w:tab w:leader="none" w:pos="1137"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the number of shares of Common Stock equal to the aggregate price payable to exercise such rights, options or warrants, divided by the average of the Last Reported Sale Prices of the Common Stock over the 10 consecutive Trading Day period ending on, and including, the Trading Day immediately preceding the date of announcement of the issuance of such rights, options or warrants.</w:t>
      </w:r>
    </w:p>
    <w:p>
      <w:pPr>
        <w:spacing w:after="0" w:line="155"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6"/>
          <w:szCs w:val="16"/>
          <w:color w:val="auto"/>
        </w:rPr>
        <w:t>Any increase made under this Section 14.04(a) shall be made successively whenever any such rights, options or warrants are issued and shall become effective immediately after the open of business on the Ex-Dividend Date for such issuance. To the extent that shares of the Common Stock are not delivered after the expiration of such rights, options or warrants, the Conversion Rate shall be decreased to the Conversion Rate that would then be in effect had the increase with respect to the issuance of such rights, options or warrants been made on the basis of delivery of only the number of shares of Common Stock actually delivered. If such rights, options or warrants are not so issued, or if no such rights, options or warrants are exercised prior to their expiration, the Conversion Rate shall be decreased to the Conversion Rate that would then be in effect if such Ex-Dividend Date for such issuance had not occurred.</w:t>
      </w:r>
    </w:p>
    <w:p>
      <w:pPr>
        <w:spacing w:after="0" w:line="165"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6"/>
          <w:szCs w:val="16"/>
          <w:color w:val="auto"/>
        </w:rPr>
        <w:t>For purposes of this Section 14.04(a) and for the purpose of Section 14.01(b)(ii)(A), in determining whether any rights, options or warrants entitle the holders of the Common Stock to subscribe for or purchase shares of the Common Stock at less than such average of the Last Reported Sale Prices of the Common Stock for the 10 consecutive Trading Day period ending on, and including, the Trading Day immediately preceding the date of announcement of such issuance, and in determining the aggregate offering price of such shares of Common Stock, there shall be taken into account any consideration received by the Company for such rights, options or warrants and any amount payable on exercise or conversion thereof, the value of such consideration, if other than cash, to be determined by the Company in good faith.</w:t>
      </w:r>
    </w:p>
    <w:p>
      <w:pPr>
        <w:spacing w:after="0" w:line="162" w:lineRule="exact"/>
        <w:rPr>
          <w:sz w:val="20"/>
          <w:szCs w:val="20"/>
          <w:color w:val="auto"/>
        </w:rPr>
      </w:pPr>
    </w:p>
    <w:p>
      <w:pPr>
        <w:jc w:val="both"/>
        <w:ind w:right="20" w:firstLine="1143"/>
        <w:spacing w:after="0" w:line="254" w:lineRule="auto"/>
        <w:tabs>
          <w:tab w:leader="none" w:pos="1364"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distributes shares of its Capital Stock, evidences of its indebtedness, other assets or property of the Company or rights, options or warrants to acquire its Capital Stock or other securities, to all or substantially all holders of the Common Stock, excluding (i) dividends, distributions or issuances as to which an adjustment was effected (or would be effected, disregarding the 1% Provision) pursuant to Section 14.04(a) or Section 14.04(b), (ii) rights issued under a stockholders rights plan (except as provided in Section 14.11), (iii) dividends or distributions paid exclusively in cash as to which the provisions set forth in Section 14.04(d) shall apply, (iv) distributions of Reference Property in exchange for, or upon conversion of, Common Stock in a Merger Event and (v) Spin-Offs as to which the provisions set forth in this Section 14.04(c) shall apply (any of such shares of Capital Stock, evidences of indebtedness, other assets or property or rights, options or warrants to acquire Capital Stock or other securities, the “</w:t>
      </w:r>
      <w:r>
        <w:rPr>
          <w:rFonts w:ascii="Times New Roman" w:cs="Times New Roman" w:eastAsia="Times New Roman" w:hAnsi="Times New Roman"/>
          <w:sz w:val="16"/>
          <w:szCs w:val="16"/>
          <w:b w:val="1"/>
          <w:bCs w:val="1"/>
          <w:color w:val="auto"/>
        </w:rPr>
        <w:t>Distributed Property</w:t>
      </w:r>
      <w:r>
        <w:rPr>
          <w:rFonts w:ascii="Times New Roman" w:cs="Times New Roman" w:eastAsia="Times New Roman" w:hAnsi="Times New Roman"/>
          <w:sz w:val="16"/>
          <w:szCs w:val="16"/>
          <w:color w:val="auto"/>
        </w:rPr>
        <w:t>”), then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1613535</wp:posOffset>
            </wp:positionH>
            <wp:positionV relativeFrom="paragraph">
              <wp:posOffset>-4445</wp:posOffset>
            </wp:positionV>
            <wp:extent cx="3892550" cy="11156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92550" cy="1115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where,</w:t>
            </w:r>
          </w:p>
        </w:tc>
        <w:tc>
          <w:tcPr>
            <w:tcW w:w="10240" w:type="dxa"/>
            <w:vAlign w:val="bottom"/>
          </w:tcPr>
          <w:p>
            <w:pPr>
              <w:spacing w:after="0"/>
              <w:rPr>
                <w:sz w:val="18"/>
                <w:szCs w:val="18"/>
                <w:color w:val="auto"/>
              </w:rPr>
            </w:pPr>
          </w:p>
        </w:tc>
      </w:tr>
      <w:tr>
        <w:trPr>
          <w:trHeight w:val="454"/>
        </w:trPr>
        <w:tc>
          <w:tcPr>
            <w:tcW w:w="1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CR0</w:t>
            </w:r>
          </w:p>
        </w:tc>
        <w:tc>
          <w:tcPr>
            <w:tcW w:w="10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the Conversion Rate in effect immediately prior to the open of business on the Ex-Dividend Date for such distribution;</w:t>
            </w:r>
          </w:p>
        </w:tc>
      </w:tr>
      <w:tr>
        <w:trPr>
          <w:trHeight w:val="454"/>
        </w:trPr>
        <w:tc>
          <w:tcPr>
            <w:tcW w:w="1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CR’</w:t>
            </w:r>
          </w:p>
        </w:tc>
        <w:tc>
          <w:tcPr>
            <w:tcW w:w="10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the Conversion Rate in effect immediately after the open of business on such Ex-Dividend Date;</w:t>
            </w:r>
          </w:p>
        </w:tc>
      </w:tr>
      <w:tr>
        <w:trPr>
          <w:trHeight w:val="366"/>
        </w:trPr>
        <w:tc>
          <w:tcPr>
            <w:tcW w:w="1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SP0</w:t>
            </w:r>
          </w:p>
        </w:tc>
        <w:tc>
          <w:tcPr>
            <w:tcW w:w="10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the average of the Last Reported Sale Prices of the Common Stock over the 10 consecutive Trading Day period ending on, and including, the Trading</w:t>
            </w:r>
          </w:p>
        </w:tc>
      </w:tr>
      <w:tr>
        <w:trPr>
          <w:trHeight w:val="208"/>
        </w:trPr>
        <w:tc>
          <w:tcPr>
            <w:tcW w:w="1020" w:type="dxa"/>
            <w:vAlign w:val="bottom"/>
          </w:tcPr>
          <w:p>
            <w:pPr>
              <w:spacing w:after="0"/>
              <w:rPr>
                <w:sz w:val="18"/>
                <w:szCs w:val="18"/>
                <w:color w:val="auto"/>
              </w:rPr>
            </w:pPr>
          </w:p>
        </w:tc>
        <w:tc>
          <w:tcPr>
            <w:tcW w:w="102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Day immediately preceding the Ex-Dividend Date for such distribution; and</w:t>
            </w:r>
          </w:p>
        </w:tc>
      </w:tr>
      <w:tr>
        <w:trPr>
          <w:trHeight w:val="366"/>
        </w:trPr>
        <w:tc>
          <w:tcPr>
            <w:tcW w:w="1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FMV</w:t>
            </w:r>
          </w:p>
        </w:tc>
        <w:tc>
          <w:tcPr>
            <w:tcW w:w="10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the fair market value (as determined by the Company in good faith) of the Distributed Property with respect to each outstanding share of the Common</w:t>
            </w:r>
          </w:p>
        </w:tc>
      </w:tr>
      <w:tr>
        <w:trPr>
          <w:trHeight w:val="208"/>
        </w:trPr>
        <w:tc>
          <w:tcPr>
            <w:tcW w:w="1020" w:type="dxa"/>
            <w:vAlign w:val="bottom"/>
          </w:tcPr>
          <w:p>
            <w:pPr>
              <w:spacing w:after="0"/>
              <w:rPr>
                <w:sz w:val="18"/>
                <w:szCs w:val="18"/>
                <w:color w:val="auto"/>
              </w:rPr>
            </w:pPr>
          </w:p>
        </w:tc>
        <w:tc>
          <w:tcPr>
            <w:tcW w:w="102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Stock on the Ex-Dividend Date for such distribution.</w:t>
            </w:r>
          </w:p>
        </w:tc>
      </w:tr>
      <w:tr>
        <w:trPr>
          <w:trHeight w:val="601"/>
        </w:trPr>
        <w:tc>
          <w:tcPr>
            <w:tcW w:w="1020" w:type="dxa"/>
            <w:vAlign w:val="bottom"/>
            <w:tcBorders>
              <w:bottom w:val="single" w:sz="8" w:color="auto"/>
            </w:tcBorders>
          </w:tcPr>
          <w:p>
            <w:pPr>
              <w:spacing w:after="0"/>
              <w:rPr>
                <w:sz w:val="24"/>
                <w:szCs w:val="24"/>
                <w:color w:val="auto"/>
              </w:rPr>
            </w:pPr>
          </w:p>
        </w:tc>
        <w:tc>
          <w:tcPr>
            <w:tcW w:w="10240" w:type="dxa"/>
            <w:vAlign w:val="bottom"/>
            <w:tcBorders>
              <w:bottom w:val="single" w:sz="8" w:color="auto"/>
            </w:tcBorders>
          </w:tcPr>
          <w:p>
            <w:pPr>
              <w:ind w:left="4520"/>
              <w:spacing w:after="0"/>
              <w:rPr>
                <w:sz w:val="20"/>
                <w:szCs w:val="20"/>
                <w:color w:val="auto"/>
              </w:rPr>
            </w:pPr>
            <w:r>
              <w:rPr>
                <w:rFonts w:ascii="Times New Roman" w:cs="Times New Roman" w:eastAsia="Times New Roman" w:hAnsi="Times New Roman"/>
                <w:sz w:val="16"/>
                <w:szCs w:val="16"/>
                <w:color w:val="auto"/>
              </w:rPr>
              <w:t>64</w:t>
            </w:r>
          </w:p>
        </w:tc>
      </w:tr>
    </w:tbl>
    <w:p>
      <w:pPr>
        <w:sectPr>
          <w:pgSz w:w="11900" w:h="16838" w:orient="portrait"/>
          <w:cols w:equalWidth="0" w:num="1">
            <w:col w:w="11260"/>
          </w:cols>
          <w:pgMar w:left="320" w:top="840" w:right="319" w:bottom="1440" w:gutter="0" w:footer="0" w:header="0"/>
        </w:sectPr>
      </w:pPr>
    </w:p>
    <w:bookmarkStart w:id="84" w:name="page85"/>
    <w:bookmarkEnd w:id="84"/>
    <w:p>
      <w:pPr>
        <w:jc w:val="both"/>
        <w:ind w:firstLine="382"/>
        <w:spacing w:after="0" w:line="253" w:lineRule="auto"/>
        <w:rPr>
          <w:sz w:val="20"/>
          <w:szCs w:val="20"/>
          <w:color w:val="auto"/>
        </w:rPr>
      </w:pPr>
      <w:r>
        <w:rPr>
          <w:rFonts w:ascii="Times New Roman" w:cs="Times New Roman" w:eastAsia="Times New Roman" w:hAnsi="Times New Roman"/>
          <w:sz w:val="16"/>
          <w:szCs w:val="16"/>
          <w:color w:val="auto"/>
        </w:rPr>
        <w:t>Any increase made under the portion of this Section 14.04(c) above shall become effective immediately after the open of business on the Ex-Dividend Date for such distribution. If such distribution is not so paid or made, the Conversion Rate shall be decreased to the Conversion Rate that would then be in effect if such distribution had not been declared. In the case of any distribution of rights, options or warrants, to the extent such rights, options or warrants expire unexercised, the Conversion Rate shall be immediately readjusted to the Conversion Rate that would then be in effect had such unexercised rights, options or warrants not been distributed. Notwithstanding the foregoing, if “FMV” (as defined above) is equal to or greater than “SP0” (as defined above), in lieu of the foregoing increase, each Holder of a Note shall receive, in respect of each $1,000 principal amount thereof, at the same time and upon the same terms as holders of the Common Stock receive the Distributed Property, the amount and kind of Distributed Property such Holder would have received if such Holder owned a number of shares of Common Stock equal to the Conversion Rate in effect on the Ex-Dividend Date for the distribution.</w:t>
      </w:r>
    </w:p>
    <w:p>
      <w:pPr>
        <w:spacing w:after="0" w:line="169" w:lineRule="exact"/>
        <w:rPr>
          <w:sz w:val="20"/>
          <w:szCs w:val="20"/>
          <w:color w:val="auto"/>
        </w:rPr>
      </w:pPr>
    </w:p>
    <w:p>
      <w:pPr>
        <w:jc w:val="both"/>
        <w:ind w:right="20" w:firstLine="382"/>
        <w:spacing w:after="0" w:line="265" w:lineRule="auto"/>
        <w:rPr>
          <w:sz w:val="20"/>
          <w:szCs w:val="20"/>
          <w:color w:val="auto"/>
        </w:rPr>
      </w:pPr>
      <w:r>
        <w:rPr>
          <w:rFonts w:ascii="Times New Roman" w:cs="Times New Roman" w:eastAsia="Times New Roman" w:hAnsi="Times New Roman"/>
          <w:sz w:val="16"/>
          <w:szCs w:val="16"/>
          <w:color w:val="auto"/>
        </w:rPr>
        <w:t>With respect to an adjustment pursuant to this Section 14.04(c) where there has been a payment of a dividend or other distribution on the Common Stock of shares of Capital Stock of any class or series, or similar equity interest, of or relating to a Subsidiary, other business unit or Affiliate of the Company, that are, or, when issued, will be, listed or admitted for trading on a U.S. national securities exchange (a “</w:t>
      </w:r>
      <w:r>
        <w:rPr>
          <w:rFonts w:ascii="Times New Roman" w:cs="Times New Roman" w:eastAsia="Times New Roman" w:hAnsi="Times New Roman"/>
          <w:sz w:val="16"/>
          <w:szCs w:val="16"/>
          <w:b w:val="1"/>
          <w:bCs w:val="1"/>
          <w:color w:val="auto"/>
        </w:rPr>
        <w:t>Spin-Off</w:t>
      </w:r>
      <w:r>
        <w:rPr>
          <w:rFonts w:ascii="Times New Roman" w:cs="Times New Roman" w:eastAsia="Times New Roman" w:hAnsi="Times New Roman"/>
          <w:sz w:val="16"/>
          <w:szCs w:val="16"/>
          <w:color w:val="auto"/>
        </w:rPr>
        <w:t>”),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1681480</wp:posOffset>
            </wp:positionH>
            <wp:positionV relativeFrom="paragraph">
              <wp:posOffset>109220</wp:posOffset>
            </wp:positionV>
            <wp:extent cx="3809365" cy="9715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809365" cy="971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460" w:type="dxa"/>
        <w:tblCellMar>
          <w:top w:w="0" w:type="dxa"/>
          <w:left w:w="0" w:type="dxa"/>
          <w:bottom w:w="0" w:type="dxa"/>
          <w:right w:w="0" w:type="dxa"/>
        </w:tblCellMar>
      </w:tblP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where,</w:t>
            </w:r>
          </w:p>
        </w:tc>
        <w:tc>
          <w:tcPr>
            <w:tcW w:w="320" w:type="dxa"/>
            <w:vAlign w:val="bottom"/>
          </w:tcPr>
          <w:p>
            <w:pPr>
              <w:spacing w:after="0"/>
              <w:rPr>
                <w:sz w:val="18"/>
                <w:szCs w:val="18"/>
                <w:color w:val="auto"/>
              </w:rPr>
            </w:pPr>
          </w:p>
        </w:tc>
        <w:tc>
          <w:tcPr>
            <w:tcW w:w="9920" w:type="dxa"/>
            <w:vAlign w:val="bottom"/>
          </w:tcPr>
          <w:p>
            <w:pPr>
              <w:spacing w:after="0"/>
              <w:rPr>
                <w:sz w:val="18"/>
                <w:szCs w:val="18"/>
                <w:color w:val="auto"/>
              </w:rPr>
            </w:pPr>
          </w:p>
        </w:tc>
      </w:tr>
      <w:tr>
        <w:trPr>
          <w:trHeight w:val="454"/>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CR0</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 Conversion Rate in effect immediately prior to the end of the Valuation Period;</w:t>
            </w:r>
          </w:p>
        </w:tc>
      </w:tr>
      <w:tr>
        <w:trPr>
          <w:trHeight w:val="454"/>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CR’</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 Conversion Rate in effect immediately after the end of the Valuation Period;</w:t>
            </w:r>
          </w:p>
        </w:tc>
      </w:tr>
      <w:tr>
        <w:trPr>
          <w:trHeight w:val="366"/>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FMV0</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 average of the Last Reported Sale Prices of the Capital Stock or similar equity interest distributed to holders of the Common Stock applicable to one</w:t>
            </w:r>
          </w:p>
        </w:tc>
      </w:tr>
      <w:tr>
        <w:trPr>
          <w:trHeight w:val="191"/>
        </w:trPr>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 of the Common Stock (determined by reference to the definition of Last Reported Sale Price as set forth in Section 1.01 as if references therein to</w:t>
            </w:r>
          </w:p>
        </w:tc>
      </w:tr>
      <w:tr>
        <w:trPr>
          <w:trHeight w:val="191"/>
        </w:trPr>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were to such Capital Stock or similar equity interest) over the first 10 consecutive Trading Day period after, and including, the Ex-</w:t>
            </w:r>
          </w:p>
        </w:tc>
      </w:tr>
      <w:tr>
        <w:trPr>
          <w:trHeight w:val="208"/>
        </w:trPr>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Dividend Date of the Spin-Off (the “Valuation Period”); and</w:t>
            </w:r>
          </w:p>
        </w:tc>
      </w:tr>
      <w:tr>
        <w:trPr>
          <w:trHeight w:val="382"/>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MP0</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 average of the Last Reported Sale Prices of the Common Stock over the Valuation Period.</w:t>
            </w:r>
          </w:p>
        </w:tc>
      </w:tr>
    </w:tbl>
    <w:p>
      <w:pPr>
        <w:spacing w:after="0" w:line="172"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6"/>
          <w:szCs w:val="16"/>
          <w:color w:val="auto"/>
        </w:rPr>
        <w:t xml:space="preserve">The increase to the Conversion Rate under the preceding paragraph shall occur at the close of business on the last Trading Day of the Valuation Period;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(x) in respect of any conversion of Notes for which Physical Settlement is applicable, if the relevant Conversion Date occurs during the Valuation Period, the reference to “10” in the preceding paragraph shall be deemed to be replaced with such lesser number of Trading Days as have elapsed from, and including, the Ex-Dividend Date of such Spin-Off to, and including, the Conversion Date in determining the Conversion Rate and (y) in respect of any conversion of Notes for which Cash Settlement or Combination Settlement is applicable, for any Trading Day that falls within the relevant Observation Period for such conversion and within the Valuation Period, the reference to “10” in the preceding paragraph shall be deemed to be replaced with such lesser number of Trading Days as have elapsed between the Ex-Dividend Date of such Spin-Off and such Trading Day in determining the Conversion Rate as of such Trading Day.</w:t>
      </w:r>
    </w:p>
    <w:p>
      <w:pPr>
        <w:spacing w:after="0" w:line="163" w:lineRule="exact"/>
        <w:rPr>
          <w:sz w:val="20"/>
          <w:szCs w:val="20"/>
          <w:color w:val="auto"/>
        </w:rPr>
      </w:pPr>
    </w:p>
    <w:p>
      <w:pPr>
        <w:jc w:val="both"/>
        <w:ind w:right="20" w:firstLine="382"/>
        <w:spacing w:after="0" w:line="265" w:lineRule="auto"/>
        <w:rPr>
          <w:sz w:val="20"/>
          <w:szCs w:val="20"/>
          <w:color w:val="auto"/>
        </w:rPr>
      </w:pPr>
      <w:r>
        <w:rPr>
          <w:rFonts w:ascii="Times New Roman" w:cs="Times New Roman" w:eastAsia="Times New Roman" w:hAnsi="Times New Roman"/>
          <w:sz w:val="16"/>
          <w:szCs w:val="16"/>
          <w:color w:val="auto"/>
        </w:rPr>
        <w:t>If any dividend or distribution that constitutes a spin-off is declared but not so paid or made, the Conversion Rate shall be immediately decreased, effective as of the date the Board of Directors determines not to pay or make such dividend or distribution, to the Conversion Rate that would then be in effect if such dividend or distribution had not been declared or announced.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40" w:right="319" w:bottom="1440" w:gutter="0" w:footer="0" w:header="0"/>
        </w:sectPr>
      </w:pPr>
    </w:p>
    <w:bookmarkStart w:id="85" w:name="page86"/>
    <w:bookmarkEnd w:id="85"/>
    <w:p>
      <w:pPr>
        <w:jc w:val="both"/>
        <w:ind w:left="4" w:firstLine="382"/>
        <w:spacing w:after="0" w:line="267" w:lineRule="auto"/>
        <w:rPr>
          <w:sz w:val="20"/>
          <w:szCs w:val="20"/>
          <w:color w:val="auto"/>
        </w:rPr>
      </w:pPr>
      <w:r>
        <w:rPr>
          <w:rFonts w:ascii="Times New Roman" w:cs="Times New Roman" w:eastAsia="Times New Roman" w:hAnsi="Times New Roman"/>
          <w:sz w:val="15"/>
          <w:szCs w:val="15"/>
          <w:color w:val="auto"/>
        </w:rPr>
        <w:t>For purposes of this Section 14.04(c) (and subject in all respects to Section 14.11), rights, options or warrants distributed by the Company to all holders of the Common Stock entitling them to subscribe for or purchase shares of the Company’s Capital Stock, including Common Stock (either initially or under certain circumstances), which rights, options or warrants, until the occurrence of a specified event or events (“</w:t>
      </w:r>
      <w:r>
        <w:rPr>
          <w:rFonts w:ascii="Times New Roman" w:cs="Times New Roman" w:eastAsia="Times New Roman" w:hAnsi="Times New Roman"/>
          <w:sz w:val="15"/>
          <w:szCs w:val="15"/>
          <w:b w:val="1"/>
          <w:bCs w:val="1"/>
          <w:color w:val="auto"/>
        </w:rPr>
        <w:t>Trigger Event</w:t>
      </w:r>
      <w:r>
        <w:rPr>
          <w:rFonts w:ascii="Times New Roman" w:cs="Times New Roman" w:eastAsia="Times New Roman" w:hAnsi="Times New Roman"/>
          <w:sz w:val="15"/>
          <w:szCs w:val="15"/>
          <w:color w:val="auto"/>
        </w:rPr>
        <w:t>”): (i) are deemed to be transferred with such shares of the Common Stock; (ii) are not exercisable; and (iii) are also issued in respect of future issuances of the Common Stock, shall be deemed not to have been distributed for purposes of this Section 14.04(c) (and no adjustment to the Conversion Rate under this Section 14.04(c) will be required) until the occurrence of the earliest Trigger Event, whereupon such rights, options or warrants shall be deemed to have been distributed and an appropriate adjustment (if any is required) to the Conversion Rate shall be made under this Section 14.04(c).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Ex-Dividend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this Section 14.04(c) was made,</w:t>
      </w:r>
    </w:p>
    <w:p>
      <w:pPr>
        <w:spacing w:after="0" w:line="8" w:lineRule="exact"/>
        <w:rPr>
          <w:sz w:val="20"/>
          <w:szCs w:val="20"/>
          <w:color w:val="auto"/>
        </w:rPr>
      </w:pPr>
    </w:p>
    <w:p>
      <w:pPr>
        <w:jc w:val="both"/>
        <w:ind w:left="4" w:hanging="4"/>
        <w:spacing w:after="0" w:line="251" w:lineRule="auto"/>
        <w:tabs>
          <w:tab w:leader="none" w:pos="24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any such rights, options or warrants that shall all have been redeemed or purchased without exercise by any holders thereof, upon such final redemption or purchase (x) the Conversion Rate shall be readjusted as if such rights, options or warrants had not been issued and (y) the Conversion Rate shall then again be readjusted to give effect to such distribution, deemed distribution or Trigger Event, as the case may be, as though it were a cash distribution, equal to the per share redemption or purchase price received by a holder or holders of Common Stock with respect to such rights, options or warrants (assuming such holder had retained such rights, options or warrants), made to all holders of Common Stock as of the date of such redemption or purchase, and (2) in the case of such rights, options or warrants that shall have expired or been terminated without exercise by any holders thereof, the Conversion Rate shall be readjusted as if such rights, options and warrants had not been issued.</w:t>
      </w:r>
    </w:p>
    <w:p>
      <w:pPr>
        <w:spacing w:after="0" w:line="167" w:lineRule="exact"/>
        <w:rPr>
          <w:sz w:val="20"/>
          <w:szCs w:val="20"/>
          <w:color w:val="auto"/>
        </w:rPr>
      </w:pPr>
    </w:p>
    <w:p>
      <w:pPr>
        <w:ind w:left="4" w:right="100" w:firstLine="382"/>
        <w:spacing w:after="0" w:line="280" w:lineRule="auto"/>
        <w:rPr>
          <w:sz w:val="20"/>
          <w:szCs w:val="20"/>
          <w:color w:val="auto"/>
        </w:rPr>
      </w:pPr>
      <w:r>
        <w:rPr>
          <w:rFonts w:ascii="Times New Roman" w:cs="Times New Roman" w:eastAsia="Times New Roman" w:hAnsi="Times New Roman"/>
          <w:sz w:val="16"/>
          <w:szCs w:val="16"/>
          <w:color w:val="auto"/>
        </w:rPr>
        <w:t>For purposes of Section 14.04(a), Section 14.04(b) and this Section 14.04(c), if any dividend or distribution to which this Section 14.04(c) is applicable also includes one or both of:</w:t>
      </w:r>
    </w:p>
    <w:p>
      <w:pPr>
        <w:spacing w:after="0" w:line="142" w:lineRule="exact"/>
        <w:rPr>
          <w:sz w:val="20"/>
          <w:szCs w:val="20"/>
          <w:color w:val="auto"/>
        </w:rPr>
      </w:pPr>
    </w:p>
    <w:p>
      <w:pPr>
        <w:ind w:left="1984" w:hanging="264"/>
        <w:spacing w:after="0"/>
        <w:tabs>
          <w:tab w:leader="none" w:pos="1984"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dividend or distribution of shares of Common Stock to which Section 14.04(a) is applicable (the “</w:t>
      </w:r>
      <w:r>
        <w:rPr>
          <w:rFonts w:ascii="Times New Roman" w:cs="Times New Roman" w:eastAsia="Times New Roman" w:hAnsi="Times New Roman"/>
          <w:sz w:val="16"/>
          <w:szCs w:val="16"/>
          <w:b w:val="1"/>
          <w:bCs w:val="1"/>
          <w:color w:val="auto"/>
        </w:rPr>
        <w:t>Clause A Distribution</w:t>
      </w:r>
      <w:r>
        <w:rPr>
          <w:rFonts w:ascii="Times New Roman" w:cs="Times New Roman" w:eastAsia="Times New Roman" w:hAnsi="Times New Roman"/>
          <w:sz w:val="16"/>
          <w:szCs w:val="16"/>
          <w:color w:val="auto"/>
        </w:rPr>
        <w:t>”); or</w:t>
      </w:r>
    </w:p>
    <w:p>
      <w:pPr>
        <w:spacing w:after="0" w:line="198" w:lineRule="exact"/>
        <w:rPr>
          <w:rFonts w:ascii="Times New Roman" w:cs="Times New Roman" w:eastAsia="Times New Roman" w:hAnsi="Times New Roman"/>
          <w:sz w:val="16"/>
          <w:szCs w:val="16"/>
          <w:color w:val="auto"/>
        </w:rPr>
      </w:pPr>
    </w:p>
    <w:p>
      <w:pPr>
        <w:jc w:val="both"/>
        <w:ind w:left="564" w:firstLine="1156"/>
        <w:spacing w:after="0" w:line="253" w:lineRule="auto"/>
        <w:tabs>
          <w:tab w:leader="none" w:pos="1976"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dividend or distribution of rights, options or warrants to which Section 14.04(b) is applicable (the “</w:t>
      </w:r>
      <w:r>
        <w:rPr>
          <w:rFonts w:ascii="Times New Roman" w:cs="Times New Roman" w:eastAsia="Times New Roman" w:hAnsi="Times New Roman"/>
          <w:sz w:val="16"/>
          <w:szCs w:val="16"/>
          <w:b w:val="1"/>
          <w:bCs w:val="1"/>
          <w:color w:val="auto"/>
        </w:rPr>
        <w:t>Clause B Distribution</w:t>
      </w:r>
      <w:r>
        <w:rPr>
          <w:rFonts w:ascii="Times New Roman" w:cs="Times New Roman" w:eastAsia="Times New Roman" w:hAnsi="Times New Roman"/>
          <w:sz w:val="16"/>
          <w:szCs w:val="16"/>
          <w:color w:val="auto"/>
        </w:rPr>
        <w:t>”), then, in either case, (1) such dividend or distribution, other than the Clause A Distribution and the Clause B Distribution, shall be deemed to be a dividend or distribution to which this Section 14.04(c) is applicable (the “</w:t>
      </w:r>
      <w:r>
        <w:rPr>
          <w:rFonts w:ascii="Times New Roman" w:cs="Times New Roman" w:eastAsia="Times New Roman" w:hAnsi="Times New Roman"/>
          <w:sz w:val="16"/>
          <w:szCs w:val="16"/>
          <w:b w:val="1"/>
          <w:bCs w:val="1"/>
          <w:color w:val="auto"/>
        </w:rPr>
        <w:t>Clause C Distribution</w:t>
      </w:r>
      <w:r>
        <w:rPr>
          <w:rFonts w:ascii="Times New Roman" w:cs="Times New Roman" w:eastAsia="Times New Roman" w:hAnsi="Times New Roman"/>
          <w:sz w:val="16"/>
          <w:szCs w:val="16"/>
          <w:color w:val="auto"/>
        </w:rPr>
        <w:t>”) and any Conversion Rate adjustment required by this Section 14.04(c) with respect to such Clause C Distribution shall then be made, and (2) the Clause A Distribution and Clause B Distribution shall be deemed to immediately follow the Clause C Distribution and any Conversion Rate adjustment required by Section 14.04(a) and Section 14.04(b) with respect thereto shall then be made, except that, if determined by the Company (I) the “Ex-Dividend Date” of the Clause A Distribution and the Clause B Distribution shall be deemed to be the Ex-Dividend Date of the Clause C Distribution and (II) any shares of Common Stock included in the Clause A Distribution or Clause B Distribution shall be deemed not to be “outstanding immediately prior to the open of business on such Ex-Dividend Date or Effective Date” within the meaning of Section 14.04(a) or “outstanding immediately prior to the open of business on such Ex-Dividend Date” within the meaning of Section 14.04(b).</w:t>
      </w:r>
    </w:p>
    <w:p>
      <w:pPr>
        <w:spacing w:after="0" w:line="168" w:lineRule="exact"/>
        <w:rPr>
          <w:rFonts w:ascii="Times New Roman" w:cs="Times New Roman" w:eastAsia="Times New Roman" w:hAnsi="Times New Roman"/>
          <w:sz w:val="16"/>
          <w:szCs w:val="16"/>
          <w:color w:val="auto"/>
        </w:rPr>
      </w:pPr>
    </w:p>
    <w:p>
      <w:pPr>
        <w:ind w:left="1364" w:hanging="217"/>
        <w:spacing w:after="0"/>
        <w:tabs>
          <w:tab w:leader="none" w:pos="1364"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cash dividend or distribution is made to all or substantially all holders of the Common Stock, the Conversion Rate shall be increased based on the</w:t>
      </w:r>
    </w:p>
    <w:p>
      <w:pPr>
        <w:spacing w:after="0" w:line="23" w:lineRule="exact"/>
        <w:rPr>
          <w:rFonts w:ascii="Times New Roman" w:cs="Times New Roman" w:eastAsia="Times New Roman" w:hAnsi="Times New Roman"/>
          <w:sz w:val="16"/>
          <w:szCs w:val="16"/>
          <w:color w:val="auto"/>
        </w:rPr>
      </w:pPr>
    </w:p>
    <w:p>
      <w:pPr>
        <w:ind w:left="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125730</wp:posOffset>
            </wp:positionV>
            <wp:extent cx="3255645" cy="10166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55645" cy="1016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86" w:name="page87"/>
    <w:bookmarkEnd w:id="86"/>
    <w:tbl>
      <w:tblPr>
        <w:tblLayout w:type="fixed"/>
        <w:tblInd w:w="460" w:type="dxa"/>
        <w:tblCellMar>
          <w:top w:w="0" w:type="dxa"/>
          <w:left w:w="0" w:type="dxa"/>
          <w:bottom w:w="0" w:type="dxa"/>
          <w:right w:w="0" w:type="dxa"/>
        </w:tblCellMar>
      </w:tblP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where,</w:t>
            </w:r>
          </w:p>
        </w:tc>
        <w:tc>
          <w:tcPr>
            <w:tcW w:w="320" w:type="dxa"/>
            <w:vAlign w:val="bottom"/>
          </w:tcPr>
          <w:p>
            <w:pPr>
              <w:spacing w:after="0"/>
              <w:rPr>
                <w:sz w:val="18"/>
                <w:szCs w:val="18"/>
                <w:color w:val="auto"/>
              </w:rPr>
            </w:pPr>
          </w:p>
        </w:tc>
        <w:tc>
          <w:tcPr>
            <w:tcW w:w="9920" w:type="dxa"/>
            <w:vAlign w:val="bottom"/>
          </w:tcPr>
          <w:p>
            <w:pPr>
              <w:spacing w:after="0"/>
              <w:rPr>
                <w:sz w:val="18"/>
                <w:szCs w:val="18"/>
                <w:color w:val="auto"/>
              </w:rPr>
            </w:pPr>
          </w:p>
        </w:tc>
      </w:tr>
      <w:tr>
        <w:trPr>
          <w:trHeight w:val="454"/>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CR0</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 Conversion Rate in effect immediately prior to the open of business on the Ex-Dividend Date for such dividend or distribution;</w:t>
            </w:r>
          </w:p>
        </w:tc>
      </w:tr>
      <w:tr>
        <w:trPr>
          <w:trHeight w:val="454"/>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CR’</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 Conversion Rate in effect immediately after the open of business on the Ex-Dividend Date for such dividend or distribution;</w:t>
            </w:r>
          </w:p>
        </w:tc>
      </w:tr>
      <w:tr>
        <w:trPr>
          <w:trHeight w:val="366"/>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SP0</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 Last Reported Sale Price of the Common Stock on the Trading Day immediately preceding the Ex-Dividend Date for such dividend or distribution;</w:t>
            </w:r>
          </w:p>
        </w:tc>
      </w:tr>
      <w:tr>
        <w:trPr>
          <w:trHeight w:val="208"/>
        </w:trPr>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and</w:t>
            </w:r>
          </w:p>
        </w:tc>
      </w:tr>
    </w:tbl>
    <w:p>
      <w:pPr>
        <w:spacing w:after="0" w:line="174" w:lineRule="exact"/>
        <w:rPr>
          <w:sz w:val="20"/>
          <w:szCs w:val="20"/>
          <w:color w:val="auto"/>
        </w:rPr>
      </w:pPr>
    </w:p>
    <w:p>
      <w:pPr>
        <w:ind w:left="1140" w:hanging="678"/>
        <w:spacing w:after="0"/>
        <w:tabs>
          <w:tab w:leader="none" w:pos="114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the amount in cash per share the Company distributes to all or substantially all holders of the Common Stock.</w:t>
      </w:r>
    </w:p>
    <w:p>
      <w:pPr>
        <w:spacing w:after="0" w:line="198" w:lineRule="exact"/>
        <w:rPr>
          <w:sz w:val="20"/>
          <w:szCs w:val="20"/>
          <w:color w:val="auto"/>
        </w:rPr>
      </w:pPr>
    </w:p>
    <w:p>
      <w:pPr>
        <w:jc w:val="both"/>
        <w:ind w:right="20" w:firstLine="382"/>
        <w:spacing w:after="0" w:line="255" w:lineRule="auto"/>
        <w:rPr>
          <w:sz w:val="20"/>
          <w:szCs w:val="20"/>
          <w:color w:val="auto"/>
        </w:rPr>
      </w:pPr>
      <w:r>
        <w:rPr>
          <w:rFonts w:ascii="Times New Roman" w:cs="Times New Roman" w:eastAsia="Times New Roman" w:hAnsi="Times New Roman"/>
          <w:sz w:val="16"/>
          <w:szCs w:val="16"/>
          <w:color w:val="auto"/>
        </w:rPr>
        <w:t>Any increase pursuant to this Section 14.04(d) shall become effective immediately after the open of business on the Ex-Dividend Date for such dividend or distribution. If such dividend or distribution is not so paid, the Conversion Rate shall be decreased, effective as of the date the Company determines in good faith not to make or pay such dividend or distribution, to be the Conversion Rate that would then be in effect if such dividend or distribution had not been declared. Notwithstanding the foregoing, if “C” (as defined above) is equal to or greater than “SP0” (as defined above), in lieu of the foregoing increase, each Holder of a Note shall receive, for each $1,000 principal amount of Notes it holds, at the same time and upon the same terms as holders of shares of the Common Stock, the amount of cash that such Holder would have received if such Holder owned a number of shares of Common Stock equal to the Conversion Rate on the Ex-Dividend Date for such cash dividend or distribution.</w:t>
      </w:r>
    </w:p>
    <w:p>
      <w:pPr>
        <w:spacing w:after="0" w:line="165" w:lineRule="exact"/>
        <w:rPr>
          <w:sz w:val="20"/>
          <w:szCs w:val="20"/>
          <w:color w:val="auto"/>
        </w:rPr>
      </w:pPr>
    </w:p>
    <w:p>
      <w:pPr>
        <w:jc w:val="both"/>
        <w:ind w:firstLine="1143"/>
        <w:spacing w:after="0" w:line="257" w:lineRule="auto"/>
        <w:tabs>
          <w:tab w:leader="none" w:pos="1376"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or any of its Subsidiaries make a payment in respect of a tender or exchange offer for the Common Stock that is subject to the then applicable tender offer rules under the Exchange Act (other than any odd-lot tender offer), to the extent that the cash and value of any other consideration included in the payment per share of the Common Stock exceeds the average of the Last Reported Sale Prices of the Common Stock over the 10 consecutive Trading Day period commencing on, and including, the Trading Day next succeeding the last date on which tenders or exchanges may be made pursuant to such tender or exchange offer,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113665</wp:posOffset>
            </wp:positionV>
            <wp:extent cx="4772660" cy="1168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772660" cy="116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where,</w:t>
            </w:r>
          </w:p>
        </w:tc>
        <w:tc>
          <w:tcPr>
            <w:tcW w:w="320" w:type="dxa"/>
            <w:vAlign w:val="bottom"/>
          </w:tcPr>
          <w:p>
            <w:pPr>
              <w:spacing w:after="0"/>
              <w:rPr>
                <w:sz w:val="18"/>
                <w:szCs w:val="18"/>
                <w:color w:val="auto"/>
              </w:rPr>
            </w:pPr>
          </w:p>
        </w:tc>
        <w:tc>
          <w:tcPr>
            <w:tcW w:w="9920" w:type="dxa"/>
            <w:vAlign w:val="bottom"/>
          </w:tcPr>
          <w:p>
            <w:pPr>
              <w:spacing w:after="0"/>
              <w:rPr>
                <w:sz w:val="18"/>
                <w:szCs w:val="18"/>
                <w:color w:val="auto"/>
              </w:rPr>
            </w:pPr>
          </w:p>
        </w:tc>
      </w:tr>
      <w:tr>
        <w:trPr>
          <w:trHeight w:val="473"/>
        </w:trPr>
        <w:tc>
          <w:tcPr>
            <w:tcW w:w="1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CR0</w:t>
            </w:r>
          </w:p>
        </w:tc>
        <w:tc>
          <w:tcPr>
            <w:tcW w:w="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9"/>
              </w:rPr>
              <w:t>the Conversion Rate in effect immediately prior to the close of business on the 10</w:t>
            </w:r>
            <w:r>
              <w:rPr>
                <w:rFonts w:ascii="Times New Roman" w:cs="Times New Roman" w:eastAsia="Times New Roman" w:hAnsi="Times New Roman"/>
                <w:sz w:val="26"/>
                <w:szCs w:val="26"/>
                <w:color w:val="auto"/>
                <w:w w:val="99"/>
                <w:vertAlign w:val="superscript"/>
              </w:rPr>
              <w:t>th</w:t>
            </w:r>
            <w:r>
              <w:rPr>
                <w:rFonts w:ascii="Times New Roman" w:cs="Times New Roman" w:eastAsia="Times New Roman" w:hAnsi="Times New Roman"/>
                <w:sz w:val="16"/>
                <w:szCs w:val="16"/>
                <w:color w:val="auto"/>
                <w:w w:val="99"/>
              </w:rPr>
              <w:t xml:space="preserve"> Trading Day immediately following, and including, the Trading Day</w:t>
            </w:r>
          </w:p>
        </w:tc>
      </w:tr>
      <w:tr>
        <w:trPr>
          <w:trHeight w:val="208"/>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next succeeding the date such tender or exchange offer expires;</w:t>
            </w:r>
          </w:p>
        </w:tc>
      </w:tr>
      <w:tr>
        <w:trPr>
          <w:trHeight w:val="437"/>
        </w:trPr>
        <w:tc>
          <w:tcPr>
            <w:tcW w:w="1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CR’</w:t>
            </w:r>
          </w:p>
        </w:tc>
        <w:tc>
          <w:tcPr>
            <w:tcW w:w="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 Conversion Rate in effect immediately after the close of business on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Trading Day immediately following, and including, the Trading Day</w:t>
            </w:r>
          </w:p>
        </w:tc>
      </w:tr>
      <w:tr>
        <w:trPr>
          <w:trHeight w:val="208"/>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next succeeding the date such tender or exchange offer expires;</w:t>
            </w:r>
          </w:p>
        </w:tc>
      </w:tr>
      <w:tr>
        <w:trPr>
          <w:trHeight w:val="366"/>
        </w:trPr>
        <w:tc>
          <w:tcPr>
            <w:tcW w:w="1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w:t>
            </w:r>
          </w:p>
        </w:tc>
        <w:tc>
          <w:tcPr>
            <w:tcW w:w="10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   the aggregate value of all cash and any other consideration (as determined by the Company in good faith) paid or payable for shares of Common Stock</w:t>
            </w:r>
          </w:p>
        </w:tc>
      </w:tr>
      <w:tr>
        <w:trPr>
          <w:trHeight w:val="208"/>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purchased in such tender or exchange offer;</w:t>
            </w:r>
          </w:p>
        </w:tc>
      </w:tr>
      <w:tr>
        <w:trPr>
          <w:trHeight w:val="366"/>
        </w:trPr>
        <w:tc>
          <w:tcPr>
            <w:tcW w:w="1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OS0</w:t>
            </w:r>
          </w:p>
        </w:tc>
        <w:tc>
          <w:tcPr>
            <w:tcW w:w="10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   the number of shares of Common Stock outstanding immediately prior to the date such tender or exchange offer expires (prior to giving effect to the</w:t>
            </w:r>
          </w:p>
        </w:tc>
      </w:tr>
      <w:tr>
        <w:trPr>
          <w:trHeight w:val="208"/>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 of all shares of Common Stock accepted for purchase or exchange in such tender or exchange offer);</w:t>
            </w:r>
          </w:p>
        </w:tc>
      </w:tr>
      <w:tr>
        <w:trPr>
          <w:trHeight w:val="366"/>
        </w:trPr>
        <w:tc>
          <w:tcPr>
            <w:tcW w:w="1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OS’</w:t>
            </w:r>
          </w:p>
        </w:tc>
        <w:tc>
          <w:tcPr>
            <w:tcW w:w="10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   the number of shares of Common Stock outstanding immediately after the date such tender or exchange offer expires (after giving effect to the purchase</w:t>
            </w:r>
          </w:p>
        </w:tc>
      </w:tr>
      <w:tr>
        <w:trPr>
          <w:trHeight w:val="208"/>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of all shares of Common Stock accepted for purchase or exchange in such tender or exchange offer); and</w:t>
            </w:r>
          </w:p>
        </w:tc>
      </w:tr>
      <w:tr>
        <w:trPr>
          <w:trHeight w:val="366"/>
        </w:trPr>
        <w:tc>
          <w:tcPr>
            <w:tcW w:w="1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SP’</w:t>
            </w:r>
          </w:p>
        </w:tc>
        <w:tc>
          <w:tcPr>
            <w:tcW w:w="10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   the average of the Last Reported Sale Prices of the Common Stock over the 10 consecutive Trading Day period commencing on, and including, the</w:t>
            </w:r>
          </w:p>
        </w:tc>
      </w:tr>
      <w:tr>
        <w:trPr>
          <w:trHeight w:val="208"/>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Trading Day next succeeding the date such tender or exchange offer expires.</w:t>
            </w:r>
          </w:p>
        </w:tc>
      </w:tr>
      <w:tr>
        <w:trPr>
          <w:trHeight w:val="601"/>
        </w:trPr>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ind w:left="4200"/>
              <w:spacing w:after="0"/>
              <w:rPr>
                <w:sz w:val="20"/>
                <w:szCs w:val="20"/>
                <w:color w:val="auto"/>
              </w:rPr>
            </w:pPr>
            <w:r>
              <w:rPr>
                <w:rFonts w:ascii="Times New Roman" w:cs="Times New Roman" w:eastAsia="Times New Roman" w:hAnsi="Times New Roman"/>
                <w:sz w:val="16"/>
                <w:szCs w:val="16"/>
                <w:color w:val="auto"/>
              </w:rPr>
              <w:t>67</w:t>
            </w:r>
          </w:p>
        </w:tc>
      </w:tr>
    </w:tbl>
    <w:p>
      <w:pPr>
        <w:sectPr>
          <w:pgSz w:w="11900" w:h="16838" w:orient="portrait"/>
          <w:cols w:equalWidth="0" w:num="1">
            <w:col w:w="11260"/>
          </w:cols>
          <w:pgMar w:left="320" w:top="816" w:right="319" w:bottom="1440" w:gutter="0" w:footer="0" w:header="0"/>
        </w:sectPr>
      </w:pPr>
    </w:p>
    <w:bookmarkStart w:id="87" w:name="page88"/>
    <w:bookmarkEnd w:id="87"/>
    <w:p>
      <w:pPr>
        <w:jc w:val="both"/>
        <w:ind w:right="20" w:firstLine="382"/>
        <w:spacing w:after="0" w:line="236" w:lineRule="auto"/>
        <w:rPr>
          <w:sz w:val="20"/>
          <w:szCs w:val="20"/>
          <w:color w:val="auto"/>
        </w:rPr>
      </w:pPr>
      <w:r>
        <w:rPr>
          <w:rFonts w:ascii="Times New Roman" w:cs="Times New Roman" w:eastAsia="Times New Roman" w:hAnsi="Times New Roman"/>
          <w:sz w:val="15"/>
          <w:szCs w:val="15"/>
          <w:color w:val="auto"/>
        </w:rPr>
        <w:t>The increase to the Conversion Rate under this Section 14.04(e) shall occur at the close of business on the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5"/>
          <w:szCs w:val="15"/>
          <w:color w:val="auto"/>
        </w:rPr>
        <w:t xml:space="preserve"> Trading Day immediately following, and including, the Trading Day next succeeding the date such tender or exchange offer expires;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(x) in respect of any conversion of Notes for which Physical Settlement is applicable, if the relevant Conversion Date occurs during the 10 Trading Days immediately following, and including, the Trading Day next succeeding the expiration date of any tender or</w:t>
      </w:r>
    </w:p>
    <w:p>
      <w:pPr>
        <w:spacing w:after="0" w:line="1"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5"/>
          <w:szCs w:val="15"/>
          <w:color w:val="auto"/>
        </w:rPr>
        <w:t>exchange offer, references to “10” or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5"/>
          <w:szCs w:val="15"/>
          <w:color w:val="auto"/>
        </w:rPr>
        <w:t>” in the preceding paragraph shall be deemed replaced with such lesser number of Trading Days as have elapsed from, and including, the Trading Day next succeeding the date that such tender or exchange offer expires to, and including, the Conversion Date in determining the Conversion Rate and (y) in respect of any conversion of Notes for which Cash Settlement or Combination Settlement is applicable, for any Trading Day that falls within the relevant Observation Period for such conversion and within the 10 Trading Days immediately following, and including, the Trading Day next succeeding the expiration date of any tender or exchange offer,</w:t>
      </w:r>
    </w:p>
    <w:p>
      <w:pPr>
        <w:spacing w:after="0" w:line="2" w:lineRule="exact"/>
        <w:rPr>
          <w:sz w:val="20"/>
          <w:szCs w:val="20"/>
          <w:color w:val="auto"/>
        </w:rPr>
      </w:pPr>
    </w:p>
    <w:p>
      <w:pPr>
        <w:jc w:val="both"/>
        <w:ind w:right="20"/>
        <w:spacing w:after="0" w:line="207" w:lineRule="auto"/>
        <w:rPr>
          <w:sz w:val="20"/>
          <w:szCs w:val="20"/>
          <w:color w:val="auto"/>
        </w:rPr>
      </w:pPr>
      <w:r>
        <w:rPr>
          <w:rFonts w:ascii="Times New Roman" w:cs="Times New Roman" w:eastAsia="Times New Roman" w:hAnsi="Times New Roman"/>
          <w:sz w:val="16"/>
          <w:szCs w:val="16"/>
          <w:color w:val="auto"/>
        </w:rPr>
        <w:t>references to “10” or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in the preceding paragraph shall be deemed replaced with such lesser number of Trading Days as have elapsed from, and including, the Trading Day next succeeding the expiration date of such tender or exchange offer to, and including, such Trading Day in determining the Conversion Rate as of such Trading Day.</w:t>
      </w:r>
    </w:p>
    <w:p>
      <w:pPr>
        <w:spacing w:after="0" w:line="176" w:lineRule="exact"/>
        <w:rPr>
          <w:sz w:val="20"/>
          <w:szCs w:val="20"/>
          <w:color w:val="auto"/>
        </w:rPr>
      </w:pPr>
    </w:p>
    <w:p>
      <w:pPr>
        <w:jc w:val="both"/>
        <w:ind w:right="20" w:firstLine="382"/>
        <w:spacing w:after="0" w:line="259" w:lineRule="auto"/>
        <w:rPr>
          <w:sz w:val="20"/>
          <w:szCs w:val="20"/>
          <w:color w:val="auto"/>
        </w:rPr>
      </w:pPr>
      <w:r>
        <w:rPr>
          <w:rFonts w:ascii="Times New Roman" w:cs="Times New Roman" w:eastAsia="Times New Roman" w:hAnsi="Times New Roman"/>
          <w:sz w:val="16"/>
          <w:szCs w:val="16"/>
          <w:color w:val="auto"/>
        </w:rPr>
        <w:t>If the Company or one of its Subsidiaries is obligated to purchase shares of Common Stock pursuant to any such tender or exchange offer described in this Section 14.04(e) but the Company or such Subsidiary is permanently prevented by applicable law from effecting any such purchase or all such purchases are rescinded, the Conversion Rate shall be readjusted to be the Conversion Rate that would then be in effect if such tender or exchange offer had not been made or had been made only in respect of the purchases that have been made.</w:t>
      </w:r>
    </w:p>
    <w:p>
      <w:pPr>
        <w:spacing w:after="0" w:line="162" w:lineRule="exact"/>
        <w:rPr>
          <w:sz w:val="20"/>
          <w:szCs w:val="20"/>
          <w:color w:val="auto"/>
        </w:rPr>
      </w:pPr>
    </w:p>
    <w:p>
      <w:pPr>
        <w:jc w:val="both"/>
        <w:ind w:firstLine="1143"/>
        <w:spacing w:after="0" w:line="254" w:lineRule="auto"/>
        <w:tabs>
          <w:tab w:leader="none" w:pos="137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this Section 14.04 or any other provision of this Indenture or the Notes, if: (i) a Conversion Rate adjustment for any dividend or distribution becomes effective on any Ex-Dividend Date as described in this Section 14.04; (ii) a Note is to be converted for which the conversion consideration includes shares of Common Stock; (iii) any Trading Day in the Observation Period for such conversion occurs on or after such Ex-Dividend Date and on or before the related Record Date; (iv) the consideration due upon such conversion includes any whole shares of Common Stock based on a Conversion Rate that is adjusted for such dividend or distribution; and (v) the Holder would be entitled to participate in such dividend or distribution on account of such shares, then, notwithstanding anything to the contrary: the Conversion Rate adjustment relating to such Ex-Dividend Date shall be made for such conversion in respect of such Trading Day, but the shares of Common Stock issuable with respect to such Trading Day based on such adjusted conversion rate shall not be entitled to participate in such dividend or distribution.</w:t>
      </w:r>
    </w:p>
    <w:p>
      <w:pPr>
        <w:spacing w:after="0" w:line="166" w:lineRule="exact"/>
        <w:rPr>
          <w:rFonts w:ascii="Times New Roman" w:cs="Times New Roman" w:eastAsia="Times New Roman" w:hAnsi="Times New Roman"/>
          <w:sz w:val="16"/>
          <w:szCs w:val="16"/>
          <w:color w:val="auto"/>
        </w:rPr>
      </w:pPr>
    </w:p>
    <w:p>
      <w:pPr>
        <w:jc w:val="both"/>
        <w:ind w:firstLine="1143"/>
        <w:spacing w:after="0" w:line="257" w:lineRule="auto"/>
        <w:tabs>
          <w:tab w:leader="none" w:pos="1373"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Holder has converted its Notes on or after such Ex-Dividend Date and on or prior to the related Record Date would become the record holder of the shares of Common Stock as of the related Conversion Date as described under Section 14.02(i) based on an adjusted Conversion Rate for such Ex-Dividend Date, then, notwithstanding the Conversion Rate adjustment provisions in this Section 14.04, the Conversion Rate adjustment relating to such Ex-Dividend Date shall not be made for such converting Holder. Instead, such Holder shall be treated as if such Holder were the record owner of the shares of Common Stock on an unadjusted basis and participate in the related dividend, distribution or other event giving rise to such adjustment.</w:t>
      </w:r>
    </w:p>
    <w:p>
      <w:pPr>
        <w:spacing w:after="0" w:line="162" w:lineRule="exact"/>
        <w:rPr>
          <w:rFonts w:ascii="Times New Roman" w:cs="Times New Roman" w:eastAsia="Times New Roman" w:hAnsi="Times New Roman"/>
          <w:sz w:val="16"/>
          <w:szCs w:val="16"/>
          <w:color w:val="auto"/>
        </w:rPr>
      </w:pPr>
    </w:p>
    <w:p>
      <w:pPr>
        <w:ind w:right="20" w:firstLine="1143"/>
        <w:spacing w:after="0" w:line="280" w:lineRule="auto"/>
        <w:tabs>
          <w:tab w:leader="none" w:pos="1373"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stated herein, the Company shall not adjust the Conversion Rate for the issuance of shares of the Common Stock or any securities convertible into or exchangeable for shares of the Common Stock or the right to purchase shares of the Common Stock or such convertible or exchangeable securities.</w:t>
      </w:r>
    </w:p>
    <w:p>
      <w:pPr>
        <w:spacing w:after="0" w:line="144" w:lineRule="exact"/>
        <w:rPr>
          <w:rFonts w:ascii="Times New Roman" w:cs="Times New Roman" w:eastAsia="Times New Roman" w:hAnsi="Times New Roman"/>
          <w:sz w:val="16"/>
          <w:szCs w:val="16"/>
          <w:color w:val="auto"/>
        </w:rPr>
      </w:pPr>
    </w:p>
    <w:p>
      <w:pPr>
        <w:jc w:val="both"/>
        <w:ind w:firstLine="1143"/>
        <w:spacing w:after="0" w:line="255" w:lineRule="auto"/>
        <w:tabs>
          <w:tab w:leader="none" w:pos="1337"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those adjustments required by clauses (a), (b), (c), (d) and (e) of this Section 14.04, and to the extent permitted by applicable law and subject to the applicable rules of any exchange on which any of the Company’s securities are then-listed, the Company from time to time may increase the Conversion Rate by any amount for a period of at least 20 Business Days if the Company determines, in good faith, that such increase would be in the Company’s best interest. In addition, to the extent permitted by applicable law and subject to the applicable rules of any exchange on which the Company’s securities are then listed, the Company may (but is not required to) increase the Conversion Rate to avoid or diminish any income tax to holders of Common Stock or rights to purchase Common Stock in connection with a dividend or distribution of shares of Common Stock (or rights to acquire shares of Common Stock) or similar event.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43" w:right="319" w:bottom="1440" w:gutter="0" w:footer="0" w:header="0"/>
        </w:sectPr>
      </w:pPr>
    </w:p>
    <w:bookmarkStart w:id="88" w:name="page89"/>
    <w:bookmarkEnd w:id="88"/>
    <w:p>
      <w:pPr>
        <w:ind w:left="1340" w:hanging="197"/>
        <w:spacing w:after="0"/>
        <w:tabs>
          <w:tab w:leader="none" w:pos="134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in this Article 14, the Conversion Rate shall not be adjusted:</w:t>
      </w:r>
    </w:p>
    <w:p>
      <w:pPr>
        <w:spacing w:after="0" w:line="198" w:lineRule="exact"/>
        <w:rPr>
          <w:rFonts w:ascii="Times New Roman" w:cs="Times New Roman" w:eastAsia="Times New Roman" w:hAnsi="Times New Roman"/>
          <w:sz w:val="16"/>
          <w:szCs w:val="16"/>
          <w:color w:val="auto"/>
        </w:rPr>
      </w:pPr>
    </w:p>
    <w:p>
      <w:pPr>
        <w:ind w:right="20" w:firstLine="1716"/>
        <w:spacing w:after="0" w:line="280" w:lineRule="auto"/>
        <w:tabs>
          <w:tab w:leader="none" w:pos="1911"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issuance of any shares of Common Stock (other than any such issuance described in clause (a), (b) or (c) of this Section 14.04) at a price below the Conversion Price for the Notes;</w:t>
      </w:r>
    </w:p>
    <w:p>
      <w:pPr>
        <w:spacing w:after="0" w:line="144" w:lineRule="exact"/>
        <w:rPr>
          <w:rFonts w:ascii="Times New Roman" w:cs="Times New Roman" w:eastAsia="Times New Roman" w:hAnsi="Times New Roman"/>
          <w:sz w:val="16"/>
          <w:szCs w:val="16"/>
          <w:color w:val="auto"/>
        </w:rPr>
      </w:pPr>
    </w:p>
    <w:p>
      <w:pPr>
        <w:ind w:right="20" w:firstLine="1716"/>
        <w:spacing w:after="0" w:line="280" w:lineRule="auto"/>
        <w:tabs>
          <w:tab w:leader="none" w:pos="1955"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issuance of any shares of Common Stock pursuant to any present or future plan providing for the reinvestment of dividends or interest payable on the Company’s securities and the investment of additional optional amounts in shares of Common Stock under any plan;</w:t>
      </w:r>
    </w:p>
    <w:p>
      <w:pPr>
        <w:spacing w:after="0" w:line="144" w:lineRule="exact"/>
        <w:rPr>
          <w:rFonts w:ascii="Times New Roman" w:cs="Times New Roman" w:eastAsia="Times New Roman" w:hAnsi="Times New Roman"/>
          <w:sz w:val="16"/>
          <w:szCs w:val="16"/>
          <w:color w:val="auto"/>
        </w:rPr>
      </w:pPr>
    </w:p>
    <w:p>
      <w:pPr>
        <w:ind w:firstLine="1716"/>
        <w:spacing w:after="0" w:line="280" w:lineRule="auto"/>
        <w:tabs>
          <w:tab w:leader="none" w:pos="2011"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issuance of any shares of Common Stock or options or rights to purchase those shares pursuant to any present or future employee, director or consultant benefit plan or program of or assumed by the Company or any of the Company’s Subsidiaries (other than any stockholder rights plan);</w:t>
      </w:r>
    </w:p>
    <w:p>
      <w:pPr>
        <w:spacing w:after="0" w:line="144" w:lineRule="exact"/>
        <w:rPr>
          <w:rFonts w:ascii="Times New Roman" w:cs="Times New Roman" w:eastAsia="Times New Roman" w:hAnsi="Times New Roman"/>
          <w:sz w:val="16"/>
          <w:szCs w:val="16"/>
          <w:color w:val="auto"/>
        </w:rPr>
      </w:pPr>
    </w:p>
    <w:p>
      <w:pPr>
        <w:ind w:firstLine="1716"/>
        <w:spacing w:after="0" w:line="280" w:lineRule="auto"/>
        <w:tabs>
          <w:tab w:leader="none" w:pos="1990"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issuance of any shares of the Common Stock pursuant to any option, warrant, right or exercisable, exchangeable or convertible security not described in clause (iii) of this subsection and outstanding as of the date the Notes were first issued;</w:t>
      </w:r>
    </w:p>
    <w:p>
      <w:pPr>
        <w:spacing w:after="0" w:line="144" w:lineRule="exact"/>
        <w:rPr>
          <w:rFonts w:ascii="Times New Roman" w:cs="Times New Roman" w:eastAsia="Times New Roman" w:hAnsi="Times New Roman"/>
          <w:sz w:val="16"/>
          <w:szCs w:val="16"/>
          <w:color w:val="auto"/>
        </w:rPr>
      </w:pPr>
    </w:p>
    <w:p>
      <w:pPr>
        <w:ind w:left="1960" w:hanging="244"/>
        <w:spacing w:after="0"/>
        <w:tabs>
          <w:tab w:leader="none" w:pos="1960"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 third-party tender offer by any party other than a tender offer by one or more of the Company’s Subsidiaries described in clause (e) of</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Section 14.04;</w:t>
      </w:r>
    </w:p>
    <w:p>
      <w:pPr>
        <w:spacing w:after="0" w:line="181" w:lineRule="exact"/>
        <w:rPr>
          <w:rFonts w:ascii="Times New Roman" w:cs="Times New Roman" w:eastAsia="Times New Roman" w:hAnsi="Times New Roman"/>
          <w:sz w:val="16"/>
          <w:szCs w:val="16"/>
          <w:color w:val="auto"/>
        </w:rPr>
      </w:pPr>
    </w:p>
    <w:p>
      <w:pPr>
        <w:jc w:val="both"/>
        <w:ind w:right="20" w:firstLine="1716"/>
        <w:spacing w:after="0" w:line="265" w:lineRule="auto"/>
        <w:tabs>
          <w:tab w:leader="none" w:pos="2002"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repurchase of any shares of Common Stock that is not a tender offer or exchange offer of the nature described under clause (e) of this Section 14.04 including (structured or derivative transactions and open market repurchases of shares of Common Stock, or transactions pursuant to a stock repurchase program approved by the Board of Directors or otherwise);</w:t>
      </w:r>
    </w:p>
    <w:p>
      <w:pPr>
        <w:spacing w:after="0" w:line="155" w:lineRule="exact"/>
        <w:rPr>
          <w:rFonts w:ascii="Times New Roman" w:cs="Times New Roman" w:eastAsia="Times New Roman" w:hAnsi="Times New Roman"/>
          <w:sz w:val="16"/>
          <w:szCs w:val="16"/>
          <w:color w:val="auto"/>
        </w:rPr>
      </w:pPr>
    </w:p>
    <w:p>
      <w:pPr>
        <w:ind w:left="2040" w:hanging="324"/>
        <w:spacing w:after="0"/>
        <w:tabs>
          <w:tab w:leader="none" w:pos="2040"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any issuance of PIK Notes;</w:t>
      </w:r>
    </w:p>
    <w:p>
      <w:pPr>
        <w:spacing w:after="0" w:line="198" w:lineRule="exact"/>
        <w:rPr>
          <w:rFonts w:ascii="Times New Roman" w:cs="Times New Roman" w:eastAsia="Times New Roman" w:hAnsi="Times New Roman"/>
          <w:sz w:val="16"/>
          <w:szCs w:val="16"/>
          <w:color w:val="auto"/>
        </w:rPr>
      </w:pPr>
    </w:p>
    <w:p>
      <w:pPr>
        <w:ind w:left="2080" w:hanging="364"/>
        <w:spacing w:after="0"/>
        <w:tabs>
          <w:tab w:leader="none" w:pos="2080"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solely for a change in the par value of the Common Stock; or</w:t>
      </w:r>
    </w:p>
    <w:p>
      <w:pPr>
        <w:spacing w:after="0" w:line="198" w:lineRule="exact"/>
        <w:rPr>
          <w:rFonts w:ascii="Times New Roman" w:cs="Times New Roman" w:eastAsia="Times New Roman" w:hAnsi="Times New Roman"/>
          <w:sz w:val="16"/>
          <w:szCs w:val="16"/>
          <w:color w:val="auto"/>
        </w:rPr>
      </w:pPr>
    </w:p>
    <w:p>
      <w:pPr>
        <w:ind w:left="1980" w:hanging="264"/>
        <w:spacing w:after="0"/>
        <w:tabs>
          <w:tab w:leader="none" w:pos="1980"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accrued and unpaid interest, if any.</w:t>
      </w:r>
    </w:p>
    <w:p>
      <w:pPr>
        <w:spacing w:after="0" w:line="198" w:lineRule="exact"/>
        <w:rPr>
          <w:rFonts w:ascii="Times New Roman" w:cs="Times New Roman" w:eastAsia="Times New Roman" w:hAnsi="Times New Roman"/>
          <w:sz w:val="16"/>
          <w:szCs w:val="16"/>
          <w:color w:val="auto"/>
        </w:rPr>
      </w:pPr>
    </w:p>
    <w:p>
      <w:pPr>
        <w:ind w:firstLine="1143"/>
        <w:spacing w:after="0" w:line="289" w:lineRule="auto"/>
        <w:tabs>
          <w:tab w:leader="none" w:pos="1396"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calculations and other determinations under this Article 14 shall be made by the Company and shall be made to the nearest one-ten thousandth (1/10,000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of a share.</w:t>
      </w:r>
    </w:p>
    <w:p>
      <w:pPr>
        <w:spacing w:after="0" w:line="27" w:lineRule="exact"/>
        <w:rPr>
          <w:rFonts w:ascii="Times New Roman" w:cs="Times New Roman" w:eastAsia="Times New Roman" w:hAnsi="Times New Roman"/>
          <w:sz w:val="16"/>
          <w:szCs w:val="16"/>
          <w:color w:val="auto"/>
        </w:rPr>
      </w:pPr>
    </w:p>
    <w:p>
      <w:pPr>
        <w:jc w:val="both"/>
        <w:ind w:right="20" w:firstLine="1143"/>
        <w:spacing w:after="0" w:line="254" w:lineRule="auto"/>
        <w:tabs>
          <w:tab w:leader="none" w:pos="1337"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 adjustment to the Conversion Rate otherwise required by this Section 14.04 would result in a change of less than 1% to the Conversion Rate, then, notwithstanding the foregoing, the Company may, at its election, defer and carry forward such adjustment, except that all such deferred adjustments must be given effect immediately upon the earliest to occur of the following: (i) when all such deferred adjustments would result in an aggregate change of at least 1% to the Conversion Rate; (ii) the Conversion Date for any Notes (in the case of Physical Settlement); (iii) on each Trading Day of an Observation Period for any Note; (iii) the effective date of a</w:t>
      </w:r>
    </w:p>
    <w:p>
      <w:pPr>
        <w:spacing w:after="0" w:line="3" w:lineRule="exact"/>
        <w:rPr>
          <w:sz w:val="20"/>
          <w:szCs w:val="20"/>
          <w:color w:val="auto"/>
        </w:rPr>
      </w:pPr>
    </w:p>
    <w:p>
      <w:pPr>
        <w:ind w:right="20"/>
        <w:spacing w:after="0" w:line="207" w:lineRule="auto"/>
        <w:rPr>
          <w:sz w:val="20"/>
          <w:szCs w:val="20"/>
          <w:color w:val="auto"/>
        </w:rPr>
      </w:pPr>
      <w:r>
        <w:rPr>
          <w:rFonts w:ascii="Times New Roman" w:cs="Times New Roman" w:eastAsia="Times New Roman" w:hAnsi="Times New Roman"/>
          <w:sz w:val="16"/>
          <w:szCs w:val="16"/>
          <w:color w:val="auto"/>
        </w:rPr>
        <w:t>Fundamental Change and/or Make-Whole Fundamental Change; (iv) if the Company calls any Notes for redemption; or (v) [●], 2026</w:t>
      </w:r>
      <w:r>
        <w:rPr>
          <w:rFonts w:ascii="Times New Roman" w:cs="Times New Roman" w:eastAsia="Times New Roman" w:hAnsi="Times New Roman"/>
          <w:sz w:val="26"/>
          <w:szCs w:val="26"/>
          <w:color w:val="auto"/>
          <w:vertAlign w:val="superscript"/>
        </w:rPr>
        <w:t>13</w:t>
      </w:r>
      <w:r>
        <w:rPr>
          <w:rFonts w:ascii="Times New Roman" w:cs="Times New Roman" w:eastAsia="Times New Roman" w:hAnsi="Times New Roman"/>
          <w:sz w:val="16"/>
          <w:szCs w:val="16"/>
          <w:color w:val="auto"/>
        </w:rPr>
        <w:t>, in each case, unless the adjustment has already been made. The provision described in the immediately preceding sentence of this Section 14.04(l) is referred to herein as the “</w:t>
      </w:r>
      <w:r>
        <w:rPr>
          <w:rFonts w:ascii="Times New Roman" w:cs="Times New Roman" w:eastAsia="Times New Roman" w:hAnsi="Times New Roman"/>
          <w:sz w:val="16"/>
          <w:szCs w:val="16"/>
          <w:b w:val="1"/>
          <w:bCs w:val="1"/>
          <w:color w:val="auto"/>
        </w:rPr>
        <w:t>1% Provision</w:t>
      </w:r>
      <w:r>
        <w:rPr>
          <w:rFonts w:ascii="Times New Roman" w:cs="Times New Roman" w:eastAsia="Times New Roman" w:hAnsi="Times New Roman"/>
          <w:sz w:val="16"/>
          <w:szCs w:val="16"/>
          <w:color w:val="auto"/>
        </w:rPr>
        <w:t>.”</w:t>
      </w:r>
    </w:p>
    <w:p>
      <w:pPr>
        <w:spacing w:after="0" w:line="176" w:lineRule="exact"/>
        <w:rPr>
          <w:sz w:val="20"/>
          <w:szCs w:val="20"/>
          <w:color w:val="auto"/>
        </w:rPr>
      </w:pPr>
    </w:p>
    <w:p>
      <w:pPr>
        <w:jc w:val="both"/>
        <w:ind w:right="20" w:firstLine="1143"/>
        <w:spacing w:after="0" w:line="275" w:lineRule="auto"/>
        <w:tabs>
          <w:tab w:leader="none" w:pos="1429"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Whenever the Conversion Rate is adjusted as herein provided, the Company shall promptly file with the Trustee (and the Conversion Agent if not the Trustee) an Officer’s Certificate setting forth the Conversion Rate after such adjustment and setting forth a brief statement of the facts requiring such adjustment. Unless and until a Responsible Officer of the Trustee shall have received such Officer’s Certificate, the Trustee shall not be deemed to have knowledge of any adjustment of the Conversion Rate and may assume without inquiry that the last Conversion Rate of which it has knowledge is still in effect. Promptly after delivery of such certificate, the Company shall prepare a notice of such adjustment of the Conversion Rate setting forth the adjusted Conversion Rate and the date on which each adjustment becomes effective and shall deliver such notice of such adjustment of the Conversion Rate to each Holder. Failure to deliver such notice shall not affect the legality or validity of any such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1790700"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16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color w:val="auto"/>
        </w:rPr>
        <w:t>13</w:t>
      </w:r>
      <w:r>
        <w:rPr>
          <w:sz w:val="20"/>
          <w:szCs w:val="20"/>
          <w:color w:val="auto"/>
        </w:rPr>
        <w:tab/>
      </w:r>
      <w:r>
        <w:rPr>
          <w:rFonts w:ascii="Times New Roman" w:cs="Times New Roman" w:eastAsia="Times New Roman" w:hAnsi="Times New Roman"/>
          <w:sz w:val="15"/>
          <w:szCs w:val="15"/>
          <w:color w:val="auto"/>
        </w:rPr>
        <w:t>NTD: This shall be the date that is 6 months before maturity.</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9" w:name="page90"/>
    <w:bookmarkEnd w:id="89"/>
    <w:p>
      <w:pPr>
        <w:jc w:val="both"/>
        <w:ind w:right="20" w:firstLine="1143"/>
        <w:spacing w:after="0" w:line="265" w:lineRule="auto"/>
        <w:tabs>
          <w:tab w:leader="none" w:pos="1376"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Section 14.04, the number of shares of Common Stock at any time outstanding shall not include shares of Common Stock held in the treasury of the Company so long as the Company does not pay any dividend or make any distribution on shares of Common Stock held in the treasury of the Company, but shall include shares of Common Stock issuable in respect of scrip certificates issued in lieu of fractions of shares of Common Stock.</w:t>
      </w:r>
    </w:p>
    <w:p>
      <w:pPr>
        <w:spacing w:after="0" w:line="153"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6"/>
          <w:szCs w:val="16"/>
          <w:color w:val="auto"/>
        </w:rPr>
        <w:t xml:space="preserve">Section 14.06. </w:t>
      </w:r>
      <w:r>
        <w:rPr>
          <w:rFonts w:ascii="Times New Roman" w:cs="Times New Roman" w:eastAsia="Times New Roman" w:hAnsi="Times New Roman"/>
          <w:sz w:val="16"/>
          <w:szCs w:val="16"/>
          <w:i w:val="1"/>
          <w:iCs w:val="1"/>
          <w:color w:val="auto"/>
        </w:rPr>
        <w:t>Adjustments of Prices.</w:t>
      </w:r>
      <w:r>
        <w:rPr>
          <w:rFonts w:ascii="Times New Roman" w:cs="Times New Roman" w:eastAsia="Times New Roman" w:hAnsi="Times New Roman"/>
          <w:sz w:val="16"/>
          <w:szCs w:val="16"/>
          <w:color w:val="auto"/>
        </w:rPr>
        <w:t xml:space="preserve"> Whenever any provision of this Indenture requires the Company to calculate the Last Reported Sale Prices, the Daily VWAPs, the Daily Conversion Values or the Daily Settlement Amounts over a span of multiple days (including an Observation Period and the Stock Price for purposes of a Make-Whole Fundamental Change or for purposes of determining whether the Company may issue a Notice of Redemption), the Company shall make appropriate adjustments in good faith to each to account for any adjustment to the Conversion Rate that becomes effective, or any event requiring an adjustment to the Conversion Rate where the Ex-Dividend Date, Effective Date or expiration date, as the case may be, of the event occurs at any time during the period when the Last Reported Sale Prices, the Daily VWAPs, the Daily Conversion Values or the Daily Settlement Amounts are to be calculated.</w:t>
      </w:r>
    </w:p>
    <w:p>
      <w:pPr>
        <w:spacing w:after="0" w:line="161" w:lineRule="exact"/>
        <w:rPr>
          <w:sz w:val="20"/>
          <w:szCs w:val="20"/>
          <w:color w:val="auto"/>
        </w:rPr>
      </w:pPr>
    </w:p>
    <w:p>
      <w:pPr>
        <w:jc w:val="both"/>
        <w:ind w:right="20" w:firstLine="382"/>
        <w:spacing w:after="0" w:line="260" w:lineRule="auto"/>
        <w:rPr>
          <w:sz w:val="20"/>
          <w:szCs w:val="20"/>
          <w:color w:val="auto"/>
        </w:rPr>
      </w:pPr>
      <w:r>
        <w:rPr>
          <w:rFonts w:ascii="Times New Roman" w:cs="Times New Roman" w:eastAsia="Times New Roman" w:hAnsi="Times New Roman"/>
          <w:sz w:val="16"/>
          <w:szCs w:val="16"/>
          <w:color w:val="auto"/>
        </w:rPr>
        <w:t xml:space="preserve">Section 14.07. </w:t>
      </w:r>
      <w:r>
        <w:rPr>
          <w:rFonts w:ascii="Times New Roman" w:cs="Times New Roman" w:eastAsia="Times New Roman" w:hAnsi="Times New Roman"/>
          <w:sz w:val="16"/>
          <w:szCs w:val="16"/>
          <w:i w:val="1"/>
          <w:iCs w:val="1"/>
          <w:color w:val="auto"/>
        </w:rPr>
        <w:t>Shares to Be Fully Paid.</w:t>
      </w:r>
      <w:r>
        <w:rPr>
          <w:rFonts w:ascii="Times New Roman" w:cs="Times New Roman" w:eastAsia="Times New Roman" w:hAnsi="Times New Roman"/>
          <w:sz w:val="16"/>
          <w:szCs w:val="16"/>
          <w:color w:val="auto"/>
        </w:rPr>
        <w:t xml:space="preserve"> The Company shall maintain, free from preemptive rights, out of its authorized but unissued shares or shares held in treasury, sufficient shares of Common Stock to provide for the conversion of the Notes from time to time as such Notes are presented for conversion (assuming delivery of the maximum number of Additional Shares pursuant to Section 14.03 and that at the time of computation of such number of shares, all such Notes would be converted by a single Holder and that Physical Settlement were applicable.</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14.08. </w:t>
      </w:r>
      <w:r>
        <w:rPr>
          <w:rFonts w:ascii="Times New Roman" w:cs="Times New Roman" w:eastAsia="Times New Roman" w:hAnsi="Times New Roman"/>
          <w:sz w:val="16"/>
          <w:szCs w:val="16"/>
          <w:i w:val="1"/>
          <w:iCs w:val="1"/>
          <w:color w:val="auto"/>
        </w:rPr>
        <w:t>Effect of Recapitalizations, Reclassifications and Changes of the Common Stock</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1360" w:hanging="217"/>
        <w:spacing w:after="0"/>
        <w:tabs>
          <w:tab w:leader="none" w:pos="136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w:t>
      </w:r>
    </w:p>
    <w:p>
      <w:pPr>
        <w:spacing w:after="0" w:line="198" w:lineRule="exact"/>
        <w:rPr>
          <w:rFonts w:ascii="Times New Roman" w:cs="Times New Roman" w:eastAsia="Times New Roman" w:hAnsi="Times New Roman"/>
          <w:sz w:val="16"/>
          <w:szCs w:val="16"/>
          <w:color w:val="auto"/>
        </w:rPr>
      </w:pPr>
    </w:p>
    <w:p>
      <w:pPr>
        <w:ind w:firstLine="1716"/>
        <w:spacing w:after="0" w:line="280" w:lineRule="auto"/>
        <w:tabs>
          <w:tab w:leader="none" w:pos="1923" w:val="left"/>
        </w:tabs>
        <w:numPr>
          <w:ilvl w:val="1"/>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recapitalization, reclassification or change of the Common Stock (other than changes in par value or from par value to no par value, or changes resulting from a subdivision or combination),</w:t>
      </w:r>
    </w:p>
    <w:p>
      <w:pPr>
        <w:spacing w:after="0" w:line="144" w:lineRule="exact"/>
        <w:rPr>
          <w:rFonts w:ascii="Times New Roman" w:cs="Times New Roman" w:eastAsia="Times New Roman" w:hAnsi="Times New Roman"/>
          <w:sz w:val="16"/>
          <w:szCs w:val="16"/>
          <w:color w:val="auto"/>
        </w:rPr>
      </w:pPr>
    </w:p>
    <w:p>
      <w:pPr>
        <w:ind w:left="1960" w:hanging="244"/>
        <w:spacing w:after="0"/>
        <w:tabs>
          <w:tab w:leader="none" w:pos="1960" w:val="left"/>
        </w:tabs>
        <w:numPr>
          <w:ilvl w:val="1"/>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consolidation, merger, combination or similar transaction involving the Company,</w:t>
      </w:r>
    </w:p>
    <w:p>
      <w:pPr>
        <w:spacing w:after="0" w:line="198" w:lineRule="exact"/>
        <w:rPr>
          <w:rFonts w:ascii="Times New Roman" w:cs="Times New Roman" w:eastAsia="Times New Roman" w:hAnsi="Times New Roman"/>
          <w:sz w:val="16"/>
          <w:szCs w:val="16"/>
          <w:color w:val="auto"/>
        </w:rPr>
      </w:pPr>
    </w:p>
    <w:p>
      <w:pPr>
        <w:ind w:left="2020" w:hanging="304"/>
        <w:spacing w:after="0"/>
        <w:tabs>
          <w:tab w:leader="none" w:pos="2020" w:val="left"/>
        </w:tabs>
        <w:numPr>
          <w:ilvl w:val="1"/>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sale, lease or other transfer to a third party of all or substantially all of the consolidated assets of the Company and the Company’s</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Subsidiaries or</w:t>
      </w:r>
    </w:p>
    <w:p>
      <w:pPr>
        <w:spacing w:after="0" w:line="181" w:lineRule="exact"/>
        <w:rPr>
          <w:rFonts w:ascii="Times New Roman" w:cs="Times New Roman" w:eastAsia="Times New Roman" w:hAnsi="Times New Roman"/>
          <w:sz w:val="16"/>
          <w:szCs w:val="16"/>
          <w:color w:val="auto"/>
        </w:rPr>
      </w:pPr>
    </w:p>
    <w:p>
      <w:pPr>
        <w:ind w:left="1980" w:hanging="264"/>
        <w:spacing w:after="0"/>
        <w:tabs>
          <w:tab w:leader="none" w:pos="1980" w:val="left"/>
        </w:tabs>
        <w:numPr>
          <w:ilvl w:val="1"/>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statutory share exchange,</w:t>
      </w:r>
    </w:p>
    <w:p>
      <w:pPr>
        <w:spacing w:after="0" w:line="1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in each case, as a result of which the Common Stock would be converted into, or exchanged for, stock, other securities, other property or assets (including cash or any combination thereof) (any such event, a “</w:t>
      </w:r>
      <w:r>
        <w:rPr>
          <w:rFonts w:ascii="Times New Roman" w:cs="Times New Roman" w:eastAsia="Times New Roman" w:hAnsi="Times New Roman"/>
          <w:sz w:val="16"/>
          <w:szCs w:val="16"/>
          <w:b w:val="1"/>
          <w:bCs w:val="1"/>
          <w:color w:val="auto"/>
        </w:rPr>
        <w:t>Merger Event</w:t>
      </w:r>
      <w:r>
        <w:rPr>
          <w:rFonts w:ascii="Times New Roman" w:cs="Times New Roman" w:eastAsia="Times New Roman" w:hAnsi="Times New Roman"/>
          <w:sz w:val="16"/>
          <w:szCs w:val="16"/>
          <w:color w:val="auto"/>
        </w:rPr>
        <w:t>”), then, at the effective time of the Merger Event, the Company or the successor or acquiring person, as the case may be, shall execute with the Trustee a supplemental indenture, without the consent of the Holders, providing that at and after the effective time of such Merger Event, the right to convert each $1,000 principal amount of Notes shall be changed into a right to convert such principal amount of Notes into the kind and amount of shares of stock, other securities or other property or assets (including cash or any combination thereof) that a holder of a number of shares of Common Stock equal to the Conversion Rate immediately prior to such Merger Event would have owned or been entitled to receive (the “</w:t>
      </w:r>
      <w:r>
        <w:rPr>
          <w:rFonts w:ascii="Times New Roman" w:cs="Times New Roman" w:eastAsia="Times New Roman" w:hAnsi="Times New Roman"/>
          <w:sz w:val="16"/>
          <w:szCs w:val="16"/>
          <w:b w:val="1"/>
          <w:bCs w:val="1"/>
          <w:color w:val="auto"/>
        </w:rPr>
        <w:t>Reference Property</w:t>
      </w:r>
      <w:r>
        <w:rPr>
          <w:rFonts w:ascii="Times New Roman" w:cs="Times New Roman" w:eastAsia="Times New Roman" w:hAnsi="Times New Roman"/>
          <w:sz w:val="16"/>
          <w:szCs w:val="16"/>
          <w:color w:val="auto"/>
        </w:rPr>
        <w:t>,” with each “</w:t>
      </w:r>
      <w:r>
        <w:rPr>
          <w:rFonts w:ascii="Times New Roman" w:cs="Times New Roman" w:eastAsia="Times New Roman" w:hAnsi="Times New Roman"/>
          <w:sz w:val="16"/>
          <w:szCs w:val="16"/>
          <w:b w:val="1"/>
          <w:bCs w:val="1"/>
          <w:color w:val="auto"/>
        </w:rPr>
        <w:t>unit of Reference Property</w:t>
      </w:r>
      <w:r>
        <w:rPr>
          <w:rFonts w:ascii="Times New Roman" w:cs="Times New Roman" w:eastAsia="Times New Roman" w:hAnsi="Times New Roman"/>
          <w:sz w:val="16"/>
          <w:szCs w:val="16"/>
          <w:color w:val="auto"/>
        </w:rPr>
        <w:t xml:space="preserve">” meaning the kind and amount of Reference Property that a holder of one share of Common Stock is entitled to receive) upon such Merger Event and, prior to or at the effective time of such Merger Event, the Company or the successor or purchasing Person, as the case may be, shall execute with the Trustee a supplemental indenture permitted under Section 10.01(j) providing for such change in the right to convert each $1,000 principal amount of Notes;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at and after the effective time of the Merger Event (A) the Company or the successor or acquiring company, as the case may be, shall continue to have the right to elect to determine the form of consideration to be paid or delivered, as the case may be, in respect of the remainder, if any, of the Conversion Obligation in excess of the principal amount of the Notes being converted, in accordance with Section 14.02, (B) any amount payable in cash upon conversion of the Notes in accordance with Section 14.02 shall continue to be payable in cash, (C) any shares of Common Stock that the Company would have been required to deliver upon conversion of the Notes in accordance with Section 14.02 shall instead be deliverable in the amount and type of Reference Property that a holder of that number of shares of Common Stock would have received in such Merger Event and (D) the Daily VWAP shall be calculated based on the value of a unit of Reference Property.</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0" w:name="page91"/>
    <w:bookmarkEnd w:id="90"/>
    <w:p>
      <w:pPr>
        <w:jc w:val="both"/>
        <w:ind w:firstLine="382"/>
        <w:spacing w:after="0" w:line="253" w:lineRule="auto"/>
        <w:rPr>
          <w:sz w:val="20"/>
          <w:szCs w:val="20"/>
          <w:color w:val="auto"/>
        </w:rPr>
      </w:pPr>
      <w:r>
        <w:rPr>
          <w:rFonts w:ascii="Times New Roman" w:cs="Times New Roman" w:eastAsia="Times New Roman" w:hAnsi="Times New Roman"/>
          <w:sz w:val="16"/>
          <w:szCs w:val="16"/>
          <w:color w:val="auto"/>
        </w:rPr>
        <w:t xml:space="preserve">If the Merger Event causes the Common Stock to be converted into, or exchanged for, the right to receive more than a single type of consideration (determined based in part upon any form of stockholder election), then (i) the Reference Property into which the Notes will be convertible shall be deemed to be the weighted average of the types and amounts of consideration actually received by the holders of Common Stock, and (ii) the unit of Reference Property for purposes of the immediately preceding paragraph shall refer to the consideration referred to in clause (i) attributable to one share of Common Stock. If the holders of the Common Stock receive only cash in such Merger Event, then for all conversions for which the relevant Conversion Date occurs after the effective date of such Merger Event (A) the consideration due upon conversion of each $1,000 principal amount of Notes shall be solely cash in an amount equal to the Conversion Rate in effect on the Conversion Date (as may be increased by any Additional Shares pursuant to Section 14.03), </w:t>
      </w:r>
      <w:r>
        <w:rPr>
          <w:rFonts w:ascii="Times New Roman" w:cs="Times New Roman" w:eastAsia="Times New Roman" w:hAnsi="Times New Roman"/>
          <w:sz w:val="16"/>
          <w:szCs w:val="16"/>
          <w:i w:val="1"/>
          <w:iCs w:val="1"/>
          <w:color w:val="auto"/>
        </w:rPr>
        <w:t>multiplied by</w:t>
      </w:r>
      <w:r>
        <w:rPr>
          <w:rFonts w:ascii="Times New Roman" w:cs="Times New Roman" w:eastAsia="Times New Roman" w:hAnsi="Times New Roman"/>
          <w:sz w:val="16"/>
          <w:szCs w:val="16"/>
          <w:color w:val="auto"/>
        </w:rPr>
        <w:t xml:space="preserve"> the price paid per share of Common Stock in such Merger Event and (B) the Company shall satisfy the Conversion Obligation by paying cash to converting Holders on the second Business Day immediately following the relevant Conversion Date. The Company shall notify Holders, the Trustee and the Conversion Agent (if other than the Trustee) in writing of such weighted average as soon as reasonably practicable after such determination is made.</w:t>
      </w:r>
    </w:p>
    <w:p>
      <w:pPr>
        <w:spacing w:after="0" w:line="166" w:lineRule="exact"/>
        <w:rPr>
          <w:sz w:val="20"/>
          <w:szCs w:val="20"/>
          <w:color w:val="auto"/>
        </w:rPr>
      </w:pPr>
    </w:p>
    <w:p>
      <w:pPr>
        <w:jc w:val="both"/>
        <w:ind w:firstLine="382"/>
        <w:spacing w:after="0" w:line="253" w:lineRule="auto"/>
        <w:rPr>
          <w:sz w:val="20"/>
          <w:szCs w:val="20"/>
          <w:color w:val="auto"/>
        </w:rPr>
      </w:pPr>
      <w:r>
        <w:rPr>
          <w:rFonts w:ascii="Times New Roman" w:cs="Times New Roman" w:eastAsia="Times New Roman" w:hAnsi="Times New Roman"/>
          <w:sz w:val="16"/>
          <w:szCs w:val="16"/>
          <w:color w:val="auto"/>
        </w:rPr>
        <w:t>If the Reference Property in respect of any Merger Event includes, in whole or in part, shares of Common Equity or securities convertible into or exchangeable for shares of Common Equity, the supplemental indenture described in the second immediately preceding paragraph shall provide for anti-dilution and other adjustments that shall be as nearly equivalent as is possible to the adjustments provided for in this Article 14 with respect to the portion of Reference Property consisting of such Common Equity or securities convertible into or exchangeable for shares of Common Equity. If the Reference Property in respect of any such Merger Event includes shares of stock, securities or other property or assets, other than cash and/or cash equivalents, of a Person other than the Company or the successor or purchasing corporation, as the case may be, in such Merger Event and such other company, if an affiliate of the Company (or, if the Company does not survive the Merger Event, an affiliate of the successor or purchasing company) is party to the transaction, such other company shall also execute such supplemental indenture, and such supplemental indenture shall contain such additional provisions to protect the interests of the Holders as the Company shall in good faith reasonably consider necessary by reason of the foregoing, including the provisions providing for the purchase rights set forth in Article 15.</w:t>
      </w:r>
    </w:p>
    <w:p>
      <w:pPr>
        <w:spacing w:after="0" w:line="166" w:lineRule="exact"/>
        <w:rPr>
          <w:sz w:val="20"/>
          <w:szCs w:val="20"/>
          <w:color w:val="auto"/>
        </w:rPr>
      </w:pPr>
    </w:p>
    <w:p>
      <w:pPr>
        <w:jc w:val="both"/>
        <w:ind w:right="20" w:firstLine="1143"/>
        <w:spacing w:after="0" w:line="257" w:lineRule="auto"/>
        <w:tabs>
          <w:tab w:leader="none" w:pos="1373"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the Company executes a supplemental indenture pursuant to subsection (a) of this Section 14.07, the Company shall promptly file with the Trustee an Officer’s Certificate briefly stating the reasons therefor, the kind or amount of cash, securities or property or asset that will comprise a unit of Reference Property after any such Merger Event, any adjustment to be made with respect thereto and that all conditions precedent have been complied with, and shall promptly deliver or cause to be delivered notice thereof to all Holders. The Company shall cause notice of the execution of such supplemental indenture to be delivered to each Holder within 20 days after execution thereof. Failure to deliver such notice shall not affect the legality or validity of such supplemental indenture.</w:t>
      </w:r>
    </w:p>
    <w:p>
      <w:pPr>
        <w:spacing w:after="0" w:line="162"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87"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become a party to any Merger Event unless its terms are reasonably consistent with this Section 14.07 and in compliance with Section 14.10. None of the foregoing provisions shall affect the right of a holder of Notes to convert its Notes into cash, shares of Common Stock or a combination of cash and shares of Common Stock, as applicable, as set forth in Section 14.01 and Section 14.02 prior to the effective date of such Merger Event.</w:t>
      </w:r>
    </w:p>
    <w:p>
      <w:pPr>
        <w:spacing w:after="0" w:line="155"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above provisions of this Section shall similarly apply to successive Merger Events.</w:t>
      </w:r>
    </w:p>
    <w:p>
      <w:pPr>
        <w:spacing w:after="0" w:line="196" w:lineRule="exact"/>
        <w:rPr>
          <w:sz w:val="20"/>
          <w:szCs w:val="20"/>
          <w:color w:val="auto"/>
        </w:rPr>
      </w:pPr>
    </w:p>
    <w:p>
      <w:pPr>
        <w:ind w:right="20" w:firstLine="382"/>
        <w:spacing w:after="0" w:line="283" w:lineRule="auto"/>
        <w:rPr>
          <w:sz w:val="20"/>
          <w:szCs w:val="20"/>
          <w:color w:val="auto"/>
        </w:rPr>
      </w:pPr>
      <w:r>
        <w:rPr>
          <w:rFonts w:ascii="Times New Roman" w:cs="Times New Roman" w:eastAsia="Times New Roman" w:hAnsi="Times New Roman"/>
          <w:sz w:val="16"/>
          <w:szCs w:val="16"/>
          <w:color w:val="auto"/>
        </w:rPr>
        <w:t xml:space="preserve">Section 14.09. </w:t>
      </w:r>
      <w:r>
        <w:rPr>
          <w:rFonts w:ascii="Times New Roman" w:cs="Times New Roman" w:eastAsia="Times New Roman" w:hAnsi="Times New Roman"/>
          <w:sz w:val="16"/>
          <w:szCs w:val="16"/>
          <w:i w:val="1"/>
          <w:iCs w:val="1"/>
          <w:color w:val="auto"/>
        </w:rPr>
        <w:t>Certain Covenants.</w:t>
      </w:r>
      <w:r>
        <w:rPr>
          <w:rFonts w:ascii="Times New Roman" w:cs="Times New Roman" w:eastAsia="Times New Roman" w:hAnsi="Times New Roman"/>
          <w:sz w:val="16"/>
          <w:szCs w:val="16"/>
          <w:color w:val="auto"/>
        </w:rPr>
        <w:t xml:space="preserve"> (a) The Company covenants that all shares of Common Stock issued upon conversion of Notes will be fully paid and non-assessable by the Company and free from all taxes, liens and charges with respect to the issue thereof.</w:t>
      </w:r>
    </w:p>
    <w:p>
      <w:pPr>
        <w:spacing w:after="0" w:line="142" w:lineRule="exact"/>
        <w:rPr>
          <w:sz w:val="20"/>
          <w:szCs w:val="20"/>
          <w:color w:val="auto"/>
        </w:rPr>
      </w:pPr>
    </w:p>
    <w:p>
      <w:pPr>
        <w:jc w:val="both"/>
        <w:ind w:right="20" w:firstLine="1143"/>
        <w:spacing w:after="0" w:line="265" w:lineRule="auto"/>
        <w:tabs>
          <w:tab w:leader="none" w:pos="1373"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further covenants that if at any time the Common Stock shall be listed on any national securities exchange or automated quotation system the Company will list and keep listed, so long as the Common Stock shall be so listed on such exchange or automated quotation system, any Common Stock issuable upon conversion of the Notes.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1" w:name="page92"/>
    <w:bookmarkEnd w:id="91"/>
    <w:p>
      <w:pPr>
        <w:jc w:val="both"/>
        <w:ind w:firstLine="382"/>
        <w:spacing w:after="0" w:line="251" w:lineRule="auto"/>
        <w:rPr>
          <w:sz w:val="20"/>
          <w:szCs w:val="20"/>
          <w:color w:val="auto"/>
        </w:rPr>
      </w:pPr>
      <w:r>
        <w:rPr>
          <w:rFonts w:ascii="Times New Roman" w:cs="Times New Roman" w:eastAsia="Times New Roman" w:hAnsi="Times New Roman"/>
          <w:sz w:val="16"/>
          <w:szCs w:val="16"/>
          <w:color w:val="auto"/>
        </w:rPr>
        <w:t xml:space="preserve">Section 14.10. </w:t>
      </w:r>
      <w:r>
        <w:rPr>
          <w:rFonts w:ascii="Times New Roman" w:cs="Times New Roman" w:eastAsia="Times New Roman" w:hAnsi="Times New Roman"/>
          <w:sz w:val="16"/>
          <w:szCs w:val="16"/>
          <w:i w:val="1"/>
          <w:iCs w:val="1"/>
          <w:color w:val="auto"/>
        </w:rPr>
        <w:t>Responsibility of Trustee.</w:t>
      </w:r>
      <w:r>
        <w:rPr>
          <w:rFonts w:ascii="Times New Roman" w:cs="Times New Roman" w:eastAsia="Times New Roman" w:hAnsi="Times New Roman"/>
          <w:sz w:val="16"/>
          <w:szCs w:val="16"/>
          <w:color w:val="auto"/>
        </w:rPr>
        <w:t xml:space="preserve"> The Trustee and any other Conversion Agent shall not at any time be under any duty or responsibility to any Holder to determine the Conversion Rate (or any adjustment thereto) or whether any facts exist that may require any adjustment (including any increase) of the Conversion Rate, or with respect to the nature or extent or calculation of any such adjustment when made, or with respect to the method employed, or herein or in any supplemental indenture provided to be employed, in making the same. The Trustee and any other Conversion Agent shall not be accountable with respect to the validity or value (or the kind or amount) of any shares of Common Stock, or of any securities, property or cash that may at any time be issued or delivered upon the conversion of any Note; and the Trustee and any other Conversion Agent make no representations with respect thereto. Neither the Trustee nor any Conversion Agent shall be responsible for any failure of the Company to issue, transfer or deliver any shares of Common Stock or stock certificates or other securities or property or cash upon the surrender of any Note for the purpose of conversion or to comply with any of the duties, responsibilities or covenants of the Company contained in this Article. Without limiting the generality of the foregoing, neither the Trustee nor any Conversion Agent shall be under any responsibility to determine the correctness of any provisions contained in any supplemental indenture entered into pursuant to Section 14.07 relating either to the kind or amount of shares of stock or securities or property (including cash) receivable by Holders upon the conversion of their Notes after any event referred to in such Section 14.07 or to any adjustment to be made with respect thereto, but, subject to the provisions of Section 7.01, may accept (without any independent investigation) as conclusive evidence of the correctness of any such provisions, and shall be protected in relying upon, the Officer’s Certificate (which the Company shall be obligated to file with the Trustee prior to the execution of any such supplemental indenture) with respect thereto. Neither the Trustee nor the Conversion Agent shall be responsible for determining whether any event contemplated by Section 14.01(b) has occurred that makes the Notes eligible for conversion or no longer eligible therefor until the Company has delivered to the Trustee and the Conversion Agent the notices referred to in Section 14.01(b) with respect to the commencement or termination of such conversion rights, on which notices the Trustee and the Conversion Agent may conclusively rely, and the Company agrees to deliver such notices to the Trustee and the Conversion Agent immediately after the occurrence of any such event or at such other times as shall be provided for in Section 14.01(b). Except as otherwise expressly provided herein, neither the Trustee nor any other agent acting under this Indenture (other than the Company, if acting in such capacity) shall have any obligation to make any calculation or to determine whether the Notes may be surrendered for conversion pursuant to this Indenture, or to notify the Company or the Depositary or any of the Holders if the Notes have become convertible pursuant to the terms of this Indenture.</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14.11. </w:t>
      </w:r>
      <w:r>
        <w:rPr>
          <w:rFonts w:ascii="Times New Roman" w:cs="Times New Roman" w:eastAsia="Times New Roman" w:hAnsi="Times New Roman"/>
          <w:sz w:val="16"/>
          <w:szCs w:val="16"/>
          <w:i w:val="1"/>
          <w:iCs w:val="1"/>
          <w:color w:val="auto"/>
        </w:rPr>
        <w:t>Notice to Holders Prior to Certain Actions.</w:t>
      </w:r>
      <w:r>
        <w:rPr>
          <w:rFonts w:ascii="Times New Roman" w:cs="Times New Roman" w:eastAsia="Times New Roman" w:hAnsi="Times New Roman"/>
          <w:sz w:val="16"/>
          <w:szCs w:val="16"/>
          <w:color w:val="auto"/>
        </w:rPr>
        <w:t xml:space="preserve"> In case of any:</w:t>
      </w:r>
    </w:p>
    <w:p>
      <w:pPr>
        <w:spacing w:after="0" w:line="200" w:lineRule="exact"/>
        <w:rPr>
          <w:sz w:val="20"/>
          <w:szCs w:val="20"/>
          <w:color w:val="auto"/>
        </w:rPr>
      </w:pPr>
    </w:p>
    <w:p>
      <w:pPr>
        <w:ind w:left="1360" w:hanging="217"/>
        <w:spacing w:after="0"/>
        <w:tabs>
          <w:tab w:leader="none" w:pos="136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action by the Company or one of its Subsidiaries that would require an adjustment in the Conversion Rate pursuant to Section 14.04 or Section 14.11; or</w:t>
      </w:r>
    </w:p>
    <w:p>
      <w:pPr>
        <w:spacing w:after="0" w:line="198"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voluntary or involuntary dissolution, liquidation or winding-up of the Company;</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then, in each case (unless notice of such event is otherwise required pursuant to another provision of this Indenture), the Company shall cause to be filed with the Trustee and the Conversion Agent (if other than the Trustee) and to be delivered to each Holder, as promptly as possible, a notice stating (i) the date on which a record is to be taken for the purpose of such action by the Company or one of its Subsidiaries or, if a record is not to be taken, the date as of which the holders of Common Stock of record are to be determined for the purposes of such action by the Company or one of its Subsidiaries, or (ii) the date on which such dissolution, liquidation or winding-up is expected to become effective or occur, and the date as of which it is expected that holders of Common Stock of record shall be entitled to exchange their Common Stock for securities or other property deliverable upon such dissolution, liquidation or winding-up. Failure to give such notice, or any defect therein, shall not affect the legality or validity of such action by the Company or one of its Subsidiaries, dissolution, liquidation or winding-up.</w:t>
      </w:r>
    </w:p>
    <w:p>
      <w:pPr>
        <w:spacing w:after="0" w:line="165"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6"/>
          <w:szCs w:val="16"/>
          <w:color w:val="auto"/>
        </w:rPr>
        <w:t xml:space="preserve">Section 14.12. </w:t>
      </w:r>
      <w:r>
        <w:rPr>
          <w:rFonts w:ascii="Times New Roman" w:cs="Times New Roman" w:eastAsia="Times New Roman" w:hAnsi="Times New Roman"/>
          <w:sz w:val="16"/>
          <w:szCs w:val="16"/>
          <w:i w:val="1"/>
          <w:iCs w:val="1"/>
          <w:color w:val="auto"/>
        </w:rPr>
        <w:t>Stockholder Rights Plans.</w:t>
      </w:r>
      <w:r>
        <w:rPr>
          <w:rFonts w:ascii="Times New Roman" w:cs="Times New Roman" w:eastAsia="Times New Roman" w:hAnsi="Times New Roman"/>
          <w:sz w:val="16"/>
          <w:szCs w:val="16"/>
          <w:color w:val="auto"/>
        </w:rPr>
        <w:t xml:space="preserve"> If the Company has a stockholder rights plan in effect, upon conversion of the Notes, each share of Common Stock, if any, issued upon such conversion shall be entitled to receive the appropriate number of rights, if any, and the certificates representing the Common Stock issued upon such conversion shall bear such legends, if any, in each case as may be provided by the terms of any such stockholder rights plan, as the same may be amended from time to time. However, if, prior to any conversion of Notes, the rights have separated from the shares of Common Stock in accordance with the provisions of the applicable stockholder rights plan, the Conversion Rate shall be adjusted at the time of separation as if the Company distributed to all or substantially all holders of the Common Stock Distributed Property as provided in Section 14.04(c), subject to readjustment in the event of the expiration, termination or redemption of such rights.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92" w:name="page93"/>
    <w:bookmarkEnd w:id="92"/>
    <w:p>
      <w:pPr>
        <w:ind w:left="380"/>
        <w:spacing w:after="0"/>
        <w:rPr>
          <w:sz w:val="20"/>
          <w:szCs w:val="20"/>
          <w:color w:val="auto"/>
        </w:rPr>
      </w:pPr>
      <w:r>
        <w:rPr>
          <w:rFonts w:ascii="Times New Roman" w:cs="Times New Roman" w:eastAsia="Times New Roman" w:hAnsi="Times New Roman"/>
          <w:sz w:val="16"/>
          <w:szCs w:val="16"/>
          <w:color w:val="auto"/>
        </w:rPr>
        <w:t xml:space="preserve">Section 14.13. </w:t>
      </w:r>
      <w:r>
        <w:rPr>
          <w:rFonts w:ascii="Times New Roman" w:cs="Times New Roman" w:eastAsia="Times New Roman" w:hAnsi="Times New Roman"/>
          <w:sz w:val="16"/>
          <w:szCs w:val="16"/>
          <w:i w:val="1"/>
          <w:iCs w:val="1"/>
          <w:color w:val="auto"/>
        </w:rPr>
        <w:t>Exchange in Lieu of Conversion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3" w:lineRule="auto"/>
        <w:tabs>
          <w:tab w:leader="none" w:pos="1364"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a Holder surrenders its Notes for conversion, the Company may, at its election (an “</w:t>
      </w:r>
      <w:r>
        <w:rPr>
          <w:rFonts w:ascii="Times New Roman" w:cs="Times New Roman" w:eastAsia="Times New Roman" w:hAnsi="Times New Roman"/>
          <w:sz w:val="16"/>
          <w:szCs w:val="16"/>
          <w:b w:val="1"/>
          <w:bCs w:val="1"/>
          <w:color w:val="auto"/>
        </w:rPr>
        <w:t>Exchange Election</w:t>
      </w:r>
      <w:r>
        <w:rPr>
          <w:rFonts w:ascii="Times New Roman" w:cs="Times New Roman" w:eastAsia="Times New Roman" w:hAnsi="Times New Roman"/>
          <w:sz w:val="16"/>
          <w:szCs w:val="16"/>
          <w:color w:val="auto"/>
        </w:rPr>
        <w:t>”), direct the Conversion Agent in writing to deliver, on or prior to the Trading Day immediately following the Conversion Date, such Notes to one or more financial institutions designated by the Company (each, a “</w:t>
      </w:r>
      <w:r>
        <w:rPr>
          <w:rFonts w:ascii="Times New Roman" w:cs="Times New Roman" w:eastAsia="Times New Roman" w:hAnsi="Times New Roman"/>
          <w:sz w:val="16"/>
          <w:szCs w:val="16"/>
          <w:b w:val="1"/>
          <w:bCs w:val="1"/>
          <w:color w:val="auto"/>
        </w:rPr>
        <w:t>Designated Financial Institution</w:t>
      </w:r>
      <w:r>
        <w:rPr>
          <w:rFonts w:ascii="Times New Roman" w:cs="Times New Roman" w:eastAsia="Times New Roman" w:hAnsi="Times New Roman"/>
          <w:sz w:val="16"/>
          <w:szCs w:val="16"/>
          <w:color w:val="auto"/>
        </w:rPr>
        <w:t>”) for exchange in lieu of conversion. In order to accept any Notes surrendered for conversion, the Designated Financial Institution(s) must agree to timely pay and/or deliver, as the case may be, in exchange for such Notes, cash up to the aggregate principal amount of the Notes to be converted and pay or deliver, as the case may be, cash, shares of Common Stock or combination thereof at the election of the Company due upon conversion pursuant to Section 14.02 or such other amount agreed to by the Holder and the Designated Financial Institution(s) (the “</w:t>
      </w:r>
      <w:r>
        <w:rPr>
          <w:rFonts w:ascii="Times New Roman" w:cs="Times New Roman" w:eastAsia="Times New Roman" w:hAnsi="Times New Roman"/>
          <w:sz w:val="16"/>
          <w:szCs w:val="16"/>
          <w:b w:val="1"/>
          <w:bCs w:val="1"/>
          <w:color w:val="auto"/>
        </w:rPr>
        <w:t>Conversion Consideration</w:t>
      </w:r>
      <w:r>
        <w:rPr>
          <w:rFonts w:ascii="Times New Roman" w:cs="Times New Roman" w:eastAsia="Times New Roman" w:hAnsi="Times New Roman"/>
          <w:sz w:val="16"/>
          <w:szCs w:val="16"/>
          <w:color w:val="auto"/>
        </w:rPr>
        <w:t>”). If the Company makes an Exchange Election, the Company shall, by the close of business on the Trading Day following the relevant Conversion Date, notify in writing the Trustee, the Conversion Agent (if other than the Trustee) and the Holder surrendering Notes for conversion that the Company has made the Exchange Election, and the Company shall notify the Designated Financial Institution(s) of the relevant deadline for delivery of the Conversion Consideration and the type of Conversion Consideration to be paid and/or delivered, as the case may be.</w:t>
      </w:r>
    </w:p>
    <w:p>
      <w:pPr>
        <w:spacing w:after="0" w:line="168" w:lineRule="exact"/>
        <w:rPr>
          <w:rFonts w:ascii="Times New Roman" w:cs="Times New Roman" w:eastAsia="Times New Roman" w:hAnsi="Times New Roman"/>
          <w:sz w:val="16"/>
          <w:szCs w:val="16"/>
          <w:color w:val="auto"/>
        </w:rPr>
      </w:pPr>
    </w:p>
    <w:p>
      <w:pPr>
        <w:jc w:val="both"/>
        <w:ind w:right="20" w:firstLine="1143"/>
        <w:spacing w:after="0" w:line="255" w:lineRule="auto"/>
        <w:tabs>
          <w:tab w:leader="none" w:pos="1373"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Notes delivered to the Designated Financial Institution(s) shall remain outstanding and the Designated Financial Institution(s) shall be the holder(s) of the Notes, subject to the applicable procedures of the Depositary. If the Designated Financial Institution(s) agree(s) to accept any Notes for exchange but does not timely pay and/or deliver, as the case may be, the related Conversion Consideration, or if such Designated Financial Institution(s) does not accept the Notes for exchange, the Company shall notify the Trustee, the Conversion Agent and the Holder surrendering its Notes for conversion and pay and/or deliver, as the case may be, the relevant Conversion Consideration, as, and at the time, required pursuant to this Indenture as if the Company had not made the Exchange Election and the Notes will be cancelled in accordance with the provisions of this Indenture.</w:t>
      </w:r>
    </w:p>
    <w:p>
      <w:pPr>
        <w:spacing w:after="0" w:line="165" w:lineRule="exact"/>
        <w:rPr>
          <w:rFonts w:ascii="Times New Roman" w:cs="Times New Roman" w:eastAsia="Times New Roman" w:hAnsi="Times New Roman"/>
          <w:sz w:val="16"/>
          <w:szCs w:val="16"/>
          <w:color w:val="auto"/>
        </w:rPr>
      </w:pPr>
    </w:p>
    <w:p>
      <w:pPr>
        <w:ind w:right="20" w:firstLine="1143"/>
        <w:spacing w:after="0" w:line="280" w:lineRule="auto"/>
        <w:tabs>
          <w:tab w:leader="none" w:pos="1387"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designation of any Designated Financial Institution(s) to which the Notes may be submitted for exchange does not require such Designated Financial Institution(s) to accept any Notes.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15</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R</w:t>
      </w:r>
      <w:r>
        <w:rPr>
          <w:rFonts w:ascii="Times New Roman" w:cs="Times New Roman" w:eastAsia="Times New Roman" w:hAnsi="Times New Roman"/>
          <w:sz w:val="10"/>
          <w:szCs w:val="10"/>
          <w:color w:val="auto"/>
        </w:rPr>
        <w:t>epurchase of</w:t>
      </w:r>
      <w:r>
        <w:rPr>
          <w:rFonts w:ascii="Times New Roman" w:cs="Times New Roman" w:eastAsia="Times New Roman" w:hAnsi="Times New Roman"/>
          <w:sz w:val="16"/>
          <w:szCs w:val="16"/>
          <w:color w:val="auto"/>
        </w:rPr>
        <w:t xml:space="preserve"> N</w:t>
      </w:r>
      <w:r>
        <w:rPr>
          <w:rFonts w:ascii="Times New Roman" w:cs="Times New Roman" w:eastAsia="Times New Roman" w:hAnsi="Times New Roman"/>
          <w:sz w:val="10"/>
          <w:szCs w:val="10"/>
          <w:color w:val="auto"/>
        </w:rPr>
        <w:t>otes at</w:t>
      </w:r>
      <w:r>
        <w:rPr>
          <w:rFonts w:ascii="Times New Roman" w:cs="Times New Roman" w:eastAsia="Times New Roman" w:hAnsi="Times New Roman"/>
          <w:sz w:val="16"/>
          <w:szCs w:val="16"/>
          <w:color w:val="auto"/>
        </w:rPr>
        <w:t xml:space="preserve"> O</w:t>
      </w:r>
      <w:r>
        <w:rPr>
          <w:rFonts w:ascii="Times New Roman" w:cs="Times New Roman" w:eastAsia="Times New Roman" w:hAnsi="Times New Roman"/>
          <w:sz w:val="10"/>
          <w:szCs w:val="10"/>
          <w:color w:val="auto"/>
        </w:rPr>
        <w:t>ption of</w:t>
      </w:r>
      <w:r>
        <w:rPr>
          <w:rFonts w:ascii="Times New Roman" w:cs="Times New Roman" w:eastAsia="Times New Roman" w:hAnsi="Times New Roman"/>
          <w:sz w:val="16"/>
          <w:szCs w:val="16"/>
          <w:color w:val="auto"/>
        </w:rPr>
        <w:t xml:space="preserve"> H</w:t>
      </w:r>
      <w:r>
        <w:rPr>
          <w:rFonts w:ascii="Times New Roman" w:cs="Times New Roman" w:eastAsia="Times New Roman" w:hAnsi="Times New Roman"/>
          <w:sz w:val="10"/>
          <w:szCs w:val="10"/>
          <w:color w:val="auto"/>
        </w:rPr>
        <w:t>olders</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15.01. </w:t>
      </w:r>
      <w:r>
        <w:rPr>
          <w:rFonts w:ascii="Times New Roman" w:cs="Times New Roman" w:eastAsia="Times New Roman" w:hAnsi="Times New Roman"/>
          <w:sz w:val="16"/>
          <w:szCs w:val="16"/>
          <w:i w:val="1"/>
          <w:iCs w:val="1"/>
          <w:color w:val="auto"/>
        </w:rPr>
        <w:t>[Intentionally Omitted]</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382"/>
        <w:spacing w:after="0" w:line="253" w:lineRule="auto"/>
        <w:rPr>
          <w:sz w:val="20"/>
          <w:szCs w:val="20"/>
          <w:color w:val="auto"/>
        </w:rPr>
      </w:pPr>
      <w:r>
        <w:rPr>
          <w:rFonts w:ascii="Times New Roman" w:cs="Times New Roman" w:eastAsia="Times New Roman" w:hAnsi="Times New Roman"/>
          <w:sz w:val="16"/>
          <w:szCs w:val="16"/>
          <w:color w:val="auto"/>
        </w:rPr>
        <w:t xml:space="preserve">Section 15.02. </w:t>
      </w:r>
      <w:r>
        <w:rPr>
          <w:rFonts w:ascii="Times New Roman" w:cs="Times New Roman" w:eastAsia="Times New Roman" w:hAnsi="Times New Roman"/>
          <w:sz w:val="16"/>
          <w:szCs w:val="16"/>
          <w:i w:val="1"/>
          <w:iCs w:val="1"/>
          <w:color w:val="auto"/>
        </w:rPr>
        <w:t>Repurchase at Option of Holders Upon a Fundamental Change.</w:t>
      </w:r>
      <w:r>
        <w:rPr>
          <w:rFonts w:ascii="Times New Roman" w:cs="Times New Roman" w:eastAsia="Times New Roman" w:hAnsi="Times New Roman"/>
          <w:sz w:val="16"/>
          <w:szCs w:val="16"/>
          <w:color w:val="auto"/>
        </w:rPr>
        <w:t xml:space="preserve"> (a) If a Fundamental Change occurs at any time prior to the Maturity Date, each Holder shall have the right, at such Holder’s option, to require the Company to repurchase for cash all of such Holder’s Notes, or any portion of the principal amount thereof properly surrendered and not validly withdrawn pursuant to Section 15.03 that is equal to $1,000 or an integral multiple of $1,000, on the date (the “</w:t>
      </w:r>
      <w:r>
        <w:rPr>
          <w:rFonts w:ascii="Times New Roman" w:cs="Times New Roman" w:eastAsia="Times New Roman" w:hAnsi="Times New Roman"/>
          <w:sz w:val="16"/>
          <w:szCs w:val="16"/>
          <w:b w:val="1"/>
          <w:bCs w:val="1"/>
          <w:color w:val="auto"/>
        </w:rPr>
        <w:t>Fundamental Change Repurchase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Date</w:t>
      </w:r>
      <w:r>
        <w:rPr>
          <w:rFonts w:ascii="Times New Roman" w:cs="Times New Roman" w:eastAsia="Times New Roman" w:hAnsi="Times New Roman"/>
          <w:sz w:val="16"/>
          <w:szCs w:val="16"/>
          <w:color w:val="auto"/>
        </w:rPr>
        <w:t>”) specified by the Company that is not less than 20 Business Days or more than 35 Business Days following the date of the Fundamental Change Company Notice at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repurchase price equal to 100% of the principal amount thereof,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accrued and unpaid interest thereon to, but excluding, the Fundamental Change Repurchase Date (the “</w:t>
      </w:r>
      <w:r>
        <w:rPr>
          <w:rFonts w:ascii="Times New Roman" w:cs="Times New Roman" w:eastAsia="Times New Roman" w:hAnsi="Times New Roman"/>
          <w:sz w:val="16"/>
          <w:szCs w:val="16"/>
          <w:b w:val="1"/>
          <w:bCs w:val="1"/>
          <w:color w:val="auto"/>
        </w:rPr>
        <w:t>Fundamental Change Repurchase Price</w:t>
      </w:r>
      <w:r>
        <w:rPr>
          <w:rFonts w:ascii="Times New Roman" w:cs="Times New Roman" w:eastAsia="Times New Roman" w:hAnsi="Times New Roman"/>
          <w:sz w:val="16"/>
          <w:szCs w:val="16"/>
          <w:color w:val="auto"/>
        </w:rPr>
        <w:t>”), unless the Fundamental Change Repurchase Date falls after a Regular Record Date but on or prior to the Interest Payment Date to which such Regular Record Date relates, in which case the Company shall instead pay, on or, at the Company’s election, before such Interest Payment Date, the full amount of accrued and unpaid interest to Holders of record as of such Regular Record Date, and the Fundamental Change Repurchase Price shall be equal to 100% of the principal amount of Notes to be repurchased pursuant to this Article 15.</w:t>
      </w:r>
    </w:p>
    <w:p>
      <w:pPr>
        <w:spacing w:after="0" w:line="168" w:lineRule="exact"/>
        <w:rPr>
          <w:sz w:val="20"/>
          <w:szCs w:val="20"/>
          <w:color w:val="auto"/>
        </w:rPr>
      </w:pPr>
    </w:p>
    <w:p>
      <w:pPr>
        <w:ind w:left="1360" w:hanging="217"/>
        <w:spacing w:after="0"/>
        <w:tabs>
          <w:tab w:leader="none" w:pos="136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Repurchases of Notes under this Section 15.02 shall be made, at the option of the Holder thereof, upon:</w:t>
      </w:r>
    </w:p>
    <w:p>
      <w:pPr>
        <w:spacing w:after="0" w:line="196" w:lineRule="exact"/>
        <w:rPr>
          <w:rFonts w:ascii="Times New Roman" w:cs="Times New Roman" w:eastAsia="Times New Roman" w:hAnsi="Times New Roman"/>
          <w:sz w:val="16"/>
          <w:szCs w:val="16"/>
          <w:color w:val="auto"/>
        </w:rPr>
      </w:pPr>
    </w:p>
    <w:p>
      <w:pPr>
        <w:jc w:val="both"/>
        <w:ind w:right="20" w:firstLine="1716"/>
        <w:spacing w:after="0" w:line="260" w:lineRule="auto"/>
        <w:tabs>
          <w:tab w:leader="none" w:pos="1911" w:val="left"/>
        </w:tabs>
        <w:numPr>
          <w:ilvl w:val="1"/>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delivery to the Paying Agent by a Holder of a duly completed notice (the “</w:t>
      </w:r>
      <w:r>
        <w:rPr>
          <w:rFonts w:ascii="Times New Roman" w:cs="Times New Roman" w:eastAsia="Times New Roman" w:hAnsi="Times New Roman"/>
          <w:sz w:val="16"/>
          <w:szCs w:val="16"/>
          <w:b w:val="1"/>
          <w:bCs w:val="1"/>
          <w:color w:val="auto"/>
        </w:rPr>
        <w:t>Fundamental Change Repurchase Notice</w:t>
      </w:r>
      <w:r>
        <w:rPr>
          <w:rFonts w:ascii="Times New Roman" w:cs="Times New Roman" w:eastAsia="Times New Roman" w:hAnsi="Times New Roman"/>
          <w:sz w:val="16"/>
          <w:szCs w:val="16"/>
          <w:color w:val="auto"/>
        </w:rPr>
        <w:t>”) in the form set forth in Attachment 2 to the Form of Note attached hereto as Exhibit A, if the Notes are Physical Notes, or in compliance with the Depositary’s procedures for surrendering interests in Global Notes, if the Notes are Global Notes, in each case, on or before the close of business on the Business Day immediately preceding the Fundamental Change Repurchase Date; and</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93" w:name="page94"/>
    <w:bookmarkEnd w:id="93"/>
    <w:p>
      <w:pPr>
        <w:jc w:val="both"/>
        <w:ind w:firstLine="1716"/>
        <w:spacing w:after="0" w:line="259" w:lineRule="auto"/>
        <w:tabs>
          <w:tab w:leader="none" w:pos="1967"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delivery of the Notes, if the Notes are Physical Notes, to the Paying Agent at any time after delivery of the Fundamental Change Repurchase Notice (together with all necessary endorsements for transfer) at the Corporate Trust Office of the Paying Agent, or book-entry transfer of the Notes, if the Notes are Global Notes, in compliance with the procedures of the Depositary, in each case, such delivery or transfer being a condition to receipt by the Holder of the Fundamental Change Repurchase Price therefor.</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Fundamental Change Repurchase Notice in respect of any Physical Notes to be repurchased shall state:</w:t>
      </w:r>
    </w:p>
    <w:p>
      <w:pPr>
        <w:spacing w:after="0" w:line="198" w:lineRule="exact"/>
        <w:rPr>
          <w:sz w:val="20"/>
          <w:szCs w:val="20"/>
          <w:color w:val="auto"/>
        </w:rPr>
      </w:pPr>
    </w:p>
    <w:p>
      <w:pPr>
        <w:ind w:left="600" w:hanging="222"/>
        <w:spacing w:after="0"/>
        <w:tabs>
          <w:tab w:leader="none" w:pos="60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Physical Notes have been issued the certificate numbers of the Notes to be delivered for repurchase;</w:t>
      </w:r>
    </w:p>
    <w:p>
      <w:pPr>
        <w:spacing w:after="0" w:line="198" w:lineRule="exact"/>
        <w:rPr>
          <w:rFonts w:ascii="Times New Roman" w:cs="Times New Roman" w:eastAsia="Times New Roman" w:hAnsi="Times New Roman"/>
          <w:sz w:val="16"/>
          <w:szCs w:val="16"/>
          <w:color w:val="auto"/>
        </w:rPr>
      </w:pPr>
    </w:p>
    <w:p>
      <w:pPr>
        <w:ind w:left="600" w:hanging="222"/>
        <w:spacing w:after="0"/>
        <w:tabs>
          <w:tab w:leader="none" w:pos="60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portion of the principal amount of Notes to be repurchased, which must be $1,000 or an integral multiple thereof; and</w:t>
      </w:r>
    </w:p>
    <w:p>
      <w:pPr>
        <w:spacing w:after="0" w:line="198" w:lineRule="exact"/>
        <w:rPr>
          <w:rFonts w:ascii="Times New Roman" w:cs="Times New Roman" w:eastAsia="Times New Roman" w:hAnsi="Times New Roman"/>
          <w:sz w:val="16"/>
          <w:szCs w:val="16"/>
          <w:color w:val="auto"/>
        </w:rPr>
      </w:pPr>
    </w:p>
    <w:p>
      <w:pPr>
        <w:ind w:left="600" w:hanging="222"/>
        <w:spacing w:after="0"/>
        <w:tabs>
          <w:tab w:leader="none" w:pos="60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the Notes are to be repurchased by the Company pursuant to the applicable provisions of the Notes and this Indenture.</w:t>
      </w:r>
    </w:p>
    <w:p>
      <w:pPr>
        <w:spacing w:after="0" w:line="198"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If the Notes are Global Notes, to exercise the Fundamental Change repurchase right, Holders must surrender their Notes in accordance with applicable Depositary procedures.</w:t>
      </w:r>
    </w:p>
    <w:p>
      <w:pPr>
        <w:spacing w:after="0" w:line="144" w:lineRule="exact"/>
        <w:rPr>
          <w:sz w:val="20"/>
          <w:szCs w:val="20"/>
          <w:color w:val="auto"/>
        </w:rPr>
      </w:pPr>
    </w:p>
    <w:p>
      <w:pPr>
        <w:jc w:val="both"/>
        <w:ind w:right="20" w:firstLine="382"/>
        <w:spacing w:after="0" w:line="265" w:lineRule="auto"/>
        <w:rPr>
          <w:sz w:val="20"/>
          <w:szCs w:val="20"/>
          <w:color w:val="auto"/>
        </w:rPr>
      </w:pPr>
      <w:r>
        <w:rPr>
          <w:rFonts w:ascii="Times New Roman" w:cs="Times New Roman" w:eastAsia="Times New Roman" w:hAnsi="Times New Roman"/>
          <w:sz w:val="16"/>
          <w:szCs w:val="16"/>
          <w:color w:val="auto"/>
        </w:rPr>
        <w:t>Notwithstanding anything herein to the contrary, any Holder delivering to the Paying Agent the Fundamental Change Repurchase Notice contemplated by this Section 15.02 shall have the right to withdraw, in whole or in part, such Fundamental Change Repurchase Notice at any time prior to the close of business on the Business Day immediately preceding the Fundamental Change Repurchase Date by delivery of a written notice of withdrawal to the Paying Agent in accordance with Section 15.03.</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Paying Agent shall promptly notify the Company of the receipt by it of any Fundamental Change Repurchase Notice or written notice of withdrawal thereof.</w:t>
      </w:r>
    </w:p>
    <w:p>
      <w:pPr>
        <w:spacing w:after="0" w:line="202" w:lineRule="exact"/>
        <w:rPr>
          <w:sz w:val="20"/>
          <w:szCs w:val="20"/>
          <w:color w:val="auto"/>
        </w:rPr>
      </w:pPr>
    </w:p>
    <w:p>
      <w:pPr>
        <w:jc w:val="both"/>
        <w:ind w:firstLine="1143"/>
        <w:spacing w:after="0" w:line="235" w:lineRule="auto"/>
        <w:tabs>
          <w:tab w:leader="none" w:pos="1364"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or before the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Business Day after the occurrence of the effective date of a Fundamental Change, the Company shall provide to all Holders and the Trustee, the Conversion Agent (if other than the Trustee) and the Paying Agent (if other than the Trustee) a written notice (the “</w:t>
      </w:r>
      <w:r>
        <w:rPr>
          <w:rFonts w:ascii="Times New Roman" w:cs="Times New Roman" w:eastAsia="Times New Roman" w:hAnsi="Times New Roman"/>
          <w:sz w:val="16"/>
          <w:szCs w:val="16"/>
          <w:b w:val="1"/>
          <w:bCs w:val="1"/>
          <w:color w:val="auto"/>
        </w:rPr>
        <w:t>Fundamental Change Company Notice</w:t>
      </w:r>
      <w:r>
        <w:rPr>
          <w:rFonts w:ascii="Times New Roman" w:cs="Times New Roman" w:eastAsia="Times New Roman" w:hAnsi="Times New Roman"/>
          <w:sz w:val="16"/>
          <w:szCs w:val="16"/>
          <w:color w:val="auto"/>
        </w:rPr>
        <w:t>”) of the occurrence of the effective date of the Fundamental Change and of the repurchase right at the option of the Holders arising as a result thereof. In the case of Physical Notes, such notice shall be by first class mail or, in the case of Global Notes, such notice shall be delivered in accordance with the applicable procedures of the Depositary. Simultaneously with providing such notice, the Company shall publish such information on the Company’s website or through such other public medium as the Company may use at that time, including through the filing of a Form 8-K with the Commission. Each Fundamental Change Company Notice shall specify:</w:t>
      </w:r>
    </w:p>
    <w:p>
      <w:pPr>
        <w:spacing w:after="0" w:line="176" w:lineRule="exact"/>
        <w:rPr>
          <w:rFonts w:ascii="Times New Roman" w:cs="Times New Roman" w:eastAsia="Times New Roman" w:hAnsi="Times New Roman"/>
          <w:sz w:val="16"/>
          <w:szCs w:val="16"/>
          <w:color w:val="auto"/>
        </w:rPr>
      </w:pPr>
    </w:p>
    <w:p>
      <w:pPr>
        <w:ind w:left="1900" w:hanging="184"/>
        <w:spacing w:after="0"/>
        <w:tabs>
          <w:tab w:leader="none" w:pos="1900" w:val="left"/>
        </w:tabs>
        <w:numPr>
          <w:ilvl w:val="1"/>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events causing the Fundamental Change;</w:t>
      </w:r>
    </w:p>
    <w:p>
      <w:pPr>
        <w:spacing w:after="0" w:line="198" w:lineRule="exact"/>
        <w:rPr>
          <w:rFonts w:ascii="Times New Roman" w:cs="Times New Roman" w:eastAsia="Times New Roman" w:hAnsi="Times New Roman"/>
          <w:sz w:val="16"/>
          <w:szCs w:val="16"/>
          <w:color w:val="auto"/>
        </w:rPr>
      </w:pPr>
    </w:p>
    <w:p>
      <w:pPr>
        <w:ind w:left="1960" w:hanging="244"/>
        <w:spacing w:after="0"/>
        <w:tabs>
          <w:tab w:leader="none" w:pos="1960" w:val="left"/>
        </w:tabs>
        <w:numPr>
          <w:ilvl w:val="1"/>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effective date of the Fundamental Change;</w:t>
      </w:r>
    </w:p>
    <w:p>
      <w:pPr>
        <w:spacing w:after="0" w:line="198" w:lineRule="exact"/>
        <w:rPr>
          <w:rFonts w:ascii="Times New Roman" w:cs="Times New Roman" w:eastAsia="Times New Roman" w:hAnsi="Times New Roman"/>
          <w:sz w:val="16"/>
          <w:szCs w:val="16"/>
          <w:color w:val="auto"/>
        </w:rPr>
      </w:pPr>
    </w:p>
    <w:p>
      <w:pPr>
        <w:ind w:left="2000" w:hanging="284"/>
        <w:spacing w:after="0"/>
        <w:tabs>
          <w:tab w:leader="none" w:pos="2000" w:val="left"/>
        </w:tabs>
        <w:numPr>
          <w:ilvl w:val="1"/>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date on which a Holder may exercise the repurchase right pursuant to this Article 15;</w:t>
      </w:r>
    </w:p>
    <w:p>
      <w:pPr>
        <w:spacing w:after="0" w:line="198" w:lineRule="exact"/>
        <w:rPr>
          <w:rFonts w:ascii="Times New Roman" w:cs="Times New Roman" w:eastAsia="Times New Roman" w:hAnsi="Times New Roman"/>
          <w:sz w:val="16"/>
          <w:szCs w:val="16"/>
          <w:color w:val="auto"/>
        </w:rPr>
      </w:pPr>
    </w:p>
    <w:p>
      <w:pPr>
        <w:ind w:left="1980" w:hanging="264"/>
        <w:spacing w:after="0"/>
        <w:tabs>
          <w:tab w:leader="none" w:pos="1980" w:val="left"/>
        </w:tabs>
        <w:numPr>
          <w:ilvl w:val="1"/>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Fundamental Change Repurchase Price;</w:t>
      </w:r>
    </w:p>
    <w:p>
      <w:pPr>
        <w:spacing w:after="0" w:line="198" w:lineRule="exact"/>
        <w:rPr>
          <w:rFonts w:ascii="Times New Roman" w:cs="Times New Roman" w:eastAsia="Times New Roman" w:hAnsi="Times New Roman"/>
          <w:sz w:val="16"/>
          <w:szCs w:val="16"/>
          <w:color w:val="auto"/>
        </w:rPr>
      </w:pPr>
    </w:p>
    <w:p>
      <w:pPr>
        <w:ind w:left="1940" w:hanging="224"/>
        <w:spacing w:after="0"/>
        <w:tabs>
          <w:tab w:leader="none" w:pos="1940" w:val="left"/>
        </w:tabs>
        <w:numPr>
          <w:ilvl w:val="1"/>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Fundamental Change Repurchase Date;</w:t>
      </w:r>
    </w:p>
    <w:p>
      <w:pPr>
        <w:spacing w:after="0" w:line="198" w:lineRule="exact"/>
        <w:rPr>
          <w:rFonts w:ascii="Times New Roman" w:cs="Times New Roman" w:eastAsia="Times New Roman" w:hAnsi="Times New Roman"/>
          <w:sz w:val="16"/>
          <w:szCs w:val="16"/>
          <w:color w:val="auto"/>
        </w:rPr>
      </w:pPr>
    </w:p>
    <w:p>
      <w:pPr>
        <w:ind w:left="1980" w:hanging="264"/>
        <w:spacing w:after="0"/>
        <w:tabs>
          <w:tab w:leader="none" w:pos="1980" w:val="left"/>
        </w:tabs>
        <w:numPr>
          <w:ilvl w:val="1"/>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 and address of the Paying Agent and the Conversion Agent, if applicable;</w:t>
      </w:r>
    </w:p>
    <w:p>
      <w:pPr>
        <w:spacing w:after="0" w:line="198" w:lineRule="exact"/>
        <w:rPr>
          <w:rFonts w:ascii="Times New Roman" w:cs="Times New Roman" w:eastAsia="Times New Roman" w:hAnsi="Times New Roman"/>
          <w:sz w:val="16"/>
          <w:szCs w:val="16"/>
          <w:color w:val="auto"/>
        </w:rPr>
      </w:pPr>
    </w:p>
    <w:p>
      <w:pPr>
        <w:ind w:left="2040" w:hanging="324"/>
        <w:spacing w:after="0"/>
        <w:tabs>
          <w:tab w:leader="none" w:pos="2040" w:val="left"/>
        </w:tabs>
        <w:numPr>
          <w:ilvl w:val="1"/>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applicable, the Conversion Rate and any adjustments to the Conversion Rate as a result of a Fundamental Change (or related Make-Whole</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Fundamental Change);</w:t>
      </w:r>
    </w:p>
    <w:p>
      <w:pPr>
        <w:spacing w:after="0" w:line="181" w:lineRule="exact"/>
        <w:rPr>
          <w:rFonts w:ascii="Times New Roman" w:cs="Times New Roman" w:eastAsia="Times New Roman" w:hAnsi="Times New Roman"/>
          <w:sz w:val="16"/>
          <w:szCs w:val="16"/>
          <w:color w:val="auto"/>
        </w:rPr>
      </w:pPr>
    </w:p>
    <w:p>
      <w:pPr>
        <w:ind w:right="20" w:firstLine="1716"/>
        <w:spacing w:after="0" w:line="280" w:lineRule="auto"/>
        <w:tabs>
          <w:tab w:leader="none" w:pos="2079" w:val="left"/>
        </w:tabs>
        <w:numPr>
          <w:ilvl w:val="1"/>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the Notes with respect to which a Fundamental Change Repurchase Notice has been delivered by a Holder may be converted only if the Holder validly withdraws the Fundamental Change Repurchase Notice in accordance with the terms of this Indenture; and</w:t>
      </w:r>
    </w:p>
    <w:p>
      <w:pPr>
        <w:spacing w:after="0" w:line="144" w:lineRule="exact"/>
        <w:rPr>
          <w:rFonts w:ascii="Times New Roman" w:cs="Times New Roman" w:eastAsia="Times New Roman" w:hAnsi="Times New Roman"/>
          <w:sz w:val="16"/>
          <w:szCs w:val="16"/>
          <w:color w:val="auto"/>
        </w:rPr>
      </w:pPr>
    </w:p>
    <w:p>
      <w:pPr>
        <w:ind w:left="1980" w:hanging="264"/>
        <w:spacing w:after="0"/>
        <w:tabs>
          <w:tab w:leader="none" w:pos="1980" w:val="left"/>
        </w:tabs>
        <w:numPr>
          <w:ilvl w:val="1"/>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procedures that Holders must follow to require the Company to repurchase their Notes.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4" w:name="page95"/>
    <w:bookmarkEnd w:id="94"/>
    <w:p>
      <w:pPr>
        <w:jc w:val="both"/>
        <w:ind w:firstLine="382"/>
        <w:spacing w:after="0" w:line="280" w:lineRule="auto"/>
        <w:rPr>
          <w:sz w:val="20"/>
          <w:szCs w:val="20"/>
          <w:color w:val="auto"/>
        </w:rPr>
      </w:pPr>
      <w:r>
        <w:rPr>
          <w:rFonts w:ascii="Times New Roman" w:cs="Times New Roman" w:eastAsia="Times New Roman" w:hAnsi="Times New Roman"/>
          <w:sz w:val="16"/>
          <w:szCs w:val="16"/>
          <w:color w:val="auto"/>
        </w:rPr>
        <w:t>No failure of the Company to give the foregoing notices and no defect therein shall limit the Holders’ repurchase rights or affect the validity of the proceedings for the repurchase of the Notes pursuant to this Section 15.02.</w:t>
      </w:r>
    </w:p>
    <w:p>
      <w:pPr>
        <w:spacing w:after="0" w:line="142" w:lineRule="exact"/>
        <w:rPr>
          <w:sz w:val="20"/>
          <w:szCs w:val="20"/>
          <w:color w:val="auto"/>
        </w:rPr>
      </w:pPr>
    </w:p>
    <w:p>
      <w:pPr>
        <w:jc w:val="both"/>
        <w:ind w:firstLine="382"/>
        <w:spacing w:after="0" w:line="266" w:lineRule="auto"/>
        <w:rPr>
          <w:sz w:val="20"/>
          <w:szCs w:val="20"/>
          <w:color w:val="auto"/>
        </w:rPr>
      </w:pPr>
      <w:r>
        <w:rPr>
          <w:rFonts w:ascii="Times New Roman" w:cs="Times New Roman" w:eastAsia="Times New Roman" w:hAnsi="Times New Roman"/>
          <w:sz w:val="16"/>
          <w:szCs w:val="16"/>
          <w:color w:val="auto"/>
        </w:rPr>
        <w:t xml:space="preserve">At the Company’s written request, the Trustee shall give such notice in the Company’s name and at the Company’s expense;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in all cases, the text of such Fundamental Change Company Notice shall be prepared by the Company and delivered to the Trustee at least three Business Days prior (or such shorter period as shall be acceptable to the Trustee).</w:t>
      </w:r>
    </w:p>
    <w:p>
      <w:pPr>
        <w:spacing w:after="0" w:line="155" w:lineRule="exact"/>
        <w:rPr>
          <w:sz w:val="20"/>
          <w:szCs w:val="20"/>
          <w:color w:val="auto"/>
        </w:rPr>
      </w:pPr>
    </w:p>
    <w:p>
      <w:pPr>
        <w:jc w:val="both"/>
        <w:ind w:firstLine="1143"/>
        <w:spacing w:after="0" w:line="259" w:lineRule="auto"/>
        <w:tabs>
          <w:tab w:leader="none" w:pos="1373"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in this Article 15, the Company shall not be required to repurchase, or to make an offer to repurchase, the Notes upon a Fundamental Change if a third party makes such an offer in the same manner, at the same time and otherwise in compliance with the requirements for an offer made by the Company as set forth in this Article 15 and such third party purchases all Notes properly surrendered and not validly withdrawn under its offer in the same manner, at the same time and otherwise in compliance with the requirements for an offer made by the Company as set forth above.</w:t>
      </w:r>
    </w:p>
    <w:p>
      <w:pPr>
        <w:spacing w:after="0" w:line="161"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64"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foregoing, no Notes may be repurchased by the Company on any date at the option of the Holders upon a Fundamental Change if the principal amount of the Notes has been accelerated, and such acceleration has not been rescinded, on or prior to such date (except in the case of an acceleration resulting from a Default by the Company in the payment of the Fundamental Change Repurchase Price with respect to such Notes). The Paying Agent will promptly return to the respective Holders thereof any Physical Notes held by it during the acceleration of the Notes (except in the case of an acceleration resulting from a Default by the Company in the payment of the Fundamental Change Repurchase Price with respect to such Notes), or any instructions for book-entry transfer of the Notes in compliance with the applicable procedures of the Depositary shall be deemed to have been cancelled, and, upon such return or cancellation, as the case may be, the Fundamental Change Repurchase Notice with respect thereto shall be deemed to have been withdrawn.</w:t>
      </w:r>
    </w:p>
    <w:p>
      <w:pPr>
        <w:spacing w:after="0" w:line="165" w:lineRule="exact"/>
        <w:rPr>
          <w:sz w:val="20"/>
          <w:szCs w:val="20"/>
          <w:color w:val="auto"/>
        </w:rPr>
      </w:pPr>
    </w:p>
    <w:p>
      <w:pPr>
        <w:jc w:val="both"/>
        <w:ind w:right="20" w:firstLine="382"/>
        <w:spacing w:after="0" w:line="266" w:lineRule="auto"/>
        <w:rPr>
          <w:sz w:val="20"/>
          <w:szCs w:val="20"/>
          <w:color w:val="auto"/>
        </w:rPr>
      </w:pPr>
      <w:r>
        <w:rPr>
          <w:rFonts w:ascii="Times New Roman" w:cs="Times New Roman" w:eastAsia="Times New Roman" w:hAnsi="Times New Roman"/>
          <w:sz w:val="16"/>
          <w:szCs w:val="16"/>
          <w:color w:val="auto"/>
        </w:rPr>
        <w:t xml:space="preserve">Section 15.03. </w:t>
      </w:r>
      <w:r>
        <w:rPr>
          <w:rFonts w:ascii="Times New Roman" w:cs="Times New Roman" w:eastAsia="Times New Roman" w:hAnsi="Times New Roman"/>
          <w:sz w:val="16"/>
          <w:szCs w:val="16"/>
          <w:i w:val="1"/>
          <w:iCs w:val="1"/>
          <w:color w:val="auto"/>
        </w:rPr>
        <w:t>Withdrawal of Fundamental Change Repurchase Notice.</w:t>
      </w:r>
      <w:r>
        <w:rPr>
          <w:rFonts w:ascii="Times New Roman" w:cs="Times New Roman" w:eastAsia="Times New Roman" w:hAnsi="Times New Roman"/>
          <w:sz w:val="16"/>
          <w:szCs w:val="16"/>
          <w:color w:val="auto"/>
        </w:rPr>
        <w:t xml:space="preserve"> (a) A Fundamental Change Repurchase Notice may be withdrawn (in whole or in part) in respect of Physical Notes by means of a written notice of withdrawal received by the Corporate Trust Office of the Paying Agent in accordance with this Section 15.03 at any time prior to the close of business on the Business Day immediately preceding the Fundamental Change Repurchase Date, specifying:</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(i) the principal amount of the Notes with respect to which such notice of withdrawal is being submitted, which must be $1,000 or an integral</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multiple thereof,</w:t>
      </w:r>
    </w:p>
    <w:p>
      <w:pPr>
        <w:spacing w:after="0" w:line="182" w:lineRule="exact"/>
        <w:rPr>
          <w:sz w:val="20"/>
          <w:szCs w:val="20"/>
          <w:color w:val="auto"/>
        </w:rPr>
      </w:pPr>
    </w:p>
    <w:p>
      <w:pPr>
        <w:ind w:left="1960" w:hanging="244"/>
        <w:spacing w:after="0"/>
        <w:tabs>
          <w:tab w:leader="none" w:pos="196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certificate number of the Note in respect of which such notice of withdrawal is being submitted, and</w:t>
      </w:r>
    </w:p>
    <w:p>
      <w:pPr>
        <w:spacing w:after="0" w:line="198" w:lineRule="exact"/>
        <w:rPr>
          <w:rFonts w:ascii="Times New Roman" w:cs="Times New Roman" w:eastAsia="Times New Roman" w:hAnsi="Times New Roman"/>
          <w:sz w:val="16"/>
          <w:szCs w:val="16"/>
          <w:color w:val="auto"/>
        </w:rPr>
      </w:pPr>
    </w:p>
    <w:p>
      <w:pPr>
        <w:ind w:left="2000" w:hanging="284"/>
        <w:spacing w:after="0"/>
        <w:tabs>
          <w:tab w:leader="none" w:pos="200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principal amount, if any, of such Note that remains subject to the original Fundamental Change Repurchase Notice, which must be $1,000 or</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integral multiple thereof;</w:t>
      </w:r>
    </w:p>
    <w:p>
      <w:pPr>
        <w:spacing w:after="0" w:line="1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If the Notes are Global Notes, such notice of withdrawal must comply with applicable procedures of the Depositary.</w:t>
      </w:r>
    </w:p>
    <w:p>
      <w:pPr>
        <w:spacing w:after="0" w:line="196" w:lineRule="exact"/>
        <w:rPr>
          <w:sz w:val="20"/>
          <w:szCs w:val="20"/>
          <w:color w:val="auto"/>
        </w:rPr>
      </w:pPr>
    </w:p>
    <w:p>
      <w:pPr>
        <w:jc w:val="both"/>
        <w:ind w:firstLine="382"/>
        <w:spacing w:after="0" w:line="253" w:lineRule="auto"/>
        <w:rPr>
          <w:sz w:val="20"/>
          <w:szCs w:val="20"/>
          <w:color w:val="auto"/>
        </w:rPr>
      </w:pPr>
      <w:r>
        <w:rPr>
          <w:rFonts w:ascii="Times New Roman" w:cs="Times New Roman" w:eastAsia="Times New Roman" w:hAnsi="Times New Roman"/>
          <w:sz w:val="16"/>
          <w:szCs w:val="16"/>
          <w:color w:val="auto"/>
        </w:rPr>
        <w:t xml:space="preserve">Section 15.04. </w:t>
      </w:r>
      <w:r>
        <w:rPr>
          <w:rFonts w:ascii="Times New Roman" w:cs="Times New Roman" w:eastAsia="Times New Roman" w:hAnsi="Times New Roman"/>
          <w:sz w:val="16"/>
          <w:szCs w:val="16"/>
          <w:i w:val="1"/>
          <w:iCs w:val="1"/>
          <w:color w:val="auto"/>
        </w:rPr>
        <w:t>Deposit of Fundamental Change Repurchase Price.</w:t>
      </w:r>
      <w:r>
        <w:rPr>
          <w:rFonts w:ascii="Times New Roman" w:cs="Times New Roman" w:eastAsia="Times New Roman" w:hAnsi="Times New Roman"/>
          <w:sz w:val="16"/>
          <w:szCs w:val="16"/>
          <w:color w:val="auto"/>
        </w:rPr>
        <w:t xml:space="preserve"> (a) The Company will deposit with the Trustee (or other Paying Agent appointed by the Company, or if the Company is acting as its own Paying Agent, set aside, segregate and hold in trust as provided in Section 4.04) on or prior to 11:00 a.m., New York City time, on the Fundamental Change Repurchase Date an amount of money sufficient to repurchase all of the Notes to be repurchased at the appropriate Fundamental Change Repurchase Price. Subject to receipt of funds and/or Notes by the Trustee (or other Paying Agent appointed by the Company), payment for Notes surrendered for repurchase (and not validly withdrawn prior to the close of business on the Business Day immediately preceding the Fundamental Change Repurchase Date) will be made on the later of (i) the Fundamental Change Repurchase Date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the Holder has satisfied the conditions in Section 15.02) and (ii) the time of book-entry transfer or the delivery of such Note to the Trustee (or other Paying Agent appointed by the Company) by the Holder thereof in the manner required by Section 15.02 by mailing checks for the amount payable to the Holders of such Notes entitled thereto as they shall appear in the Note Register;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payments to the Depositary shall be made by wire transfer of immediately available funds to the account of the Depositary or its nominee. The Trustee shall, promptly after such payment and upon written demand by the Company, return to the Company any funds in excess of the Fundamental Change Repurchase Price.</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5" w:name="page96"/>
    <w:bookmarkEnd w:id="95"/>
    <w:p>
      <w:pPr>
        <w:jc w:val="both"/>
        <w:ind w:firstLine="1143"/>
        <w:spacing w:after="0" w:line="254" w:lineRule="auto"/>
        <w:tabs>
          <w:tab w:leader="none" w:pos="1373"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by 11:00 a.m. New York City time, on the Fundamental Change Repurchase Date, the Trustee (or other Paying Agent appointed by the Company) holds money sufficient to pay the Fundamental Change Repurchase Price (and, to the extent not included in the Fundamental Change Repurchase Price, accrued and unpaid interest, if applicable) of the Notes to be repurchased on such Fundamental Change Repurchase Date, then, with respect to the Notes that have been properly surrendered for repurchase and have not been validly withdrawn, (i) such Notes will cease to be outstanding, (ii) interest will cease to accrue on such Notes (whether or not book-entry transfer of the Notes has been made or whether or not the Notes have been delivered to the Trustee or Paying Agent) and (iii) all other rights of the Holders of such Notes will terminate (other than the right to receive the Fundamental Change Repurchase Price and, to the extent not included in the Fundamental Change Repurchase Price, accrued and unpaid interest, if applicable).</w:t>
      </w:r>
    </w:p>
    <w:p>
      <w:pPr>
        <w:spacing w:after="0" w:line="166" w:lineRule="exact"/>
        <w:rPr>
          <w:rFonts w:ascii="Times New Roman" w:cs="Times New Roman" w:eastAsia="Times New Roman" w:hAnsi="Times New Roman"/>
          <w:sz w:val="16"/>
          <w:szCs w:val="16"/>
          <w:color w:val="auto"/>
        </w:rPr>
      </w:pPr>
    </w:p>
    <w:p>
      <w:pPr>
        <w:ind w:right="20" w:firstLine="1143"/>
        <w:spacing w:after="0" w:line="280" w:lineRule="auto"/>
        <w:tabs>
          <w:tab w:leader="none" w:pos="1364"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surrender of a Note that is to be repurchased in part pursuant to Section 15.02, the Company shall execute, and the Trustee shall authenticate and deliver to the Holder, a new Note in an authorized denomination equal in principal amount to the unrepurchased portion of the Note surrendered.</w:t>
      </w:r>
    </w:p>
    <w:p>
      <w:pPr>
        <w:spacing w:after="0" w:line="142" w:lineRule="exact"/>
        <w:rPr>
          <w:sz w:val="20"/>
          <w:szCs w:val="20"/>
          <w:color w:val="auto"/>
        </w:rPr>
      </w:pPr>
    </w:p>
    <w:p>
      <w:pPr>
        <w:ind w:firstLine="382"/>
        <w:spacing w:after="0" w:line="283" w:lineRule="auto"/>
        <w:rPr>
          <w:sz w:val="20"/>
          <w:szCs w:val="20"/>
          <w:color w:val="auto"/>
        </w:rPr>
      </w:pPr>
      <w:r>
        <w:rPr>
          <w:rFonts w:ascii="Times New Roman" w:cs="Times New Roman" w:eastAsia="Times New Roman" w:hAnsi="Times New Roman"/>
          <w:sz w:val="16"/>
          <w:szCs w:val="16"/>
          <w:color w:val="auto"/>
        </w:rPr>
        <w:t xml:space="preserve">Section 15.05. </w:t>
      </w:r>
      <w:r>
        <w:rPr>
          <w:rFonts w:ascii="Times New Roman" w:cs="Times New Roman" w:eastAsia="Times New Roman" w:hAnsi="Times New Roman"/>
          <w:sz w:val="16"/>
          <w:szCs w:val="16"/>
          <w:i w:val="1"/>
          <w:iCs w:val="1"/>
          <w:color w:val="auto"/>
        </w:rPr>
        <w:t>Covenant to Comply with Applicable Laws Upon Repurchase of Notes.</w:t>
      </w:r>
      <w:r>
        <w:rPr>
          <w:rFonts w:ascii="Times New Roman" w:cs="Times New Roman" w:eastAsia="Times New Roman" w:hAnsi="Times New Roman"/>
          <w:sz w:val="16"/>
          <w:szCs w:val="16"/>
          <w:color w:val="auto"/>
        </w:rPr>
        <w:t xml:space="preserve"> In connection with any repurchase offer upon a Fundamental Change pursuant to this Article 15, the Company will, if required:</w:t>
      </w:r>
    </w:p>
    <w:p>
      <w:pPr>
        <w:spacing w:after="0" w:line="142" w:lineRule="exact"/>
        <w:rPr>
          <w:sz w:val="20"/>
          <w:szCs w:val="20"/>
          <w:color w:val="auto"/>
        </w:rPr>
      </w:pPr>
    </w:p>
    <w:p>
      <w:pPr>
        <w:ind w:left="1360" w:hanging="217"/>
        <w:spacing w:after="0"/>
        <w:tabs>
          <w:tab w:leader="none" w:pos="136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comply with the provisions of Rule 13e-4, Rule 14e-1 and any other tender offer rules under the Exchange Act that may then be applicable;</w:t>
      </w:r>
    </w:p>
    <w:p>
      <w:pPr>
        <w:spacing w:after="0" w:line="198"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 a Schedule TO or any other required schedule under the Exchange Act; and</w:t>
      </w:r>
    </w:p>
    <w:p>
      <w:pPr>
        <w:spacing w:after="0" w:line="198" w:lineRule="exact"/>
        <w:rPr>
          <w:rFonts w:ascii="Times New Roman" w:cs="Times New Roman" w:eastAsia="Times New Roman" w:hAnsi="Times New Roman"/>
          <w:sz w:val="16"/>
          <w:szCs w:val="16"/>
          <w:color w:val="auto"/>
        </w:rPr>
      </w:pPr>
    </w:p>
    <w:p>
      <w:pPr>
        <w:ind w:right="200" w:firstLine="1143"/>
        <w:spacing w:after="0" w:line="498" w:lineRule="auto"/>
        <w:tabs>
          <w:tab w:leader="none" w:pos="1364"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otherwise comply in all material respects with all federal and state securities laws in connection with any offer by the Company to repurchase the Notes; in each case, so as to permit the rights and obligations under this Article 15 to be exercised in the time and in the manner specified in this Article 15.</w:t>
      </w:r>
    </w:p>
    <w:p>
      <w:pPr>
        <w:spacing w:after="0" w:line="1" w:lineRule="exact"/>
        <w:rPr>
          <w:sz w:val="20"/>
          <w:szCs w:val="20"/>
          <w:color w:val="auto"/>
        </w:rPr>
      </w:pPr>
    </w:p>
    <w:p>
      <w:pPr>
        <w:jc w:val="both"/>
        <w:ind w:right="20" w:firstLine="382"/>
        <w:spacing w:after="0" w:line="265" w:lineRule="auto"/>
        <w:rPr>
          <w:sz w:val="20"/>
          <w:szCs w:val="20"/>
          <w:color w:val="auto"/>
        </w:rPr>
      </w:pPr>
      <w:r>
        <w:rPr>
          <w:rFonts w:ascii="Times New Roman" w:cs="Times New Roman" w:eastAsia="Times New Roman" w:hAnsi="Times New Roman"/>
          <w:sz w:val="16"/>
          <w:szCs w:val="16"/>
          <w:color w:val="auto"/>
        </w:rPr>
        <w:t>However, to the extent that the obligations of the Company to offer to repurchase and to repurchase Notes pursuant to the provisions described above conflict with any law or regulation adopted after the date of this Indenture and that is applicable to the Company, the Company’s compliance with such law or regulation shall not be considered to be a Default of those obligations.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16</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O</w:t>
      </w:r>
      <w:r>
        <w:rPr>
          <w:rFonts w:ascii="Times New Roman" w:cs="Times New Roman" w:eastAsia="Times New Roman" w:hAnsi="Times New Roman"/>
          <w:sz w:val="10"/>
          <w:szCs w:val="10"/>
          <w:color w:val="auto"/>
        </w:rPr>
        <w:t>ptional</w:t>
      </w:r>
      <w:r>
        <w:rPr>
          <w:rFonts w:ascii="Times New Roman" w:cs="Times New Roman" w:eastAsia="Times New Roman" w:hAnsi="Times New Roman"/>
          <w:sz w:val="16"/>
          <w:szCs w:val="16"/>
          <w:color w:val="auto"/>
        </w:rPr>
        <w:t xml:space="preserve"> R</w:t>
      </w:r>
      <w:r>
        <w:rPr>
          <w:rFonts w:ascii="Times New Roman" w:cs="Times New Roman" w:eastAsia="Times New Roman" w:hAnsi="Times New Roman"/>
          <w:sz w:val="10"/>
          <w:szCs w:val="10"/>
          <w:color w:val="auto"/>
        </w:rPr>
        <w:t>edemption</w:t>
      </w:r>
    </w:p>
    <w:p>
      <w:pPr>
        <w:spacing w:after="0" w:line="185" w:lineRule="exact"/>
        <w:rPr>
          <w:sz w:val="20"/>
          <w:szCs w:val="20"/>
          <w:color w:val="auto"/>
        </w:rPr>
      </w:pPr>
    </w:p>
    <w:p>
      <w:pPr>
        <w:jc w:val="both"/>
        <w:ind w:right="20" w:firstLine="382"/>
        <w:spacing w:after="0" w:line="229" w:lineRule="auto"/>
        <w:rPr>
          <w:sz w:val="20"/>
          <w:szCs w:val="20"/>
          <w:color w:val="auto"/>
        </w:rPr>
      </w:pPr>
      <w:r>
        <w:rPr>
          <w:rFonts w:ascii="Times New Roman" w:cs="Times New Roman" w:eastAsia="Times New Roman" w:hAnsi="Times New Roman"/>
          <w:sz w:val="16"/>
          <w:szCs w:val="16"/>
          <w:color w:val="auto"/>
        </w:rPr>
        <w:t xml:space="preserve">Section 16.01. </w:t>
      </w:r>
      <w:r>
        <w:rPr>
          <w:rFonts w:ascii="Times New Roman" w:cs="Times New Roman" w:eastAsia="Times New Roman" w:hAnsi="Times New Roman"/>
          <w:sz w:val="16"/>
          <w:szCs w:val="16"/>
          <w:i w:val="1"/>
          <w:iCs w:val="1"/>
          <w:color w:val="auto"/>
        </w:rPr>
        <w:t>Optional Redemption.</w:t>
      </w:r>
      <w:r>
        <w:rPr>
          <w:rFonts w:ascii="Times New Roman" w:cs="Times New Roman" w:eastAsia="Times New Roman" w:hAnsi="Times New Roman"/>
          <w:sz w:val="16"/>
          <w:szCs w:val="16"/>
          <w:color w:val="auto"/>
        </w:rPr>
        <w:t xml:space="preserve"> No sinking fund is provided for the Notes. On a Redemption Date occurring before the 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6"/>
          <w:szCs w:val="16"/>
          <w:color w:val="auto"/>
        </w:rPr>
        <w:t xml:space="preserve"> Scheduled Trading Day before the Maturity Date, the Company may redeem (an “</w:t>
      </w:r>
      <w:r>
        <w:rPr>
          <w:rFonts w:ascii="Times New Roman" w:cs="Times New Roman" w:eastAsia="Times New Roman" w:hAnsi="Times New Roman"/>
          <w:sz w:val="16"/>
          <w:szCs w:val="16"/>
          <w:b w:val="1"/>
          <w:bCs w:val="1"/>
          <w:color w:val="auto"/>
        </w:rPr>
        <w:t>Optional Redemption</w:t>
      </w:r>
      <w:r>
        <w:rPr>
          <w:rFonts w:ascii="Times New Roman" w:cs="Times New Roman" w:eastAsia="Times New Roman" w:hAnsi="Times New Roman"/>
          <w:sz w:val="16"/>
          <w:szCs w:val="16"/>
          <w:color w:val="auto"/>
        </w:rPr>
        <w:t>”) for cash all or any part of the Notes, at a redemption price equal to 100% of the principal amount of the Notes plus the Applicable Premium as of, and accrued and unpaid interest to, the Redemption Date (subject to the right of Holders on the relevant Regular Record Date to receive interest due on the relevant Interest Payment Date).</w:t>
      </w:r>
    </w:p>
    <w:p>
      <w:pPr>
        <w:spacing w:after="0" w:line="174" w:lineRule="exact"/>
        <w:rPr>
          <w:sz w:val="20"/>
          <w:szCs w:val="20"/>
          <w:color w:val="auto"/>
        </w:rPr>
      </w:pPr>
    </w:p>
    <w:p>
      <w:pPr>
        <w:jc w:val="both"/>
        <w:ind w:firstLine="382"/>
        <w:spacing w:after="0" w:line="254" w:lineRule="auto"/>
        <w:rPr>
          <w:sz w:val="20"/>
          <w:szCs w:val="20"/>
          <w:color w:val="auto"/>
        </w:rPr>
      </w:pPr>
      <w:r>
        <w:rPr>
          <w:rFonts w:ascii="Times New Roman" w:cs="Times New Roman" w:eastAsia="Times New Roman" w:hAnsi="Times New Roman"/>
          <w:sz w:val="16"/>
          <w:szCs w:val="16"/>
          <w:color w:val="auto"/>
        </w:rPr>
        <w:t xml:space="preserve">Section 16.02. </w:t>
      </w:r>
      <w:r>
        <w:rPr>
          <w:rFonts w:ascii="Times New Roman" w:cs="Times New Roman" w:eastAsia="Times New Roman" w:hAnsi="Times New Roman"/>
          <w:sz w:val="16"/>
          <w:szCs w:val="16"/>
          <w:i w:val="1"/>
          <w:iCs w:val="1"/>
          <w:color w:val="auto"/>
        </w:rPr>
        <w:t>Notice of Optional Redemption; Selection of Notes</w:t>
      </w:r>
      <w:r>
        <w:rPr>
          <w:rFonts w:ascii="Times New Roman" w:cs="Times New Roman" w:eastAsia="Times New Roman" w:hAnsi="Times New Roman"/>
          <w:sz w:val="16"/>
          <w:szCs w:val="16"/>
          <w:color w:val="auto"/>
        </w:rPr>
        <w:t>. (a) In case the Company exercises its Optional Redemption right to redeem all or, as the case may be, any part of the Notes pursuant to Section 16.01, it shall fix a date for redemption (each, a “</w:t>
      </w:r>
      <w:r>
        <w:rPr>
          <w:rFonts w:ascii="Times New Roman" w:cs="Times New Roman" w:eastAsia="Times New Roman" w:hAnsi="Times New Roman"/>
          <w:sz w:val="16"/>
          <w:szCs w:val="16"/>
          <w:b w:val="1"/>
          <w:bCs w:val="1"/>
          <w:color w:val="auto"/>
        </w:rPr>
        <w:t>Redemption Date</w:t>
      </w:r>
      <w:r>
        <w:rPr>
          <w:rFonts w:ascii="Times New Roman" w:cs="Times New Roman" w:eastAsia="Times New Roman" w:hAnsi="Times New Roman"/>
          <w:sz w:val="16"/>
          <w:szCs w:val="16"/>
          <w:color w:val="auto"/>
        </w:rPr>
        <w:t>”) and it or, at its written request received by the Trustee not less than five Business Days prior to the Redemption Notice Date (or such shorter period of time as may be acceptable to the Trustee), the Trustee, in the name of and at the expense of the Company, shall deliver or cause to be delivered a written notice of such Optional Redemption (a “</w:t>
      </w:r>
      <w:r>
        <w:rPr>
          <w:rFonts w:ascii="Times New Roman" w:cs="Times New Roman" w:eastAsia="Times New Roman" w:hAnsi="Times New Roman"/>
          <w:sz w:val="16"/>
          <w:szCs w:val="16"/>
          <w:b w:val="1"/>
          <w:bCs w:val="1"/>
          <w:color w:val="auto"/>
        </w:rPr>
        <w:t>Notice of Redemption</w:t>
      </w:r>
      <w:r>
        <w:rPr>
          <w:rFonts w:ascii="Times New Roman" w:cs="Times New Roman" w:eastAsia="Times New Roman" w:hAnsi="Times New Roman"/>
          <w:sz w:val="16"/>
          <w:szCs w:val="16"/>
          <w:color w:val="auto"/>
        </w:rPr>
        <w:t xml:space="preserve">”) (in all cases, the text of such Notice of Redemption shall be prepared by the Company) not less than 35 nor more than 65 Scheduled Trading Days prior to the Redemption Date to each Holder of Notes so to be redeemed in whole or in part;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if the Company shall give such notice, it shall also give written notice of the Redemption Date to the Trustee, the Conversion Agent and the Paying Agent. In the case of any Optional Redemption in part, Holders of Notes not called for Optional Redemption will not be entitled to an increased Conversion Rate for such Notes in accordance with Section 14.03 and Section 16.02(c). The Redemption Date must be a Business Day.</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6" w:name="page97"/>
    <w:bookmarkEnd w:id="96"/>
    <w:p>
      <w:pPr>
        <w:jc w:val="both"/>
        <w:ind w:right="20" w:firstLine="1143"/>
        <w:spacing w:after="0" w:line="265" w:lineRule="auto"/>
        <w:tabs>
          <w:tab w:leader="none" w:pos="1373"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Notice of Redemption, if delivered in the manner herein provided, shall be conclusively presumed to have been duly given, whether or not the Holder receives such notice. In any case, failure to give such Notice of Redemption or any defect in the Notice of Redemption to the Holder of any Note designated for redemption as a whole or in part shall not affect the validity of the proceedings for the redemption of any other Note.</w:t>
      </w:r>
    </w:p>
    <w:p>
      <w:pPr>
        <w:spacing w:after="0" w:line="155"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Notice of Redemption shall specify:</w:t>
      </w:r>
    </w:p>
    <w:p>
      <w:pPr>
        <w:spacing w:after="0" w:line="198" w:lineRule="exact"/>
        <w:rPr>
          <w:rFonts w:ascii="Times New Roman" w:cs="Times New Roman" w:eastAsia="Times New Roman" w:hAnsi="Times New Roman"/>
          <w:sz w:val="16"/>
          <w:szCs w:val="16"/>
          <w:color w:val="auto"/>
        </w:rPr>
      </w:pPr>
    </w:p>
    <w:p>
      <w:pPr>
        <w:ind w:left="1900" w:hanging="184"/>
        <w:spacing w:after="0"/>
        <w:tabs>
          <w:tab w:leader="none" w:pos="1900"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Redemption Date (which must be a Business Day);</w:t>
      </w:r>
    </w:p>
    <w:p>
      <w:pPr>
        <w:spacing w:after="0" w:line="198" w:lineRule="exact"/>
        <w:rPr>
          <w:rFonts w:ascii="Times New Roman" w:cs="Times New Roman" w:eastAsia="Times New Roman" w:hAnsi="Times New Roman"/>
          <w:sz w:val="16"/>
          <w:szCs w:val="16"/>
          <w:color w:val="auto"/>
        </w:rPr>
      </w:pPr>
    </w:p>
    <w:p>
      <w:pPr>
        <w:ind w:left="1960" w:hanging="244"/>
        <w:spacing w:after="0"/>
        <w:tabs>
          <w:tab w:leader="none" w:pos="1960"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Redemption Price;</w:t>
      </w:r>
    </w:p>
    <w:p>
      <w:pPr>
        <w:spacing w:after="0" w:line="198" w:lineRule="exact"/>
        <w:rPr>
          <w:rFonts w:ascii="Times New Roman" w:cs="Times New Roman" w:eastAsia="Times New Roman" w:hAnsi="Times New Roman"/>
          <w:sz w:val="16"/>
          <w:szCs w:val="16"/>
          <w:color w:val="auto"/>
        </w:rPr>
      </w:pPr>
    </w:p>
    <w:p>
      <w:pPr>
        <w:ind w:right="20" w:firstLine="1716"/>
        <w:spacing w:after="0" w:line="280" w:lineRule="auto"/>
        <w:tabs>
          <w:tab w:leader="none" w:pos="1999"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on the Redemption Date, the Redemption Price will become due and payable upon each Note to be redeemed, and that interest thereon, if any, shall cease to accrue on and after the Redemption Date;</w:t>
      </w:r>
    </w:p>
    <w:p>
      <w:pPr>
        <w:spacing w:after="0" w:line="144" w:lineRule="exact"/>
        <w:rPr>
          <w:rFonts w:ascii="Times New Roman" w:cs="Times New Roman" w:eastAsia="Times New Roman" w:hAnsi="Times New Roman"/>
          <w:sz w:val="16"/>
          <w:szCs w:val="16"/>
          <w:color w:val="auto"/>
        </w:rPr>
      </w:pPr>
    </w:p>
    <w:p>
      <w:pPr>
        <w:ind w:left="1980" w:hanging="264"/>
        <w:spacing w:after="0"/>
        <w:tabs>
          <w:tab w:leader="none" w:pos="1980"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place or places where such Notes are to be surrendered for payment of the Redemption Price;</w:t>
      </w:r>
    </w:p>
    <w:p>
      <w:pPr>
        <w:spacing w:after="0" w:line="198" w:lineRule="exact"/>
        <w:rPr>
          <w:rFonts w:ascii="Times New Roman" w:cs="Times New Roman" w:eastAsia="Times New Roman" w:hAnsi="Times New Roman"/>
          <w:sz w:val="16"/>
          <w:szCs w:val="16"/>
          <w:color w:val="auto"/>
        </w:rPr>
      </w:pPr>
    </w:p>
    <w:p>
      <w:pPr>
        <w:ind w:firstLine="1716"/>
        <w:spacing w:after="0" w:line="280" w:lineRule="auto"/>
        <w:tabs>
          <w:tab w:leader="none" w:pos="1970"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Holders may surrender their Notes for conversion at any time prior to the close of business on the second Scheduled Trading Day immediately preceding the Redemption Date;</w:t>
      </w:r>
    </w:p>
    <w:p>
      <w:pPr>
        <w:spacing w:after="0" w:line="144" w:lineRule="exact"/>
        <w:rPr>
          <w:rFonts w:ascii="Times New Roman" w:cs="Times New Roman" w:eastAsia="Times New Roman" w:hAnsi="Times New Roman"/>
          <w:sz w:val="16"/>
          <w:szCs w:val="16"/>
          <w:color w:val="auto"/>
        </w:rPr>
      </w:pPr>
    </w:p>
    <w:p>
      <w:pPr>
        <w:ind w:left="1980" w:hanging="264"/>
        <w:spacing w:after="0"/>
        <w:tabs>
          <w:tab w:leader="none" w:pos="1980"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procedures a converting Holder must follow to convert its Notes and the forms and amounts of consideration payable by the Company upon</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conversion;</w:t>
      </w:r>
    </w:p>
    <w:p>
      <w:pPr>
        <w:spacing w:after="0" w:line="181" w:lineRule="exact"/>
        <w:rPr>
          <w:rFonts w:ascii="Times New Roman" w:cs="Times New Roman" w:eastAsia="Times New Roman" w:hAnsi="Times New Roman"/>
          <w:sz w:val="16"/>
          <w:szCs w:val="16"/>
          <w:color w:val="auto"/>
        </w:rPr>
      </w:pPr>
    </w:p>
    <w:p>
      <w:pPr>
        <w:ind w:left="2040" w:hanging="324"/>
        <w:spacing w:after="0"/>
        <w:tabs>
          <w:tab w:leader="none" w:pos="2040"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Conversion Rate and, if applicable, the number of Additional Shares added to the Conversion Rate in accordance with Section 14.03;</w:t>
      </w:r>
    </w:p>
    <w:p>
      <w:pPr>
        <w:spacing w:after="0" w:line="198" w:lineRule="exact"/>
        <w:rPr>
          <w:rFonts w:ascii="Times New Roman" w:cs="Times New Roman" w:eastAsia="Times New Roman" w:hAnsi="Times New Roman"/>
          <w:sz w:val="16"/>
          <w:szCs w:val="16"/>
          <w:color w:val="auto"/>
        </w:rPr>
      </w:pPr>
    </w:p>
    <w:p>
      <w:pPr>
        <w:ind w:left="2080" w:hanging="364"/>
        <w:spacing w:after="0"/>
        <w:tabs>
          <w:tab w:leader="none" w:pos="2080"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CUSIP, ISIN or other similar numbers, if any, assigned to such Notes; and</w:t>
      </w:r>
    </w:p>
    <w:p>
      <w:pPr>
        <w:spacing w:after="0" w:line="198" w:lineRule="exact"/>
        <w:rPr>
          <w:rFonts w:ascii="Times New Roman" w:cs="Times New Roman" w:eastAsia="Times New Roman" w:hAnsi="Times New Roman"/>
          <w:sz w:val="16"/>
          <w:szCs w:val="16"/>
          <w:color w:val="auto"/>
        </w:rPr>
      </w:pPr>
    </w:p>
    <w:p>
      <w:pPr>
        <w:jc w:val="both"/>
        <w:ind w:right="20" w:firstLine="1716"/>
        <w:spacing w:after="0" w:line="265" w:lineRule="auto"/>
        <w:tabs>
          <w:tab w:leader="none" w:pos="2002"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case any Note is to be redeemed in part only, the portion of the principal amount thereof to be redeemed and on and after the Redemption Date, upon surrender of such Note, a new Note in principal amount equal to the unredeemed portion thereof shall be issued, which principal amount must be $1.00 or an integral multiple of $1.00 in excess of $1.00.</w:t>
      </w:r>
    </w:p>
    <w:p>
      <w:pPr>
        <w:spacing w:after="0" w:line="1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 Notice of Redemption shall be irrevocable.</w:t>
      </w:r>
    </w:p>
    <w:p>
      <w:pPr>
        <w:spacing w:after="0" w:line="198" w:lineRule="exact"/>
        <w:rPr>
          <w:sz w:val="20"/>
          <w:szCs w:val="20"/>
          <w:color w:val="auto"/>
        </w:rPr>
      </w:pPr>
    </w:p>
    <w:p>
      <w:pPr>
        <w:jc w:val="both"/>
        <w:ind w:right="20" w:firstLine="1143"/>
        <w:spacing w:after="0" w:line="253" w:lineRule="auto"/>
        <w:tabs>
          <w:tab w:leader="none" w:pos="1379"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fewer than all of the outstanding Notes are to be redeemed and the Notes to be redeemed are Global Notes, the Notes to be redeemed shall be selected by the Depositary in accordance with the applicable rules and procedures of the Depositary. If fewer than all of the outstanding Notes are to be redeemed and the Notes to be redeemed are not Global Notes, the Trustee shall select the Notes or portions thereof to be redeemed (in principal amounts of $1,000 or multiples thereof) by lot, on a </w:t>
      </w:r>
      <w:r>
        <w:rPr>
          <w:rFonts w:ascii="Times New Roman" w:cs="Times New Roman" w:eastAsia="Times New Roman" w:hAnsi="Times New Roman"/>
          <w:sz w:val="16"/>
          <w:szCs w:val="16"/>
          <w:i w:val="1"/>
          <w:iCs w:val="1"/>
          <w:color w:val="auto"/>
        </w:rPr>
        <w:t>pro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rata </w:t>
      </w:r>
      <w:r>
        <w:rPr>
          <w:rFonts w:ascii="Times New Roman" w:cs="Times New Roman" w:eastAsia="Times New Roman" w:hAnsi="Times New Roman"/>
          <w:sz w:val="16"/>
          <w:szCs w:val="16"/>
          <w:color w:val="auto"/>
        </w:rPr>
        <w:t>basis or by another method the Trustee considers to be fair and appropriate. If any Note selected for partial redemption is submitted for conversion in part after such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selection, the portion of the Note submitted for conversion shall be deemed (so far as may be possible) to be the portion selected for redemption, subject, in the case of Notes represented by a Global Note, to the Depositary’s applicable procedures. If fewer than all of the outstanding Notes are to be redeemed and the Holder of any Note (or any owner</w:t>
      </w:r>
    </w:p>
    <w:p>
      <w:pPr>
        <w:jc w:val="both"/>
        <w:ind w:right="20"/>
        <w:spacing w:after="0" w:line="232" w:lineRule="auto"/>
        <w:rPr>
          <w:sz w:val="20"/>
          <w:szCs w:val="20"/>
          <w:color w:val="auto"/>
        </w:rPr>
      </w:pPr>
      <w:r>
        <w:rPr>
          <w:rFonts w:ascii="Times New Roman" w:cs="Times New Roman" w:eastAsia="Times New Roman" w:hAnsi="Times New Roman"/>
          <w:sz w:val="16"/>
          <w:szCs w:val="16"/>
          <w:color w:val="auto"/>
        </w:rPr>
        <w:t>of a beneficial interest in any Global Note) is reasonably not able to determine, before the close of business on the 45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scheduled Trading Day immediately before the relevant Redemption Date, whether such Note or beneficial interest, as applicable, is to be redeemed pursuant to such redemption, then such Holder or owner, as applicable, will be entitled to convert such Note or beneficial interest, as applicable, at any time before the close of business on the second Scheduled Trading Day prior to such Redemption Date, unless the Company defaults in the payment of the Redemption Price pursuant to Section 14.01(b)(v), in which case such Holder or owner, as applicable, will be entitled to convert such Note or beneficial interest, as applicable, until the Redemption Price has been paid or duly provided for, and each such conversion will be deemed to be of a Note called for redemption. The Trustee shall not be obligated to make any determination in connection with the foregoing.</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7" w:name="page98"/>
    <w:bookmarkEnd w:id="97"/>
    <w:p>
      <w:pPr>
        <w:jc w:val="both"/>
        <w:ind w:firstLine="382"/>
        <w:spacing w:after="0" w:line="266" w:lineRule="auto"/>
        <w:rPr>
          <w:sz w:val="20"/>
          <w:szCs w:val="20"/>
          <w:color w:val="auto"/>
        </w:rPr>
      </w:pPr>
      <w:r>
        <w:rPr>
          <w:rFonts w:ascii="Times New Roman" w:cs="Times New Roman" w:eastAsia="Times New Roman" w:hAnsi="Times New Roman"/>
          <w:sz w:val="16"/>
          <w:szCs w:val="16"/>
          <w:color w:val="auto"/>
        </w:rPr>
        <w:t xml:space="preserve">Section 16.03. </w:t>
      </w:r>
      <w:r>
        <w:rPr>
          <w:rFonts w:ascii="Times New Roman" w:cs="Times New Roman" w:eastAsia="Times New Roman" w:hAnsi="Times New Roman"/>
          <w:sz w:val="16"/>
          <w:szCs w:val="16"/>
          <w:i w:val="1"/>
          <w:iCs w:val="1"/>
          <w:color w:val="auto"/>
        </w:rPr>
        <w:t>Payment of Notes Called for Redemption</w:t>
      </w:r>
      <w:r>
        <w:rPr>
          <w:rFonts w:ascii="Times New Roman" w:cs="Times New Roman" w:eastAsia="Times New Roman" w:hAnsi="Times New Roman"/>
          <w:sz w:val="16"/>
          <w:szCs w:val="16"/>
          <w:color w:val="auto"/>
        </w:rPr>
        <w:t>. (a) If any Notice of Redemption has been given in respect of the Notes in accordance with Section 16.02, the Notes shall become due and payable on the Redemption Date at the place or places stated in the Notice of Redemption and at the applicable Redemption Price. On presentation and surrender of the Notes at the place or places stated in the Notice of Redemption, the Notes shall be paid and redeemed by the Company at the applicable Redemption Price.</w:t>
      </w:r>
    </w:p>
    <w:p>
      <w:pPr>
        <w:spacing w:after="0" w:line="155" w:lineRule="exact"/>
        <w:rPr>
          <w:sz w:val="20"/>
          <w:szCs w:val="20"/>
          <w:color w:val="auto"/>
        </w:rPr>
      </w:pPr>
    </w:p>
    <w:p>
      <w:pPr>
        <w:jc w:val="both"/>
        <w:ind w:firstLine="1143"/>
        <w:spacing w:after="0" w:line="257" w:lineRule="auto"/>
        <w:tabs>
          <w:tab w:leader="none" w:pos="1373"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11:00 a.m. New York City time on the Redemption Date, the Company shall deposit with the Paying Agent or, if the Company or a Subsidiary of the Company is acting as the Paying Agent, shall segregate and hold in trust as provided in Section 7.05 an amount of cash (in immediately available funds if deposited on the Redemption Date), sufficient to pay the Redemption Price of all of the Notes to be redeemed on such Redemption Date. Subject to receipt of funds by the Paying Agent, payment for the Notes to be redeemed shall be made on the Redemption Date for such Notes. The Paying Agent shall, promptly after such payment and upon written demand by the Company, return to the Company any funds in excess of the Redemption Price.</w:t>
      </w:r>
    </w:p>
    <w:p>
      <w:pPr>
        <w:spacing w:after="0" w:line="160" w:lineRule="exact"/>
        <w:rPr>
          <w:sz w:val="20"/>
          <w:szCs w:val="20"/>
          <w:color w:val="auto"/>
        </w:rPr>
      </w:pPr>
    </w:p>
    <w:p>
      <w:pPr>
        <w:jc w:val="both"/>
        <w:ind w:firstLine="382"/>
        <w:spacing w:after="0" w:line="266" w:lineRule="auto"/>
        <w:rPr>
          <w:sz w:val="20"/>
          <w:szCs w:val="20"/>
          <w:color w:val="auto"/>
        </w:rPr>
      </w:pPr>
      <w:r>
        <w:rPr>
          <w:rFonts w:ascii="Times New Roman" w:cs="Times New Roman" w:eastAsia="Times New Roman" w:hAnsi="Times New Roman"/>
          <w:sz w:val="16"/>
          <w:szCs w:val="16"/>
          <w:color w:val="auto"/>
        </w:rPr>
        <w:t xml:space="preserve">Section 16.04. </w:t>
      </w:r>
      <w:r>
        <w:rPr>
          <w:rFonts w:ascii="Times New Roman" w:cs="Times New Roman" w:eastAsia="Times New Roman" w:hAnsi="Times New Roman"/>
          <w:sz w:val="16"/>
          <w:szCs w:val="16"/>
          <w:i w:val="1"/>
          <w:iCs w:val="1"/>
          <w:color w:val="auto"/>
        </w:rPr>
        <w:t>Restrictions on Redemption.</w:t>
      </w:r>
      <w:r>
        <w:rPr>
          <w:rFonts w:ascii="Times New Roman" w:cs="Times New Roman" w:eastAsia="Times New Roman" w:hAnsi="Times New Roman"/>
          <w:sz w:val="16"/>
          <w:szCs w:val="16"/>
          <w:color w:val="auto"/>
        </w:rPr>
        <w:t xml:space="preserve"> No Notes may be redeemed on any date if the principal amount of the Notes has been accelerated in accordance with the terms of this Indenture, and such acceleration has not been rescinded, on or prior to the Redemption Date (except in the case of an acceleration resulting from a Default by the Company in the payment of the Redemption Price with respect to such Notes).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17 G</w:t>
      </w:r>
      <w:r>
        <w:rPr>
          <w:rFonts w:ascii="Times New Roman" w:cs="Times New Roman" w:eastAsia="Times New Roman" w:hAnsi="Times New Roman"/>
          <w:sz w:val="10"/>
          <w:szCs w:val="10"/>
          <w:color w:val="auto"/>
        </w:rPr>
        <w:t>uarantee</w:t>
      </w:r>
    </w:p>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17.01. </w:t>
      </w:r>
      <w:r>
        <w:rPr>
          <w:rFonts w:ascii="Times New Roman" w:cs="Times New Roman" w:eastAsia="Times New Roman" w:hAnsi="Times New Roman"/>
          <w:sz w:val="16"/>
          <w:szCs w:val="16"/>
          <w:i w:val="1"/>
          <w:iCs w:val="1"/>
          <w:color w:val="auto"/>
        </w:rPr>
        <w:t>Guarantee</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jc w:val="both"/>
        <w:ind w:firstLine="382"/>
        <w:spacing w:after="0" w:line="253" w:lineRule="auto"/>
        <w:rPr>
          <w:sz w:val="20"/>
          <w:szCs w:val="20"/>
          <w:color w:val="auto"/>
        </w:rPr>
      </w:pPr>
      <w:r>
        <w:rPr>
          <w:rFonts w:ascii="Times New Roman" w:cs="Times New Roman" w:eastAsia="Times New Roman" w:hAnsi="Times New Roman"/>
          <w:sz w:val="16"/>
          <w:szCs w:val="16"/>
          <w:color w:val="auto"/>
        </w:rPr>
        <w:t>Subject to this Article 17, each of the Guarantors hereby, jointly and severally, unconditionally guarantees to each Holder of a Note authenticated and delivered by the Trustee and to the Trustee and its successors and assigns the Notes or the obligations of the Company hereunder or thereunder, that: (a) the principal of, premium (if any) and interest on the Notes will be promptly paid in full when due, whether at the Maturity Date, by acceleration, or otherwise, and interest on the overdue principal of and interest on the Notes, if any, if lawful, and all other obligations of the Company to the Holders or the Trustee hereunder or thereunder will be promptly paid in full or performed, all in accordance with the terms hereof and thereof; and (b) in case of any extension of time of payment or renewal of any Notes or any of such other obligations, that same will be promptly paid in full when due or performed in accordance with the terms of the extension or renewal, whether at the Maturity Date, by acceleration or otherwise. Failing payment when due of any amount so guaranteed or any performance so guaranteed for whatever reason, the Guarantors shall be jointly and severally obligated to pay the same immediately. Each Guarantor agrees that this is a guarantee of payment and not a guarantee of collection.</w:t>
      </w:r>
    </w:p>
    <w:p>
      <w:pPr>
        <w:spacing w:after="0" w:line="169"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6"/>
          <w:szCs w:val="16"/>
          <w:color w:val="auto"/>
        </w:rPr>
        <w:t>The Guarantors hereby agree that their obligations hereunder shall be unconditional, irrespective of the validity, regularity or enforceability of the Notes or this Indenture, the absence of any action to enforce the same, any waiver or consent by any Holder of the Notes with respect to any provisions hereof or thereof, the recovery of any judgment against the Company, any action to enforce the same or any other circumstance which might otherwise constitute a legal or equitable discharge or defense of a Guarantor. Each Guarantor hereby waives, to the extent permitted by applicable law, diligence, presentment, demand of payment, filing of claims with a court in the event of insolvency or bankruptcy of the Company, any right to require a proceeding first against the Company, protest, notice and all demands whatsoever and covenant that this Guarantee shall not be discharged except by complete performance of the obligations contained in the Notes and this Indenture.</w:t>
      </w:r>
    </w:p>
    <w:p>
      <w:pPr>
        <w:spacing w:after="0" w:line="165"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If any Holder or the Trustee is required by any court or otherwise to return to the Company, the Guarantors or any custodian, trustee, liquidator or other similar official acting in relation to either the Company or the Guarantors, any amount paid by either to the Trustee or such Holder, this Guarantee, to the extent theretofore discharged, shall be reinstated in full force and effect.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98" w:name="page99"/>
    <w:bookmarkEnd w:id="98"/>
    <w:p>
      <w:pPr>
        <w:jc w:val="both"/>
        <w:ind w:firstLine="382"/>
        <w:spacing w:after="0" w:line="278" w:lineRule="auto"/>
        <w:rPr>
          <w:sz w:val="20"/>
          <w:szCs w:val="20"/>
          <w:color w:val="auto"/>
        </w:rPr>
      </w:pPr>
      <w:r>
        <w:rPr>
          <w:rFonts w:ascii="Times New Roman" w:cs="Times New Roman" w:eastAsia="Times New Roman" w:hAnsi="Times New Roman"/>
          <w:sz w:val="15"/>
          <w:szCs w:val="15"/>
          <w:color w:val="auto"/>
        </w:rPr>
        <w:t>Each Guarantor agrees that it shall not be entitled to any right of subrogation in relation to the Holders in respect of any obligations guaranteed hereby until payment in full of all obligations guaranteed hereby. Each Guarantor further agrees that, as between the Guarantors, on the one hand, and the Holders and the Trustee, on the other hand, (x) the maturity of the obligations guaranteed hereby may be accelerated as provided in Article Six hereof for the purposes of this Guarantee, notwithstanding any stay, injunction or other prohibition preventing such acceleration in respect of the obligations guaranteed hereby, and (y) in the event of any declaration of acceleration of such obligations as provided in Article Six hereof, such obligations (whether or not due and payable) shall forthwith become due and payable by the Guarantors for the purpose of this Guarantee.</w:t>
      </w:r>
    </w:p>
    <w:p>
      <w:pPr>
        <w:spacing w:after="0" w:line="148" w:lineRule="exact"/>
        <w:rPr>
          <w:sz w:val="20"/>
          <w:szCs w:val="20"/>
          <w:color w:val="auto"/>
        </w:rPr>
      </w:pPr>
    </w:p>
    <w:p>
      <w:pPr>
        <w:jc w:val="both"/>
        <w:ind w:firstLine="382"/>
        <w:spacing w:after="0" w:line="280" w:lineRule="auto"/>
        <w:rPr>
          <w:sz w:val="20"/>
          <w:szCs w:val="20"/>
          <w:color w:val="auto"/>
        </w:rPr>
      </w:pPr>
      <w:r>
        <w:rPr>
          <w:rFonts w:ascii="Times New Roman" w:cs="Times New Roman" w:eastAsia="Times New Roman" w:hAnsi="Times New Roman"/>
          <w:sz w:val="16"/>
          <w:szCs w:val="16"/>
          <w:color w:val="auto"/>
        </w:rPr>
        <w:t>If an Officer of a Guarantor whose signature is on this Indenture no longer holds that office at the time the Trustee authenticates any Note hereunder, this Guarantee shall be valid nevertheless.</w:t>
      </w:r>
    </w:p>
    <w:p>
      <w:pPr>
        <w:spacing w:after="0" w:line="144"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The delivery of any Note by the Trustee, after the authentication thereof hereunder, shall constitute due delivery of the Guarantee set forth in this Indenture on behalf of the Guarantors.</w:t>
      </w:r>
    </w:p>
    <w:p>
      <w:pPr>
        <w:spacing w:after="0" w:line="14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17.02. </w:t>
      </w:r>
      <w:r>
        <w:rPr>
          <w:rFonts w:ascii="Times New Roman" w:cs="Times New Roman" w:eastAsia="Times New Roman" w:hAnsi="Times New Roman"/>
          <w:sz w:val="16"/>
          <w:szCs w:val="16"/>
          <w:i w:val="1"/>
          <w:iCs w:val="1"/>
          <w:color w:val="auto"/>
        </w:rPr>
        <w:t>Limitation on Guarantor Liability</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jc w:val="both"/>
        <w:ind w:firstLine="382"/>
        <w:spacing w:after="0" w:line="253" w:lineRule="auto"/>
        <w:rPr>
          <w:sz w:val="20"/>
          <w:szCs w:val="20"/>
          <w:color w:val="auto"/>
        </w:rPr>
      </w:pPr>
      <w:r>
        <w:rPr>
          <w:rFonts w:ascii="Times New Roman" w:cs="Times New Roman" w:eastAsia="Times New Roman" w:hAnsi="Times New Roman"/>
          <w:sz w:val="16"/>
          <w:szCs w:val="16"/>
          <w:color w:val="auto"/>
        </w:rPr>
        <w:t>Each Guarantor, and by its acceptance of Notes, each Holder, hereby confirms that it is the intention of all such parties that the Guarantee of such Guarantor not constitute a fraudulent transfer or conveyance for purposes of Bankruptcy Law, the Uniform Fraudulent Conveyance Act, the Uniform Fraudulent Transfer Act or any similar federal or state law to the extent applicable to any Guarantee. To effectuate the foregoing intention, the Trustee, the Holders and the Guarantors hereby irrevocably agree that the obligations of such Guarantor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Ten, result in the obligations of such Guarantor under its Guarantee not constituting a fraudulent transfer or conveyance. Each Guarantor that makes a payment for distribution under its Guarantee is entitled to a contribution from each other Guarantor in a pro rata amount based on the adjusted net assets of each Guarantor.</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17.03. </w:t>
      </w:r>
      <w:r>
        <w:rPr>
          <w:rFonts w:ascii="Times New Roman" w:cs="Times New Roman" w:eastAsia="Times New Roman" w:hAnsi="Times New Roman"/>
          <w:sz w:val="16"/>
          <w:szCs w:val="16"/>
          <w:i w:val="1"/>
          <w:iCs w:val="1"/>
          <w:color w:val="auto"/>
        </w:rPr>
        <w:t>Release of Guarantees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Any Guarantee by a Subsidiary of the Notes shall provide by its terms that it (and all Liens securing such Guarantee) shall be automatically and unconditionally released and discharged, without any further action required on the part of the Trustee or any Holder, upon:</w:t>
      </w:r>
    </w:p>
    <w:p>
      <w:pPr>
        <w:spacing w:after="0" w:line="144" w:lineRule="exact"/>
        <w:rPr>
          <w:sz w:val="20"/>
          <w:szCs w:val="20"/>
          <w:color w:val="auto"/>
        </w:rPr>
      </w:pPr>
    </w:p>
    <w:p>
      <w:pPr>
        <w:ind w:left="1080" w:hanging="224"/>
        <w:spacing w:after="0"/>
        <w:tabs>
          <w:tab w:leader="none" w:pos="108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obligations under this Indenture being discharged in accordance with the terms of this Indenture; or</w:t>
      </w:r>
    </w:p>
    <w:p>
      <w:pPr>
        <w:spacing w:after="0" w:line="198" w:lineRule="exact"/>
        <w:rPr>
          <w:rFonts w:ascii="Times New Roman" w:cs="Times New Roman" w:eastAsia="Times New Roman" w:hAnsi="Times New Roman"/>
          <w:sz w:val="16"/>
          <w:szCs w:val="16"/>
          <w:color w:val="auto"/>
        </w:rPr>
      </w:pPr>
    </w:p>
    <w:p>
      <w:pPr>
        <w:jc w:val="both"/>
        <w:ind w:firstLine="856"/>
        <w:spacing w:after="0" w:line="265" w:lineRule="auto"/>
        <w:tabs>
          <w:tab w:leader="none" w:pos="1097"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sale, issuance or other disposition (by merger or otherwise) to any Person which is not a Subsidiary of the Company of (i) all or substantially all of the assets of such Subsidiary or (ii) Capital Stock of a Subsidiary such that such Subsidiary ceases to be a Subsidiary;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sale or disposition of such Capital Stock is otherwise permitted by the terms of this Indenture.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18</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M</w:t>
      </w:r>
      <w:r>
        <w:rPr>
          <w:rFonts w:ascii="Times New Roman" w:cs="Times New Roman" w:eastAsia="Times New Roman" w:hAnsi="Times New Roman"/>
          <w:sz w:val="10"/>
          <w:szCs w:val="10"/>
          <w:color w:val="auto"/>
        </w:rPr>
        <w:t>iscellaneous</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0"/>
          <w:szCs w:val="10"/>
          <w:color w:val="auto"/>
        </w:rPr>
        <w:t>rovisions</w:t>
      </w:r>
    </w:p>
    <w:p>
      <w:pPr>
        <w:spacing w:after="0" w:line="180" w:lineRule="exact"/>
        <w:rPr>
          <w:sz w:val="20"/>
          <w:szCs w:val="20"/>
          <w:color w:val="auto"/>
        </w:rPr>
      </w:pPr>
    </w:p>
    <w:p>
      <w:pPr>
        <w:jc w:val="both"/>
        <w:ind w:right="20" w:firstLine="382"/>
        <w:spacing w:after="0" w:line="283" w:lineRule="auto"/>
        <w:rPr>
          <w:sz w:val="20"/>
          <w:szCs w:val="20"/>
          <w:color w:val="auto"/>
        </w:rPr>
      </w:pPr>
      <w:r>
        <w:rPr>
          <w:rFonts w:ascii="Times New Roman" w:cs="Times New Roman" w:eastAsia="Times New Roman" w:hAnsi="Times New Roman"/>
          <w:sz w:val="16"/>
          <w:szCs w:val="16"/>
          <w:color w:val="auto"/>
        </w:rPr>
        <w:t xml:space="preserve">Section 18.01. </w:t>
      </w:r>
      <w:r>
        <w:rPr>
          <w:rFonts w:ascii="Times New Roman" w:cs="Times New Roman" w:eastAsia="Times New Roman" w:hAnsi="Times New Roman"/>
          <w:sz w:val="16"/>
          <w:szCs w:val="16"/>
          <w:i w:val="1"/>
          <w:iCs w:val="1"/>
          <w:color w:val="auto"/>
        </w:rPr>
        <w:t>Provisions Binding on Company’s Successors.</w:t>
      </w:r>
      <w:r>
        <w:rPr>
          <w:rFonts w:ascii="Times New Roman" w:cs="Times New Roman" w:eastAsia="Times New Roman" w:hAnsi="Times New Roman"/>
          <w:sz w:val="16"/>
          <w:szCs w:val="16"/>
          <w:color w:val="auto"/>
        </w:rPr>
        <w:t xml:space="preserve"> All the covenants, stipulations, promises and agreements of the Company contained in this Indenture shall bind its successors and assigns whether so expressed or not.</w:t>
      </w:r>
    </w:p>
    <w:p>
      <w:pPr>
        <w:spacing w:after="0" w:line="140" w:lineRule="exact"/>
        <w:rPr>
          <w:sz w:val="20"/>
          <w:szCs w:val="20"/>
          <w:color w:val="auto"/>
        </w:rPr>
      </w:pPr>
    </w:p>
    <w:p>
      <w:pPr>
        <w:jc w:val="both"/>
        <w:ind w:right="20" w:firstLine="382"/>
        <w:spacing w:after="0" w:line="266" w:lineRule="auto"/>
        <w:rPr>
          <w:sz w:val="20"/>
          <w:szCs w:val="20"/>
          <w:color w:val="auto"/>
        </w:rPr>
      </w:pPr>
      <w:r>
        <w:rPr>
          <w:rFonts w:ascii="Times New Roman" w:cs="Times New Roman" w:eastAsia="Times New Roman" w:hAnsi="Times New Roman"/>
          <w:sz w:val="16"/>
          <w:szCs w:val="16"/>
          <w:color w:val="auto"/>
        </w:rPr>
        <w:t xml:space="preserve">Section 18.02. </w:t>
      </w:r>
      <w:r>
        <w:rPr>
          <w:rFonts w:ascii="Times New Roman" w:cs="Times New Roman" w:eastAsia="Times New Roman" w:hAnsi="Times New Roman"/>
          <w:sz w:val="16"/>
          <w:szCs w:val="16"/>
          <w:i w:val="1"/>
          <w:iCs w:val="1"/>
          <w:color w:val="auto"/>
        </w:rPr>
        <w:t>Official Acts by Successor Corporation.</w:t>
      </w:r>
      <w:r>
        <w:rPr>
          <w:rFonts w:ascii="Times New Roman" w:cs="Times New Roman" w:eastAsia="Times New Roman" w:hAnsi="Times New Roman"/>
          <w:sz w:val="16"/>
          <w:szCs w:val="16"/>
          <w:color w:val="auto"/>
        </w:rPr>
        <w:t xml:space="preserve"> Any act or proceeding by any provision of this Indenture authorized or required to be done or performed by any board, committee or Officer of the Company shall and may be done and performed with like force and effect by the like board, committee or officer of any corporation or other entity that shall at the time be the lawful sole successor of the Company.</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9" w:name="page100"/>
    <w:bookmarkEnd w:id="99"/>
    <w:p>
      <w:pPr>
        <w:jc w:val="both"/>
        <w:ind w:right="20" w:firstLine="382"/>
        <w:spacing w:after="0" w:line="261" w:lineRule="auto"/>
        <w:rPr>
          <w:sz w:val="20"/>
          <w:szCs w:val="20"/>
          <w:color w:val="auto"/>
        </w:rPr>
      </w:pPr>
      <w:r>
        <w:rPr>
          <w:rFonts w:ascii="Times New Roman" w:cs="Times New Roman" w:eastAsia="Times New Roman" w:hAnsi="Times New Roman"/>
          <w:sz w:val="16"/>
          <w:szCs w:val="16"/>
          <w:color w:val="auto"/>
        </w:rPr>
        <w:t xml:space="preserve">Section 18.03. </w:t>
      </w:r>
      <w:r>
        <w:rPr>
          <w:rFonts w:ascii="Times New Roman" w:cs="Times New Roman" w:eastAsia="Times New Roman" w:hAnsi="Times New Roman"/>
          <w:sz w:val="16"/>
          <w:szCs w:val="16"/>
          <w:i w:val="1"/>
          <w:iCs w:val="1"/>
          <w:color w:val="auto"/>
        </w:rPr>
        <w:t>Addresses for Notices, Etc.</w:t>
      </w:r>
      <w:r>
        <w:rPr>
          <w:rFonts w:ascii="Times New Roman" w:cs="Times New Roman" w:eastAsia="Times New Roman" w:hAnsi="Times New Roman"/>
          <w:sz w:val="16"/>
          <w:szCs w:val="16"/>
          <w:color w:val="auto"/>
        </w:rPr>
        <w:t xml:space="preserve"> Any notice or demand that by any provision of this Indenture is required or permitted to be given or served by the Trustee or by the Holders on the Company shall be deemed to have been sufficiently given or made, for all purposes if given or served by overnight courier or by being deposited postage</w:t>
      </w:r>
    </w:p>
    <w:p>
      <w:pPr>
        <w:spacing w:after="0" w:line="1"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16"/>
          <w:szCs w:val="16"/>
          <w:color w:val="auto"/>
        </w:rPr>
        <w:t>prepaid by registered or certified mail in a post office letter box addressed (until another address is filed by the Company with the Trustee) to [●]</w:t>
      </w:r>
      <w:r>
        <w:rPr>
          <w:rFonts w:ascii="Times New Roman" w:cs="Times New Roman" w:eastAsia="Times New Roman" w:hAnsi="Times New Roman"/>
          <w:sz w:val="26"/>
          <w:szCs w:val="26"/>
          <w:color w:val="auto"/>
          <w:vertAlign w:val="superscript"/>
        </w:rPr>
        <w:t>14</w:t>
      </w:r>
      <w:r>
        <w:rPr>
          <w:rFonts w:ascii="Times New Roman" w:cs="Times New Roman" w:eastAsia="Times New Roman" w:hAnsi="Times New Roman"/>
          <w:sz w:val="16"/>
          <w:szCs w:val="16"/>
          <w:color w:val="auto"/>
        </w:rPr>
        <w:t>, Attention: [●], Email: [●], with a copy to Colin Diamond, White &amp; Case LLP, 1221 Avenue of the Americas, New York, NY 10020 and Laura Katherine Mann, White &amp; Case LLP, 609 Main Street, Houston, TX, 77002. Any notice, direction, request or demand hereunder to or upon the Trustee shall be deemed to have been sufficiently given or made, for all purposes, if given or served by being deposited postage prepaid by registered or certified mail in a post office letter box addressed to the Corporate Trust Office or sent electronically in PDF format, whether by mail or electronically, upon actual receipt by the Trustee.</w:t>
      </w:r>
    </w:p>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Trustee, by notice to the Company, may designate additional or different addresses for subsequent notices or communications.</w:t>
      </w:r>
    </w:p>
    <w:p>
      <w:pPr>
        <w:spacing w:after="0" w:line="198"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6"/>
          <w:szCs w:val="16"/>
          <w:color w:val="auto"/>
        </w:rPr>
        <w:t>Any notice or communication delivered or to be delivered to a Holder of Physical Notes shall be mailed to it by first class mail, postage prepaid, at its address as it appears on the Note Register and shall be sufficiently given to it if so mailed within the time prescribed. Any notice or communication delivered or to be delivered to a Holder of Global Notes shall be delivered in accordance with the applicable procedures of the Depositary and shall be sufficiently given to it if so delivered within the time prescribed. Notwithstanding any other provision of this Indenture or any Note, where this Indenture or any Note provides for notice of any event (including any Fundamental Change Company Notice) to a Holder of a Global Note (whether by mail or otherwise), such notice shall be sufficiently given if given to the Depositary (or its designee) pursuant to the standing instructions from the Depositary or its designee, including by electronic mail in accordance with the Depositary’s applicable procedures.</w:t>
      </w:r>
    </w:p>
    <w:p>
      <w:pPr>
        <w:spacing w:after="0" w:line="165"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Failure to mail or deliver a notice or communication to a Holder or any defect in it shall not affect its sufficiency with respect to other Holders. If a notice or communication is mailed or delivered, as the case may be, in the manner provided above, it is duly given, whether or not the addressee receives it.</w:t>
      </w:r>
    </w:p>
    <w:p>
      <w:pPr>
        <w:spacing w:after="0" w:line="144"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In case by reason of the suspension of regular mail service or by reason of any other cause it shall be impracticable to give such notice to Holders by mail, then such notification as shall be made with the approval of the Trustee shall constitute a sufficient notification for every purpose hereunder.</w:t>
      </w:r>
    </w:p>
    <w:p>
      <w:pPr>
        <w:spacing w:after="0" w:line="142" w:lineRule="exact"/>
        <w:rPr>
          <w:sz w:val="20"/>
          <w:szCs w:val="20"/>
          <w:color w:val="auto"/>
        </w:rPr>
      </w:pPr>
    </w:p>
    <w:p>
      <w:pPr>
        <w:jc w:val="both"/>
        <w:ind w:firstLine="382"/>
        <w:spacing w:after="0" w:line="266" w:lineRule="auto"/>
        <w:rPr>
          <w:sz w:val="20"/>
          <w:szCs w:val="20"/>
          <w:color w:val="auto"/>
        </w:rPr>
      </w:pPr>
      <w:r>
        <w:rPr>
          <w:rFonts w:ascii="Times New Roman" w:cs="Times New Roman" w:eastAsia="Times New Roman" w:hAnsi="Times New Roman"/>
          <w:sz w:val="16"/>
          <w:szCs w:val="16"/>
          <w:color w:val="auto"/>
        </w:rPr>
        <w:t xml:space="preserve">Section 18.04. </w:t>
      </w:r>
      <w:r>
        <w:rPr>
          <w:rFonts w:ascii="Times New Roman" w:cs="Times New Roman" w:eastAsia="Times New Roman" w:hAnsi="Times New Roman"/>
          <w:sz w:val="16"/>
          <w:szCs w:val="16"/>
          <w:i w:val="1"/>
          <w:iCs w:val="1"/>
          <w:color w:val="auto"/>
        </w:rPr>
        <w:t>Governing Law; Jurisdiction.</w:t>
      </w:r>
      <w:r>
        <w:rPr>
          <w:rFonts w:ascii="Times New Roman" w:cs="Times New Roman" w:eastAsia="Times New Roman" w:hAnsi="Times New Roman"/>
          <w:sz w:val="16"/>
          <w:szCs w:val="16"/>
          <w:color w:val="auto"/>
        </w:rPr>
        <w:t xml:space="preserve"> THIS INDENTURE AND EACH NOTE, AND ANY CLAIM, CONTROVERSY OR DISPUTE ARISING UNDER OR RELATED TO THIS INDENTURE AND EACH NOTE, SHALL BE GOVERNED BY, AND CONSTRUED IN ACCORDANCE WITH, THE LAWS OF THE STATE OF NEW YORK.</w:t>
      </w:r>
    </w:p>
    <w:p>
      <w:pPr>
        <w:spacing w:after="0" w:line="155" w:lineRule="exact"/>
        <w:rPr>
          <w:sz w:val="20"/>
          <w:szCs w:val="20"/>
          <w:color w:val="auto"/>
        </w:rPr>
      </w:pPr>
    </w:p>
    <w:p>
      <w:pPr>
        <w:jc w:val="both"/>
        <w:ind w:right="20" w:firstLine="382"/>
        <w:spacing w:after="0" w:line="257" w:lineRule="auto"/>
        <w:rPr>
          <w:sz w:val="20"/>
          <w:szCs w:val="20"/>
          <w:color w:val="auto"/>
        </w:rPr>
      </w:pPr>
      <w:r>
        <w:rPr>
          <w:rFonts w:ascii="Times New Roman" w:cs="Times New Roman" w:eastAsia="Times New Roman" w:hAnsi="Times New Roman"/>
          <w:sz w:val="16"/>
          <w:szCs w:val="16"/>
          <w:color w:val="auto"/>
        </w:rPr>
        <w:t xml:space="preserve">The Company irrevocably consents and agrees, for the benefit of the Holders from time to time of the Notes and the Trustee, that any legal action, suit or proceeding against it with respect to obligations, liabilities or any other matter arising out of or in connection with this Indenture or the Notes may be brought in the courts of the State of New York or the courts of the United States located in the Borough of Manhattan, New York City, New York and, until amounts due and to become due in respect of the Notes have been paid, hereby irrevocably consents and submits to the non-exclusive jurisdiction of each such court </w:t>
      </w:r>
      <w:r>
        <w:rPr>
          <w:rFonts w:ascii="Times New Roman" w:cs="Times New Roman" w:eastAsia="Times New Roman" w:hAnsi="Times New Roman"/>
          <w:sz w:val="16"/>
          <w:szCs w:val="16"/>
          <w:i w:val="1"/>
          <w:iCs w:val="1"/>
          <w:color w:val="auto"/>
        </w:rPr>
        <w:t>in personam</w:t>
      </w:r>
      <w:r>
        <w:rPr>
          <w:rFonts w:ascii="Times New Roman" w:cs="Times New Roman" w:eastAsia="Times New Roman" w:hAnsi="Times New Roman"/>
          <w:sz w:val="16"/>
          <w:szCs w:val="16"/>
          <w:color w:val="auto"/>
        </w:rPr>
        <w:t>, generally and unconditionally with respect to any action, suit or proceeding for itself in respect of its properties, assets and revenues.</w:t>
      </w:r>
    </w:p>
    <w:p>
      <w:pPr>
        <w:spacing w:after="0" w:line="162"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6"/>
          <w:szCs w:val="16"/>
          <w:color w:val="auto"/>
        </w:rPr>
        <w:t>The Company irrevocably and unconditionally waives, to the fullest extent permitted by law, any objection which it may now or hereafter have to the laying of venue of any of the aforesaid actions, suits or proceedings arising out of or in connection with this Indenture brought in the courts of the State of New York or the courts of the United States located in the Borough of Manhattan, New York City, New York and hereby further irrevocably and unconditionally waives and agrees not to plead or claim in any such court that any such action, suit or proceeding brought in any such court has been brought in an inconvenient forum.</w:t>
      </w:r>
    </w:p>
    <w:p>
      <w:pPr>
        <w:spacing w:after="0" w:line="160" w:lineRule="exact"/>
        <w:rPr>
          <w:sz w:val="20"/>
          <w:szCs w:val="20"/>
          <w:color w:val="auto"/>
        </w:rPr>
      </w:pPr>
    </w:p>
    <w:p>
      <w:pPr>
        <w:jc w:val="both"/>
        <w:ind w:right="20" w:firstLine="382"/>
        <w:spacing w:after="0" w:line="266" w:lineRule="auto"/>
        <w:rPr>
          <w:sz w:val="20"/>
          <w:szCs w:val="20"/>
          <w:color w:val="auto"/>
        </w:rPr>
      </w:pPr>
      <w:r>
        <w:rPr>
          <w:rFonts w:ascii="Times New Roman" w:cs="Times New Roman" w:eastAsia="Times New Roman" w:hAnsi="Times New Roman"/>
          <w:sz w:val="16"/>
          <w:szCs w:val="16"/>
          <w:color w:val="auto"/>
        </w:rPr>
        <w:t xml:space="preserve">Section 18.05. </w:t>
      </w:r>
      <w:r>
        <w:rPr>
          <w:rFonts w:ascii="Times New Roman" w:cs="Times New Roman" w:eastAsia="Times New Roman" w:hAnsi="Times New Roman"/>
          <w:sz w:val="16"/>
          <w:szCs w:val="16"/>
          <w:i w:val="1"/>
          <w:iCs w:val="1"/>
          <w:color w:val="auto"/>
        </w:rPr>
        <w:t>Evidence of Compliance with Conditions Precedent; Certificates and Opinions of Counsel to Trustee.</w:t>
      </w:r>
      <w:r>
        <w:rPr>
          <w:rFonts w:ascii="Times New Roman" w:cs="Times New Roman" w:eastAsia="Times New Roman" w:hAnsi="Times New Roman"/>
          <w:sz w:val="16"/>
          <w:szCs w:val="16"/>
          <w:color w:val="auto"/>
        </w:rPr>
        <w:t xml:space="preserve"> Upon any application or demand by the Company to the Trustee to take any action under any of the provisions of this Indenture, the Company shall furnish to the Trustee an Officer’s Certificate and an Opinion of Counsel stating that such action is permitted by the terms of this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109220</wp:posOffset>
            </wp:positionV>
            <wp:extent cx="1790700"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17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color w:val="auto"/>
        </w:rPr>
        <w:t>14</w:t>
      </w:r>
      <w:r>
        <w:rPr>
          <w:sz w:val="20"/>
          <w:szCs w:val="20"/>
          <w:color w:val="auto"/>
        </w:rPr>
        <w:tab/>
      </w:r>
      <w:r>
        <w:rPr>
          <w:rFonts w:ascii="Times New Roman" w:cs="Times New Roman" w:eastAsia="Times New Roman" w:hAnsi="Times New Roman"/>
          <w:sz w:val="15"/>
          <w:szCs w:val="15"/>
          <w:color w:val="auto"/>
        </w:rPr>
        <w:t>Note to Draft: Company to provide.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00" w:name="page101"/>
    <w:bookmarkEnd w:id="100"/>
    <w:p>
      <w:pPr>
        <w:jc w:val="both"/>
        <w:ind w:right="20" w:firstLine="382"/>
        <w:spacing w:after="0" w:line="252" w:lineRule="auto"/>
        <w:rPr>
          <w:sz w:val="20"/>
          <w:szCs w:val="20"/>
          <w:color w:val="auto"/>
        </w:rPr>
      </w:pPr>
      <w:r>
        <w:rPr>
          <w:rFonts w:ascii="Times New Roman" w:cs="Times New Roman" w:eastAsia="Times New Roman" w:hAnsi="Times New Roman"/>
          <w:sz w:val="16"/>
          <w:szCs w:val="16"/>
          <w:color w:val="auto"/>
        </w:rPr>
        <w:t xml:space="preserve">Each Officer’s Certificate and Opinion of Counsel provided for, by or on behalf of the Company in this Indenture and delivered to the Trustee with respect to compliance with this Indenture (other than the Officer’s Certificates provided for in Section 4.08) shall include (a) a statement that the person signing such certificate is familiar with the requested action and this Indenture; (b) a brief statement as to the nature and scope of the examination or investigation upon which the statement contained in such certificate is based; (c) a statement that, in the judgment of such person, he or she has made such examination or investigation as is necessary to enable him or her to express an informed judgment as to whether or not such action is permitted by this Indenture; and (d) a statement as to whether or not, in the judgment of such person, such action is permitted by this Indenture and that all conditions precedent to such action have been complied with;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 Opinion of Counsel shall be required to be delivered in connection with (1) the original issuance of Notes on the date hereof under this Indenture, (2) the mandatory exchange of the restricted CUSIP of the Restricted Securities to an unrestricted CUSIP pursuant to the applicable procedures of the Depositary upon the Notes becoming freely tradable by non-Affiliates of the Company under Rule 144 and the removal of the restrictive legends in connection therewith unless a new Note is to be authenticated, or (3) a request by the Company that the Trustee deliver a notice to Holders under this Indenture where the Trustee receives an Officer’s Certificate with respect to such notice. With respect to matters of fact, an Opinion of Counsel may rely on an Officer’s Certificate or certificates of public officials.</w:t>
      </w:r>
    </w:p>
    <w:p>
      <w:pPr>
        <w:spacing w:after="0" w:line="169"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Notwithstanding anything to the contrary in this Section 18.05, if any provision in this Indenture specifically provides that the Trustee shall or may receive an Opinion of Counsel in connection with any action to be taken by the Trustee or the Company hereunder, the Trustee shall be entitled to such Opinion of Counsel.</w:t>
      </w:r>
    </w:p>
    <w:p>
      <w:pPr>
        <w:spacing w:after="0" w:line="142" w:lineRule="exact"/>
        <w:rPr>
          <w:sz w:val="20"/>
          <w:szCs w:val="20"/>
          <w:color w:val="auto"/>
        </w:rPr>
      </w:pPr>
    </w:p>
    <w:p>
      <w:pPr>
        <w:jc w:val="both"/>
        <w:ind w:right="20" w:firstLine="382"/>
        <w:spacing w:after="0" w:line="266" w:lineRule="auto"/>
        <w:rPr>
          <w:sz w:val="20"/>
          <w:szCs w:val="20"/>
          <w:color w:val="auto"/>
        </w:rPr>
      </w:pPr>
      <w:r>
        <w:rPr>
          <w:rFonts w:ascii="Times New Roman" w:cs="Times New Roman" w:eastAsia="Times New Roman" w:hAnsi="Times New Roman"/>
          <w:sz w:val="16"/>
          <w:szCs w:val="16"/>
          <w:color w:val="auto"/>
        </w:rPr>
        <w:t xml:space="preserve">Section 18.06. </w:t>
      </w:r>
      <w:r>
        <w:rPr>
          <w:rFonts w:ascii="Times New Roman" w:cs="Times New Roman" w:eastAsia="Times New Roman" w:hAnsi="Times New Roman"/>
          <w:sz w:val="16"/>
          <w:szCs w:val="16"/>
          <w:i w:val="1"/>
          <w:iCs w:val="1"/>
          <w:color w:val="auto"/>
        </w:rPr>
        <w:t>Legal Holidays.</w:t>
      </w:r>
      <w:r>
        <w:rPr>
          <w:rFonts w:ascii="Times New Roman" w:cs="Times New Roman" w:eastAsia="Times New Roman" w:hAnsi="Times New Roman"/>
          <w:sz w:val="16"/>
          <w:szCs w:val="16"/>
          <w:color w:val="auto"/>
        </w:rPr>
        <w:t xml:space="preserve"> In any case where any Interest Payment Date, any Fundamental Change Repurchase Date, any Redemption Date or the Maturity Date is not a Business Day, then any action to be taken on such date need not be taken on such date, but may be taken on the next succeeding Business Day with the same force and effect as if taken on such date, and no interest shall accrue in respect of the delay.</w:t>
      </w:r>
    </w:p>
    <w:p>
      <w:pPr>
        <w:spacing w:after="0" w:line="153" w:lineRule="exact"/>
        <w:rPr>
          <w:sz w:val="20"/>
          <w:szCs w:val="20"/>
          <w:color w:val="auto"/>
        </w:rPr>
      </w:pPr>
    </w:p>
    <w:p>
      <w:pPr>
        <w:jc w:val="both"/>
        <w:ind w:right="20" w:firstLine="382"/>
        <w:spacing w:after="0" w:line="283" w:lineRule="auto"/>
        <w:rPr>
          <w:sz w:val="20"/>
          <w:szCs w:val="20"/>
          <w:color w:val="auto"/>
        </w:rPr>
      </w:pPr>
      <w:r>
        <w:rPr>
          <w:rFonts w:ascii="Times New Roman" w:cs="Times New Roman" w:eastAsia="Times New Roman" w:hAnsi="Times New Roman"/>
          <w:sz w:val="16"/>
          <w:szCs w:val="16"/>
          <w:color w:val="auto"/>
        </w:rPr>
        <w:t xml:space="preserve">Section 18.07. </w:t>
      </w:r>
      <w:r>
        <w:rPr>
          <w:rFonts w:ascii="Times New Roman" w:cs="Times New Roman" w:eastAsia="Times New Roman" w:hAnsi="Times New Roman"/>
          <w:sz w:val="16"/>
          <w:szCs w:val="16"/>
          <w:i w:val="1"/>
          <w:iCs w:val="1"/>
          <w:color w:val="auto"/>
        </w:rPr>
        <w:t>No Security Interest Created.</w:t>
      </w:r>
      <w:r>
        <w:rPr>
          <w:rFonts w:ascii="Times New Roman" w:cs="Times New Roman" w:eastAsia="Times New Roman" w:hAnsi="Times New Roman"/>
          <w:sz w:val="16"/>
          <w:szCs w:val="16"/>
          <w:color w:val="auto"/>
        </w:rPr>
        <w:t xml:space="preserve"> Nothing in this Indenture or in the Notes, expressed or implied, shall be construed to constitute a security interest under the Uniform Commercial Code or similar legislation, as now or hereafter enacted and in effect, in any jurisdiction.</w:t>
      </w:r>
    </w:p>
    <w:p>
      <w:pPr>
        <w:spacing w:after="0" w:line="140" w:lineRule="exact"/>
        <w:rPr>
          <w:sz w:val="20"/>
          <w:szCs w:val="20"/>
          <w:color w:val="auto"/>
        </w:rPr>
      </w:pPr>
    </w:p>
    <w:p>
      <w:pPr>
        <w:jc w:val="both"/>
        <w:ind w:right="20" w:firstLine="382"/>
        <w:spacing w:after="0" w:line="266" w:lineRule="auto"/>
        <w:rPr>
          <w:sz w:val="20"/>
          <w:szCs w:val="20"/>
          <w:color w:val="auto"/>
        </w:rPr>
      </w:pPr>
      <w:r>
        <w:rPr>
          <w:rFonts w:ascii="Times New Roman" w:cs="Times New Roman" w:eastAsia="Times New Roman" w:hAnsi="Times New Roman"/>
          <w:sz w:val="16"/>
          <w:szCs w:val="16"/>
          <w:color w:val="auto"/>
        </w:rPr>
        <w:t xml:space="preserve">Section 18.08. </w:t>
      </w:r>
      <w:r>
        <w:rPr>
          <w:rFonts w:ascii="Times New Roman" w:cs="Times New Roman" w:eastAsia="Times New Roman" w:hAnsi="Times New Roman"/>
          <w:sz w:val="16"/>
          <w:szCs w:val="16"/>
          <w:i w:val="1"/>
          <w:iCs w:val="1"/>
          <w:color w:val="auto"/>
        </w:rPr>
        <w:t>Benefits of Indenture.</w:t>
      </w:r>
      <w:r>
        <w:rPr>
          <w:rFonts w:ascii="Times New Roman" w:cs="Times New Roman" w:eastAsia="Times New Roman" w:hAnsi="Times New Roman"/>
          <w:sz w:val="16"/>
          <w:szCs w:val="16"/>
          <w:color w:val="auto"/>
        </w:rPr>
        <w:t xml:space="preserve"> Nothing in this Indenture or in the Notes, expressed or implied, shall give to any Person, other than the Holders, the parties hereto, any Paying Agent, any Conversion Agent, any Custodian, any authenticating agent, any Note Registrar and their successors hereunder, any benefit or any legal or equitable right, remedy or claim under this Indenture.</w:t>
      </w:r>
    </w:p>
    <w:p>
      <w:pPr>
        <w:spacing w:after="0" w:line="153" w:lineRule="exact"/>
        <w:rPr>
          <w:sz w:val="20"/>
          <w:szCs w:val="20"/>
          <w:color w:val="auto"/>
        </w:rPr>
      </w:pPr>
    </w:p>
    <w:p>
      <w:pPr>
        <w:jc w:val="both"/>
        <w:ind w:right="20" w:firstLine="382"/>
        <w:spacing w:after="0" w:line="283" w:lineRule="auto"/>
        <w:rPr>
          <w:sz w:val="20"/>
          <w:szCs w:val="20"/>
          <w:color w:val="auto"/>
        </w:rPr>
      </w:pPr>
      <w:r>
        <w:rPr>
          <w:rFonts w:ascii="Times New Roman" w:cs="Times New Roman" w:eastAsia="Times New Roman" w:hAnsi="Times New Roman"/>
          <w:sz w:val="16"/>
          <w:szCs w:val="16"/>
          <w:color w:val="auto"/>
        </w:rPr>
        <w:t xml:space="preserve">Section 18.09. </w:t>
      </w:r>
      <w:r>
        <w:rPr>
          <w:rFonts w:ascii="Times New Roman" w:cs="Times New Roman" w:eastAsia="Times New Roman" w:hAnsi="Times New Roman"/>
          <w:sz w:val="16"/>
          <w:szCs w:val="16"/>
          <w:i w:val="1"/>
          <w:iCs w:val="1"/>
          <w:color w:val="auto"/>
        </w:rPr>
        <w:t>Table of Contents, Headings, Etc.</w:t>
      </w:r>
      <w:r>
        <w:rPr>
          <w:rFonts w:ascii="Times New Roman" w:cs="Times New Roman" w:eastAsia="Times New Roman" w:hAnsi="Times New Roman"/>
          <w:sz w:val="16"/>
          <w:szCs w:val="16"/>
          <w:color w:val="auto"/>
        </w:rPr>
        <w:t xml:space="preserve"> The table of contents and the titles and headings of the articles and sections of this Indenture have been inserted for convenience of reference only, are not to be considered a part hereof, and shall in no way modify or restrict any of the terms or provisions hereof.</w:t>
      </w:r>
    </w:p>
    <w:p>
      <w:pPr>
        <w:spacing w:after="0" w:line="140"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6"/>
          <w:szCs w:val="16"/>
          <w:color w:val="auto"/>
        </w:rPr>
        <w:t xml:space="preserve">Section 18.10. </w:t>
      </w:r>
      <w:r>
        <w:rPr>
          <w:rFonts w:ascii="Times New Roman" w:cs="Times New Roman" w:eastAsia="Times New Roman" w:hAnsi="Times New Roman"/>
          <w:sz w:val="16"/>
          <w:szCs w:val="16"/>
          <w:i w:val="1"/>
          <w:iCs w:val="1"/>
          <w:color w:val="auto"/>
        </w:rPr>
        <w:t>Authenticating Agent.</w:t>
      </w:r>
      <w:r>
        <w:rPr>
          <w:rFonts w:ascii="Times New Roman" w:cs="Times New Roman" w:eastAsia="Times New Roman" w:hAnsi="Times New Roman"/>
          <w:sz w:val="16"/>
          <w:szCs w:val="16"/>
          <w:color w:val="auto"/>
        </w:rPr>
        <w:t xml:space="preserve"> The Trustee may appoint an authenticating agent that shall be authorized to act on its behalf and subject to its direction in the authentication and delivery of Notes in connection with the original issuance thereof and transfers and exchanges of Notes hereunder, including under Section 2.04, Section 2.05, Section 2.06, Section 2.07, Section 10.04 and Section 15.04 as fully to all intents and purposes as though the authenticating agent had been expressly authorized by this Indenture and those Sections to authenticate and deliver Notes. For all purposes of this Indenture, the authentication and delivery of Notes by the authenticating agent shall be deemed to be authentication and delivery of such Notes “by the Trustee” and a certificate of authentication executed on behalf of the Trustee by an authenticating agent shall be deemed to satisfy any requirement hereunder or in the Notes for the Trustee’s certificate of authentication. Such authenticating agent shall at all times be a Person eligible to serve as trustee hereunder pursuant to Section 7.08.</w:t>
      </w:r>
    </w:p>
    <w:p>
      <w:pPr>
        <w:spacing w:after="0" w:line="163"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6"/>
          <w:szCs w:val="16"/>
          <w:color w:val="auto"/>
        </w:rPr>
        <w:t>Any corporation or other entity into which any authenticating agent may be merged or converted or with which it may be consolidated, or any corporation or other entity resulting from any merger, consolidation or conversion to which any authenticating agent shall be a party, or any corporation or other entity succeeding to the corporate trust business of any authenticating agent, shall be the successor of the authenticating agent hereunder, if such successor corporation or other entity is otherwise eligible under this Section 18.10, without the execution or filing of any paper or any further act on the part of the parties hereto or the authenticating agent or such successor corporation or other entity.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01" w:name="page102"/>
    <w:bookmarkEnd w:id="101"/>
    <w:p>
      <w:pPr>
        <w:jc w:val="both"/>
        <w:ind w:right="20" w:firstLine="382"/>
        <w:spacing w:after="0" w:line="259" w:lineRule="auto"/>
        <w:rPr>
          <w:sz w:val="20"/>
          <w:szCs w:val="20"/>
          <w:color w:val="auto"/>
        </w:rPr>
      </w:pPr>
      <w:r>
        <w:rPr>
          <w:rFonts w:ascii="Times New Roman" w:cs="Times New Roman" w:eastAsia="Times New Roman" w:hAnsi="Times New Roman"/>
          <w:sz w:val="16"/>
          <w:szCs w:val="16"/>
          <w:color w:val="auto"/>
        </w:rPr>
        <w:t>Any authenticating agent may at any time resign by giving written notice of resignation to the Trustee and to the Company. The Trustee may at any time terminate the agency of any authenticating agent by giving written notice of termination to such authenticating agent and to the Company. Upon receiving such a notice of resignation or upon such a termination, or in case at any time any authenticating agent shall cease to be eligible under this Section, the Trustee may appoint a successor authenticating agent (which may be the Trustee), shall give written notice of such appointment to the Company and shall deliver notice of such appointment to all Holders.</w:t>
      </w:r>
    </w:p>
    <w:p>
      <w:pPr>
        <w:spacing w:after="0" w:line="162" w:lineRule="exact"/>
        <w:rPr>
          <w:sz w:val="20"/>
          <w:szCs w:val="20"/>
          <w:color w:val="auto"/>
        </w:rPr>
      </w:pPr>
    </w:p>
    <w:p>
      <w:pPr>
        <w:jc w:val="both"/>
        <w:ind w:firstLine="382"/>
        <w:spacing w:after="0" w:line="280" w:lineRule="auto"/>
        <w:rPr>
          <w:sz w:val="20"/>
          <w:szCs w:val="20"/>
          <w:color w:val="auto"/>
        </w:rPr>
      </w:pPr>
      <w:r>
        <w:rPr>
          <w:rFonts w:ascii="Times New Roman" w:cs="Times New Roman" w:eastAsia="Times New Roman" w:hAnsi="Times New Roman"/>
          <w:sz w:val="16"/>
          <w:szCs w:val="16"/>
          <w:color w:val="auto"/>
        </w:rPr>
        <w:t>The Company agrees to pay to the authenticating agent from time to time reasonable compensation for its services although the Company may terminate the authenticating agent, if it determines such agent’s fees to be unreasonable.</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provisions of Section 7.02, Section 7.03, Section 7.04, Section 8.03 and this Section 18.10 shall be applicable to any authenticating agent.</w:t>
      </w:r>
    </w:p>
    <w:p>
      <w:pPr>
        <w:spacing w:after="0" w:line="198"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If an authenticating agent is appointed pursuant to this Section 18.10, the Notes may have endorsed thereon, in addition to the Trustee’s certificate of authentication, an alternative certificate of authentication in the following form: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Authenticating Agent, certifies that this is one of the Notes described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within-named Indenture.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______________________________________________</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Authorized Signatory</w:t>
      </w:r>
    </w:p>
    <w:p>
      <w:pPr>
        <w:spacing w:after="0" w:line="180"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6"/>
          <w:szCs w:val="16"/>
          <w:color w:val="auto"/>
        </w:rPr>
        <w:t xml:space="preserve">Section 18.11. </w:t>
      </w:r>
      <w:r>
        <w:rPr>
          <w:rFonts w:ascii="Times New Roman" w:cs="Times New Roman" w:eastAsia="Times New Roman" w:hAnsi="Times New Roman"/>
          <w:sz w:val="16"/>
          <w:szCs w:val="16"/>
          <w:i w:val="1"/>
          <w:iCs w:val="1"/>
          <w:color w:val="auto"/>
        </w:rPr>
        <w:t>Execution in Counterparts.</w:t>
      </w:r>
      <w:r>
        <w:rPr>
          <w:rFonts w:ascii="Times New Roman" w:cs="Times New Roman" w:eastAsia="Times New Roman" w:hAnsi="Times New Roman"/>
          <w:sz w:val="16"/>
          <w:szCs w:val="16"/>
          <w:color w:val="auto"/>
        </w:rPr>
        <w:t xml:space="preserve"> This Indenture may be executed in any number of counterparts, each of which shall be an original, but such counterparts shall together constitute but one and the same instrument. The exchange of copies of this Indenture and of signature pages by facsimile, PDF or other electronic transmission shall constitute effective execution and delivery of this Indenture as to the parties hereto and may be used in lieu of the original Indenture for all purposes. Signatures of the parties hereto transmitted by facsimile, PDF or other electronic transmission shall constitute effective execution and delivery of this Indenture as to the other parties hereto shall be deemed to be their original signatures for all purposes.</w:t>
      </w:r>
    </w:p>
    <w:p>
      <w:pPr>
        <w:spacing w:after="0" w:line="164" w:lineRule="exact"/>
        <w:rPr>
          <w:sz w:val="20"/>
          <w:szCs w:val="20"/>
          <w:color w:val="auto"/>
        </w:rPr>
      </w:pPr>
    </w:p>
    <w:p>
      <w:pPr>
        <w:jc w:val="both"/>
        <w:ind w:right="20" w:firstLine="382"/>
        <w:spacing w:after="0" w:line="257" w:lineRule="auto"/>
        <w:rPr>
          <w:sz w:val="20"/>
          <w:szCs w:val="20"/>
          <w:color w:val="auto"/>
        </w:rPr>
      </w:pPr>
      <w:r>
        <w:rPr>
          <w:rFonts w:ascii="Times New Roman" w:cs="Times New Roman" w:eastAsia="Times New Roman" w:hAnsi="Times New Roman"/>
          <w:sz w:val="16"/>
          <w:szCs w:val="16"/>
          <w:color w:val="auto"/>
        </w:rPr>
        <w:t>All notices, approvals, consents, requests and any communications hereunder must be in writing (provided that any communication sent to Trustee hereunder that is required to be signed must be in the form of a document that is signed manually or by way of a digital signature provided by DocuSign (or such other digital signature provider as specified in writing to Trustee by the Company)), in English. The Company agrees to assume all risks arising out of the use of digital signatures and electronic methods to submit communications to Trustee, including, without limitation, the risk of the Trustee acting on unauthorized instructions, and the risk of interception and misuse by third parties.</w:t>
      </w:r>
    </w:p>
    <w:p>
      <w:pPr>
        <w:spacing w:after="0" w:line="160" w:lineRule="exact"/>
        <w:rPr>
          <w:sz w:val="20"/>
          <w:szCs w:val="20"/>
          <w:color w:val="auto"/>
        </w:rPr>
      </w:pPr>
    </w:p>
    <w:p>
      <w:pPr>
        <w:jc w:val="both"/>
        <w:ind w:firstLine="382"/>
        <w:spacing w:after="0" w:line="283" w:lineRule="auto"/>
        <w:rPr>
          <w:sz w:val="20"/>
          <w:szCs w:val="20"/>
          <w:color w:val="auto"/>
        </w:rPr>
      </w:pPr>
      <w:r>
        <w:rPr>
          <w:rFonts w:ascii="Times New Roman" w:cs="Times New Roman" w:eastAsia="Times New Roman" w:hAnsi="Times New Roman"/>
          <w:sz w:val="16"/>
          <w:szCs w:val="16"/>
          <w:color w:val="auto"/>
        </w:rPr>
        <w:t xml:space="preserve">Section 18.12. </w:t>
      </w:r>
      <w:r>
        <w:rPr>
          <w:rFonts w:ascii="Times New Roman" w:cs="Times New Roman" w:eastAsia="Times New Roman" w:hAnsi="Times New Roman"/>
          <w:sz w:val="16"/>
          <w:szCs w:val="16"/>
          <w:i w:val="1"/>
          <w:iCs w:val="1"/>
          <w:color w:val="auto"/>
        </w:rPr>
        <w:t>Severability.</w:t>
      </w:r>
      <w:r>
        <w:rPr>
          <w:rFonts w:ascii="Times New Roman" w:cs="Times New Roman" w:eastAsia="Times New Roman" w:hAnsi="Times New Roman"/>
          <w:sz w:val="16"/>
          <w:szCs w:val="16"/>
          <w:color w:val="auto"/>
        </w:rPr>
        <w:t xml:space="preserve"> In the event any provision of this Indenture or in the Notes shall be invalid, illegal or unenforceable, then (to the extent permitted by law) the validity, legality or enforceability of the remaining provisions shall not in any way be affected or impaired.</w:t>
      </w:r>
    </w:p>
    <w:p>
      <w:pPr>
        <w:spacing w:after="0" w:line="140" w:lineRule="exact"/>
        <w:rPr>
          <w:sz w:val="20"/>
          <w:szCs w:val="20"/>
          <w:color w:val="auto"/>
        </w:rPr>
      </w:pPr>
    </w:p>
    <w:p>
      <w:pPr>
        <w:jc w:val="both"/>
        <w:ind w:right="20" w:firstLine="382"/>
        <w:spacing w:after="0" w:line="266" w:lineRule="auto"/>
        <w:rPr>
          <w:sz w:val="20"/>
          <w:szCs w:val="20"/>
          <w:color w:val="auto"/>
        </w:rPr>
      </w:pPr>
      <w:r>
        <w:rPr>
          <w:rFonts w:ascii="Times New Roman" w:cs="Times New Roman" w:eastAsia="Times New Roman" w:hAnsi="Times New Roman"/>
          <w:sz w:val="16"/>
          <w:szCs w:val="16"/>
          <w:color w:val="auto"/>
        </w:rPr>
        <w:t xml:space="preserve">Section 18.13. </w:t>
      </w:r>
      <w:r>
        <w:rPr>
          <w:rFonts w:ascii="Times New Roman" w:cs="Times New Roman" w:eastAsia="Times New Roman" w:hAnsi="Times New Roman"/>
          <w:sz w:val="16"/>
          <w:szCs w:val="16"/>
          <w:i w:val="1"/>
          <w:iCs w:val="1"/>
          <w:color w:val="auto"/>
        </w:rPr>
        <w:t>Waiver of Jury Trial.</w:t>
      </w:r>
      <w:r>
        <w:rPr>
          <w:rFonts w:ascii="Times New Roman" w:cs="Times New Roman" w:eastAsia="Times New Roman" w:hAnsi="Times New Roman"/>
          <w:sz w:val="16"/>
          <w:szCs w:val="16"/>
          <w:color w:val="auto"/>
        </w:rPr>
        <w:t xml:space="preserve"> EACH OF THE COMPANY AND THE TRUSTEE HEREBY IRREVOCABLY WAIVES, TO THE FULLEST EXTENT PERMITTED BY APPLICABLE LAW, ANY AND ALL RIGHT TO TRIAL BY JURY IN ANY LEGAL PROCEEDING ARISING OUT OF OR RELATING TO THIS INDENTURE, THE NOTES OR THE TRANSACTIONS CONTEMPLATED HEREBY.</w:t>
      </w:r>
    </w:p>
    <w:p>
      <w:pPr>
        <w:spacing w:after="0" w:line="153" w:lineRule="exact"/>
        <w:rPr>
          <w:sz w:val="20"/>
          <w:szCs w:val="20"/>
          <w:color w:val="auto"/>
        </w:rPr>
      </w:pPr>
    </w:p>
    <w:p>
      <w:pPr>
        <w:jc w:val="both"/>
        <w:ind w:right="20" w:firstLine="382"/>
        <w:spacing w:after="0" w:line="257" w:lineRule="auto"/>
        <w:rPr>
          <w:sz w:val="20"/>
          <w:szCs w:val="20"/>
          <w:color w:val="auto"/>
        </w:rPr>
      </w:pPr>
      <w:r>
        <w:rPr>
          <w:rFonts w:ascii="Times New Roman" w:cs="Times New Roman" w:eastAsia="Times New Roman" w:hAnsi="Times New Roman"/>
          <w:sz w:val="16"/>
          <w:szCs w:val="16"/>
          <w:color w:val="auto"/>
        </w:rPr>
        <w:t xml:space="preserve">Section 18.14. </w:t>
      </w:r>
      <w:r>
        <w:rPr>
          <w:rFonts w:ascii="Times New Roman" w:cs="Times New Roman" w:eastAsia="Times New Roman" w:hAnsi="Times New Roman"/>
          <w:sz w:val="16"/>
          <w:szCs w:val="16"/>
          <w:i w:val="1"/>
          <w:iCs w:val="1"/>
          <w:color w:val="auto"/>
        </w:rPr>
        <w:t>Force Majeure.</w:t>
      </w:r>
      <w:r>
        <w:rPr>
          <w:rFonts w:ascii="Times New Roman" w:cs="Times New Roman" w:eastAsia="Times New Roman" w:hAnsi="Times New Roman"/>
          <w:sz w:val="16"/>
          <w:szCs w:val="16"/>
          <w:color w:val="auto"/>
        </w:rPr>
        <w:t xml:space="preserve"> In no event shall the Trustee be responsible or liable for any failure or delay in the performance of its obligations hereunder arising out of or caused by, directly or indirectly, forces beyond its control, including, without limitation, strikes, work stoppages, accidents, epidemics, pandemics,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that are consistent with accepted practices in the banking industry to resume performance as soon as practicable under the circumstances.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02" w:name="page103"/>
    <w:bookmarkEnd w:id="102"/>
    <w:p>
      <w:pPr>
        <w:jc w:val="both"/>
        <w:ind w:firstLine="382"/>
        <w:spacing w:after="0" w:line="255" w:lineRule="auto"/>
        <w:rPr>
          <w:sz w:val="20"/>
          <w:szCs w:val="20"/>
          <w:color w:val="auto"/>
        </w:rPr>
      </w:pPr>
      <w:r>
        <w:rPr>
          <w:rFonts w:ascii="Times New Roman" w:cs="Times New Roman" w:eastAsia="Times New Roman" w:hAnsi="Times New Roman"/>
          <w:sz w:val="16"/>
          <w:szCs w:val="16"/>
          <w:color w:val="auto"/>
        </w:rPr>
        <w:t xml:space="preserve">Section 18.15. </w:t>
      </w:r>
      <w:r>
        <w:rPr>
          <w:rFonts w:ascii="Times New Roman" w:cs="Times New Roman" w:eastAsia="Times New Roman" w:hAnsi="Times New Roman"/>
          <w:sz w:val="16"/>
          <w:szCs w:val="16"/>
          <w:i w:val="1"/>
          <w:iCs w:val="1"/>
          <w:color w:val="auto"/>
        </w:rPr>
        <w:t>Calculations.</w:t>
      </w:r>
      <w:r>
        <w:rPr>
          <w:rFonts w:ascii="Times New Roman" w:cs="Times New Roman" w:eastAsia="Times New Roman" w:hAnsi="Times New Roman"/>
          <w:sz w:val="16"/>
          <w:szCs w:val="16"/>
          <w:color w:val="auto"/>
        </w:rPr>
        <w:t xml:space="preserve"> Except as otherwise provided herein, the Company shall be responsible for making all calculations called for under the Notes. These calculations include, but are not limited to, determinations of the Redemption Price, Last Reported Sale Prices of the Common Stock, the Daily VWAPs, the Daily Conversion Values, the Daily Settlement Amounts, accrued interest payable on the Notes, any Additional Interest payable on the Notes, the Conversion Rate of the Notes, and the Trading Price of the Notes for purposes of determining whether the Notes are convertible as described in this Indenture. The Company shall make all of these calculations in good faith and, absent manifest error, the Company’s calculations shall be final and binding on Holders of Notes. The Company shall provide a schedule of its calculations to each of the Trustee and the Conversion Agent, and each of the Trustee and Conversion Agent is entitled to rely conclusively upon the accuracy of the Company’s calculations without independent verification. The Company will forward its calculations to any Holder of Notes upon the written request of that Holder.</w:t>
      </w:r>
    </w:p>
    <w:p>
      <w:pPr>
        <w:spacing w:after="0" w:line="161" w:lineRule="exact"/>
        <w:rPr>
          <w:sz w:val="20"/>
          <w:szCs w:val="20"/>
          <w:color w:val="auto"/>
        </w:rPr>
      </w:pPr>
    </w:p>
    <w:p>
      <w:pPr>
        <w:jc w:val="both"/>
        <w:ind w:right="20" w:firstLine="382"/>
        <w:spacing w:after="0" w:line="260" w:lineRule="auto"/>
        <w:rPr>
          <w:sz w:val="20"/>
          <w:szCs w:val="20"/>
          <w:color w:val="auto"/>
        </w:rPr>
      </w:pPr>
      <w:r>
        <w:rPr>
          <w:rFonts w:ascii="Times New Roman" w:cs="Times New Roman" w:eastAsia="Times New Roman" w:hAnsi="Times New Roman"/>
          <w:sz w:val="16"/>
          <w:szCs w:val="16"/>
          <w:color w:val="auto"/>
        </w:rPr>
        <w:t xml:space="preserve">Section 18.16. </w:t>
      </w:r>
      <w:r>
        <w:rPr>
          <w:rFonts w:ascii="Times New Roman" w:cs="Times New Roman" w:eastAsia="Times New Roman" w:hAnsi="Times New Roman"/>
          <w:sz w:val="16"/>
          <w:szCs w:val="16"/>
          <w:i w:val="1"/>
          <w:iCs w:val="1"/>
          <w:color w:val="auto"/>
        </w:rPr>
        <w:t>USA PATRIOT Act.</w:t>
      </w:r>
      <w:r>
        <w:rPr>
          <w:rFonts w:ascii="Times New Roman" w:cs="Times New Roman" w:eastAsia="Times New Roman" w:hAnsi="Times New Roman"/>
          <w:sz w:val="16"/>
          <w:szCs w:val="16"/>
          <w:color w:val="auto"/>
        </w:rPr>
        <w:t xml:space="preserve">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Remainder of page intentionally left blank</w:t>
      </w:r>
      <w:r>
        <w:rPr>
          <w:rFonts w:ascii="Times New Roman" w:cs="Times New Roman" w:eastAsia="Times New Roman" w:hAnsi="Times New Roman"/>
          <w:sz w:val="16"/>
          <w:szCs w:val="16"/>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color w:val="auto"/>
        </w:rPr>
        <w:t>IN WITNESS WHEREOF, the parties hereto have caused this Indenture to be duly executed as of the date first written above.</w:t>
      </w:r>
    </w:p>
    <w:p>
      <w:pPr>
        <w:spacing w:after="0" w:line="198"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4407535</wp:posOffset>
            </wp:positionH>
            <wp:positionV relativeFrom="paragraph">
              <wp:posOffset>7620</wp:posOffset>
            </wp:positionV>
            <wp:extent cx="2496820" cy="1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ind w:left="6380"/>
        <w:spacing w:after="0"/>
        <w:tabs>
          <w:tab w:leader="none" w:pos="692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[Rajat Suri]</w:t>
      </w:r>
    </w:p>
    <w:p>
      <w:pPr>
        <w:spacing w:after="0" w:line="19" w:lineRule="exact"/>
        <w:rPr>
          <w:sz w:val="20"/>
          <w:szCs w:val="20"/>
          <w:color w:val="auto"/>
        </w:rPr>
      </w:pPr>
    </w:p>
    <w:p>
      <w:pPr>
        <w:ind w:left="6380"/>
        <w:spacing w:after="0"/>
        <w:tabs>
          <w:tab w:leader="none" w:pos="6920" w:val="left"/>
        </w:tabs>
        <w:rPr>
          <w:sz w:val="20"/>
          <w:szCs w:val="20"/>
          <w:color w:val="auto"/>
        </w:rPr>
      </w:pPr>
      <w:r>
        <w:rPr>
          <w:rFonts w:ascii="Times New Roman" w:cs="Times New Roman" w:eastAsia="Times New Roman" w:hAnsi="Times New Roman"/>
          <w:sz w:val="16"/>
          <w:szCs w:val="16"/>
          <w:color w:val="auto"/>
        </w:rPr>
        <w:t>Title:</w:t>
        <w:tab/>
        <w:t>[Chief Executive Officer]</w:t>
      </w:r>
    </w:p>
    <w:p>
      <w:pPr>
        <w:spacing w:after="0" w:line="182"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5"/>
          <w:szCs w:val="15"/>
          <w:color w:val="auto"/>
        </w:rPr>
        <w:t>U.S. Bank National Association, as</w:t>
      </w:r>
    </w:p>
    <w:p>
      <w:pPr>
        <w:spacing w:after="0" w:line="35"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Trustee</w:t>
      </w:r>
    </w:p>
    <w:p>
      <w:pPr>
        <w:spacing w:after="0" w:line="110"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4407535</wp:posOffset>
            </wp:positionH>
            <wp:positionV relativeFrom="paragraph">
              <wp:posOffset>15240</wp:posOffset>
            </wp:positionV>
            <wp:extent cx="2496820" cy="1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Name:</w:t>
      </w:r>
    </w:p>
    <w:p>
      <w:pPr>
        <w:spacing w:after="0" w:line="19"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Title:</w:t>
      </w:r>
    </w:p>
    <w:p>
      <w:pPr>
        <w:spacing w:after="0" w:line="38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15240</wp:posOffset>
            </wp:positionV>
            <wp:extent cx="7148195"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759"/>
          </w:cols>
          <w:pgMar w:left="700" w:top="816" w:right="1440" w:bottom="1440" w:gutter="0" w:footer="0" w:header="0"/>
        </w:sectPr>
      </w:pPr>
    </w:p>
    <w:bookmarkStart w:id="104" w:name="page105"/>
    <w:bookmarkEnd w:id="104"/>
    <w:p>
      <w:pPr>
        <w:ind w:left="10424"/>
        <w:spacing w:after="0"/>
        <w:rPr>
          <w:sz w:val="20"/>
          <w:szCs w:val="20"/>
          <w:color w:val="auto"/>
        </w:rPr>
      </w:pPr>
      <w:r>
        <w:rPr>
          <w:rFonts w:ascii="Times New Roman" w:cs="Times New Roman" w:eastAsia="Times New Roman" w:hAnsi="Times New Roman"/>
          <w:sz w:val="15"/>
          <w:szCs w:val="15"/>
          <w:b w:val="1"/>
          <w:bCs w:val="1"/>
          <w:color w:val="auto"/>
        </w:rPr>
        <w:t>EXHIBIT A</w:t>
      </w:r>
    </w:p>
    <w:p>
      <w:pPr>
        <w:spacing w:after="0" w:line="2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[FORM OF FACE OF NOTE]</w:t>
      </w:r>
    </w:p>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[INCLUDE FOLLOWING LEGEND IF A GLOBAL NOTE]</w:t>
      </w:r>
    </w:p>
    <w:p>
      <w:pPr>
        <w:spacing w:after="0" w:line="198" w:lineRule="exact"/>
        <w:rPr>
          <w:sz w:val="20"/>
          <w:szCs w:val="20"/>
          <w:color w:val="auto"/>
        </w:rPr>
      </w:pPr>
    </w:p>
    <w:p>
      <w:pPr>
        <w:jc w:val="both"/>
        <w:ind w:left="4" w:right="20"/>
        <w:spacing w:after="0" w:line="255" w:lineRule="auto"/>
        <w:rPr>
          <w:sz w:val="20"/>
          <w:szCs w:val="20"/>
          <w:color w:val="auto"/>
        </w:rPr>
      </w:pPr>
      <w:r>
        <w:rPr>
          <w:rFonts w:ascii="Times New Roman" w:cs="Times New Roman" w:eastAsia="Times New Roman" w:hAnsi="Times New Roman"/>
          <w:sz w:val="16"/>
          <w:szCs w:val="16"/>
          <w:color w:val="auto"/>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HEREUNDER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6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[INCLUDE FOLLOWING LEGEND IF A RESTRICTED SECURITY]</w:t>
      </w:r>
    </w:p>
    <w:p>
      <w:pPr>
        <w:spacing w:after="0" w:line="198" w:lineRule="exact"/>
        <w:rPr>
          <w:sz w:val="20"/>
          <w:szCs w:val="20"/>
          <w:color w:val="auto"/>
        </w:rPr>
      </w:pPr>
    </w:p>
    <w:p>
      <w:pPr>
        <w:jc w:val="both"/>
        <w:ind w:left="4"/>
        <w:spacing w:after="0" w:line="290" w:lineRule="auto"/>
        <w:rPr>
          <w:sz w:val="20"/>
          <w:szCs w:val="20"/>
          <w:color w:val="auto"/>
        </w:rPr>
      </w:pPr>
      <w:r>
        <w:rPr>
          <w:rFonts w:ascii="Times New Roman" w:cs="Times New Roman" w:eastAsia="Times New Roman" w:hAnsi="Times New Roman"/>
          <w:sz w:val="15"/>
          <w:szCs w:val="15"/>
          <w:color w:val="auto"/>
        </w:rPr>
        <w:t>[THIS SECURITY AND THE COMMON STOCK, IF ANY, ISSUABLE UPON CONVERSION OF THIS SECURITY HAVE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spacing w:after="0" w:line="140" w:lineRule="exact"/>
        <w:rPr>
          <w:sz w:val="20"/>
          <w:szCs w:val="20"/>
          <w:color w:val="auto"/>
        </w:rPr>
      </w:pPr>
    </w:p>
    <w:p>
      <w:pPr>
        <w:jc w:val="both"/>
        <w:ind w:left="564" w:right="20"/>
        <w:spacing w:after="0" w:line="259" w:lineRule="auto"/>
        <w:rPr>
          <w:sz w:val="20"/>
          <w:szCs w:val="20"/>
          <w:color w:val="auto"/>
        </w:rPr>
      </w:pPr>
      <w:r>
        <w:rPr>
          <w:rFonts w:ascii="Times New Roman" w:cs="Times New Roman" w:eastAsia="Times New Roman" w:hAnsi="Times New Roman"/>
          <w:sz w:val="16"/>
          <w:szCs w:val="16"/>
          <w:color w:val="auto"/>
        </w:rPr>
        <w:t>AGREES FOR THE BENEFIT OF [●] (THE “COMPANY”) THAT IT WILL NOT OFFER, SELL, PLEDGE OR OTHERWISE TRANSFER THIS SECURITY OR ANY BENEFICIAL INTEREST 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spacing w:after="0" w:line="162" w:lineRule="exact"/>
        <w:rPr>
          <w:sz w:val="20"/>
          <w:szCs w:val="20"/>
          <w:color w:val="auto"/>
        </w:rPr>
      </w:pPr>
    </w:p>
    <w:p>
      <w:pPr>
        <w:ind w:left="864" w:hanging="291"/>
        <w:spacing w:after="0"/>
        <w:tabs>
          <w:tab w:leader="none" w:pos="864"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COMPANY OR ANY SUBSIDIARY THEREOF, OR</w:t>
      </w:r>
    </w:p>
    <w:p>
      <w:pPr>
        <w:spacing w:after="0" w:line="198" w:lineRule="exact"/>
        <w:rPr>
          <w:rFonts w:ascii="Times New Roman" w:cs="Times New Roman" w:eastAsia="Times New Roman" w:hAnsi="Times New Roman"/>
          <w:sz w:val="16"/>
          <w:szCs w:val="16"/>
          <w:color w:val="auto"/>
        </w:rPr>
      </w:pPr>
    </w:p>
    <w:p>
      <w:pPr>
        <w:ind w:left="864" w:right="360" w:hanging="291"/>
        <w:spacing w:after="0" w:line="280" w:lineRule="auto"/>
        <w:tabs>
          <w:tab w:leader="none" w:pos="864"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A REGISTRATION STATEMENT THAT HAS BECOME EFFECTIVE UNDER THE SECURITIES ACT AND IS EFFECTIVE AT THE TIME OF SUCH TRANSFER, OR</w:t>
      </w:r>
    </w:p>
    <w:p>
      <w:pPr>
        <w:spacing w:after="0" w:line="144" w:lineRule="exact"/>
        <w:rPr>
          <w:rFonts w:ascii="Times New Roman" w:cs="Times New Roman" w:eastAsia="Times New Roman" w:hAnsi="Times New Roman"/>
          <w:sz w:val="16"/>
          <w:szCs w:val="16"/>
          <w:color w:val="auto"/>
        </w:rPr>
      </w:pPr>
    </w:p>
    <w:p>
      <w:pPr>
        <w:ind w:left="864" w:right="580" w:hanging="291"/>
        <w:spacing w:after="0" w:line="280" w:lineRule="auto"/>
        <w:tabs>
          <w:tab w:leader="none" w:pos="864"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 PERSON REASONABLY BELIEVED TO BE A QUALIFIED INSTITUTIONAL BUYER IN COMPLIANCE WITH RULE 144A UNDER THE SECURITIES ACT, OR</w:t>
      </w:r>
    </w:p>
    <w:p>
      <w:pPr>
        <w:spacing w:after="0" w:line="144" w:lineRule="exact"/>
        <w:rPr>
          <w:rFonts w:ascii="Times New Roman" w:cs="Times New Roman" w:eastAsia="Times New Roman" w:hAnsi="Times New Roman"/>
          <w:sz w:val="16"/>
          <w:szCs w:val="16"/>
          <w:color w:val="auto"/>
        </w:rPr>
      </w:pPr>
    </w:p>
    <w:p>
      <w:pPr>
        <w:ind w:left="864" w:right="200" w:hanging="291"/>
        <w:spacing w:after="0" w:line="280" w:lineRule="auto"/>
        <w:tabs>
          <w:tab w:leader="none" w:pos="864"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AN EXEMPTION FROM REGISTRATION PROVIDED BY RULE 144 UNDER THE SECURITIES ACT OR ANY OTHER AVAILABLE EXEMPTION FROM THE REGISTRATION REQUIREMENTS OF THE SECURITIES ACT.</w:t>
      </w:r>
    </w:p>
    <w:p>
      <w:pPr>
        <w:spacing w:after="0" w:line="144" w:lineRule="exact"/>
        <w:rPr>
          <w:sz w:val="20"/>
          <w:szCs w:val="20"/>
          <w:color w:val="auto"/>
        </w:rPr>
      </w:pPr>
    </w:p>
    <w:p>
      <w:pPr>
        <w:jc w:val="both"/>
        <w:ind w:left="4" w:firstLine="382"/>
        <w:spacing w:after="0" w:line="257" w:lineRule="auto"/>
        <w:rPr>
          <w:sz w:val="20"/>
          <w:szCs w:val="20"/>
          <w:color w:val="auto"/>
        </w:rPr>
      </w:pPr>
      <w:r>
        <w:rPr>
          <w:rFonts w:ascii="Times New Roman" w:cs="Times New Roman" w:eastAsia="Times New Roman" w:hAnsi="Times New Roman"/>
          <w:sz w:val="16"/>
          <w:szCs w:val="16"/>
          <w:color w:val="auto"/>
        </w:rPr>
        <w:t>PRIOR TO THE REGISTRATION OF ANY TRANSFER IN ACCORDANCE WITH CLAUSE (2)(D) ABOVE, THE COMPANY AND THE TRUSTEE RESERVE THE RIGHT TO REQUIRE THE DELIVERY OF SUCH LEGAL OPINIONS, CERTIFICATIONS OR OTHER EVIDENCE AS MAY REASONABLY BE REQUIRED IN ORDER FOR THE COMPANY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62" w:lineRule="exact"/>
        <w:rPr>
          <w:sz w:val="20"/>
          <w:szCs w:val="20"/>
          <w:color w:val="auto"/>
        </w:rPr>
      </w:pPr>
    </w:p>
    <w:p>
      <w:pPr>
        <w:jc w:val="both"/>
        <w:ind w:left="4" w:right="20"/>
        <w:spacing w:after="0" w:line="274" w:lineRule="auto"/>
        <w:rPr>
          <w:sz w:val="20"/>
          <w:szCs w:val="20"/>
          <w:color w:val="auto"/>
        </w:rPr>
      </w:pPr>
      <w:r>
        <w:rPr>
          <w:rFonts w:ascii="Times New Roman" w:cs="Times New Roman" w:eastAsia="Times New Roman" w:hAnsi="Times New Roman"/>
          <w:sz w:val="16"/>
          <w:szCs w:val="16"/>
          <w:color w:val="auto"/>
        </w:rPr>
        <w:t>NO AFFILIATE (AS DEFINED IN RULE 144 UNDER THE SECURITIES ACT) OF [●] OR PERSON THAT HAS BEEN AN AFFILIATE (AS DEFINED IN RULE 144 UNDER THE SECURITIES ACT) OF [●] DURING THE PRECEDING THREE MONTHS MAY PURCHASE, OTHERWISE ACQUIRE OR HOLD THIS SECURITY OR A BENEFICIAL INTEREST HEREIN.]</w:t>
      </w:r>
      <w:r>
        <w:rPr>
          <w:rFonts w:ascii="Times New Roman" w:cs="Times New Roman" w:eastAsia="Times New Roman" w:hAnsi="Times New Roman"/>
          <w:sz w:val="26"/>
          <w:szCs w:val="26"/>
          <w:color w:val="auto"/>
          <w:vertAlign w:val="superscript"/>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1790700"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55" w:lineRule="exact"/>
        <w:rPr>
          <w:sz w:val="20"/>
          <w:szCs w:val="20"/>
          <w:color w:val="auto"/>
        </w:rPr>
      </w:pPr>
    </w:p>
    <w:p>
      <w:pPr>
        <w:ind w:left="284" w:hanging="284"/>
        <w:spacing w:after="0" w:line="280" w:lineRule="auto"/>
        <w:tabs>
          <w:tab w:leader="none" w:pos="284"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Restrictive Legend shall be deemed removed from the face of this Note without further action by the Company, Trustee or the Holders of this Note at such time and in the manner provided under Section 2.05 of the Indenture.</w:t>
      </w:r>
    </w:p>
    <w:p>
      <w:pPr>
        <w:spacing w:after="0" w:line="33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105" w:name="page106"/>
    <w:bookmarkEnd w:id="105"/>
    <w:p>
      <w:pPr>
        <w:jc w:val="center"/>
        <w:ind w:right="-3"/>
        <w:spacing w:after="0"/>
        <w:rPr>
          <w:sz w:val="20"/>
          <w:szCs w:val="20"/>
          <w:color w:val="auto"/>
        </w:rPr>
      </w:pP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15.0% Cash + 5.0% PIK Convertible Senior Notes due 2026</w:t>
      </w:r>
    </w:p>
    <w:p>
      <w:pPr>
        <w:spacing w:after="0" w:line="20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No. [_] [Initially]</w:t>
      </w:r>
      <w:r>
        <w:rPr>
          <w:rFonts w:ascii="Times New Roman" w:cs="Times New Roman" w:eastAsia="Times New Roman" w:hAnsi="Times New Roman"/>
          <w:sz w:val="26"/>
          <w:szCs w:val="26"/>
          <w:color w:val="auto"/>
          <w:vertAlign w:val="superscript"/>
        </w:rPr>
        <w:t>16</w:t>
      </w:r>
      <w:r>
        <w:rPr>
          <w:rFonts w:ascii="Times New Roman" w:cs="Times New Roman" w:eastAsia="Times New Roman" w:hAnsi="Times New Roman"/>
          <w:sz w:val="16"/>
          <w:szCs w:val="16"/>
          <w:color w:val="auto"/>
        </w:rPr>
        <w:t xml:space="preserve"> $[_]</w:t>
      </w:r>
      <w:r>
        <w:rPr>
          <w:rFonts w:ascii="Times New Roman" w:cs="Times New Roman" w:eastAsia="Times New Roman" w:hAnsi="Times New Roman"/>
          <w:sz w:val="26"/>
          <w:szCs w:val="26"/>
          <w:color w:val="auto"/>
          <w:vertAlign w:val="superscript"/>
        </w:rPr>
        <w:t>17</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CUSIP No. [_]</w:t>
      </w:r>
      <w:r>
        <w:rPr>
          <w:rFonts w:ascii="Times New Roman" w:cs="Times New Roman" w:eastAsia="Times New Roman" w:hAnsi="Times New Roman"/>
          <w:sz w:val="26"/>
          <w:szCs w:val="26"/>
          <w:color w:val="auto"/>
          <w:vertAlign w:val="superscript"/>
        </w:rPr>
        <w:t>18</w:t>
      </w:r>
    </w:p>
    <w:p>
      <w:pPr>
        <w:spacing w:after="0" w:line="114" w:lineRule="exact"/>
        <w:rPr>
          <w:sz w:val="20"/>
          <w:szCs w:val="20"/>
          <w:color w:val="auto"/>
        </w:rPr>
      </w:pPr>
    </w:p>
    <w:p>
      <w:pPr>
        <w:jc w:val="both"/>
        <w:ind w:left="4"/>
        <w:spacing w:after="0" w:line="228" w:lineRule="auto"/>
        <w:rPr>
          <w:sz w:val="20"/>
          <w:szCs w:val="20"/>
          <w:color w:val="auto"/>
        </w:rPr>
      </w:pPr>
      <w:r>
        <w:rPr>
          <w:rFonts w:ascii="Times New Roman" w:cs="Times New Roman" w:eastAsia="Times New Roman" w:hAnsi="Times New Roman"/>
          <w:sz w:val="15"/>
          <w:szCs w:val="15"/>
          <w:color w:val="auto"/>
        </w:rPr>
        <w:t>[●], a corporation duly organized and validly existing under the laws of the State of Delaware (the “</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which term includes any successor corporation or other entity under the Indenture referred to on the reverse hereof), for value received hereby promises to pay to [CEDE &amp; CO.]</w:t>
      </w:r>
      <w:r>
        <w:rPr>
          <w:rFonts w:ascii="Times New Roman" w:cs="Times New Roman" w:eastAsia="Times New Roman" w:hAnsi="Times New Roman"/>
          <w:sz w:val="25"/>
          <w:szCs w:val="25"/>
          <w:color w:val="auto"/>
          <w:vertAlign w:val="superscript"/>
        </w:rPr>
        <w:t>19</w:t>
      </w:r>
      <w:r>
        <w:rPr>
          <w:rFonts w:ascii="Times New Roman" w:cs="Times New Roman" w:eastAsia="Times New Roman" w:hAnsi="Times New Roman"/>
          <w:sz w:val="15"/>
          <w:szCs w:val="15"/>
          <w:color w:val="auto"/>
        </w:rPr>
        <w:t xml:space="preserve"> [_]</w:t>
      </w:r>
      <w:r>
        <w:rPr>
          <w:rFonts w:ascii="Times New Roman" w:cs="Times New Roman" w:eastAsia="Times New Roman" w:hAnsi="Times New Roman"/>
          <w:sz w:val="25"/>
          <w:szCs w:val="25"/>
          <w:color w:val="auto"/>
          <w:vertAlign w:val="superscript"/>
        </w:rPr>
        <w:t>20</w:t>
      </w:r>
      <w:r>
        <w:rPr>
          <w:rFonts w:ascii="Times New Roman" w:cs="Times New Roman" w:eastAsia="Times New Roman" w:hAnsi="Times New Roman"/>
          <w:sz w:val="15"/>
          <w:szCs w:val="15"/>
          <w:color w:val="auto"/>
        </w:rPr>
        <w:t>, or registered assigns, the principal sum [as set forth</w:t>
      </w:r>
    </w:p>
    <w:p>
      <w:pPr>
        <w:spacing w:after="0" w:line="1" w:lineRule="exact"/>
        <w:rPr>
          <w:sz w:val="20"/>
          <w:szCs w:val="20"/>
          <w:color w:val="auto"/>
        </w:rPr>
      </w:pPr>
    </w:p>
    <w:p>
      <w:pPr>
        <w:jc w:val="both"/>
        <w:ind w:left="4"/>
        <w:spacing w:after="0" w:line="218" w:lineRule="auto"/>
        <w:rPr>
          <w:sz w:val="20"/>
          <w:szCs w:val="20"/>
          <w:color w:val="auto"/>
        </w:rPr>
      </w:pPr>
      <w:r>
        <w:rPr>
          <w:rFonts w:ascii="Times New Roman" w:cs="Times New Roman" w:eastAsia="Times New Roman" w:hAnsi="Times New Roman"/>
          <w:sz w:val="16"/>
          <w:szCs w:val="16"/>
          <w:color w:val="auto"/>
        </w:rPr>
        <w:t>in the “Schedule of Exchanges of Notes” attached hereto]</w:t>
      </w:r>
      <w:r>
        <w:rPr>
          <w:rFonts w:ascii="Times New Roman" w:cs="Times New Roman" w:eastAsia="Times New Roman" w:hAnsi="Times New Roman"/>
          <w:sz w:val="26"/>
          <w:szCs w:val="26"/>
          <w:color w:val="auto"/>
          <w:vertAlign w:val="superscript"/>
        </w:rPr>
        <w:t>21</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u w:val="single" w:color="auto"/>
          <w:color w:val="auto"/>
        </w:rPr>
        <w:t>_</w:t>
      </w:r>
      <w:r>
        <w:rPr>
          <w:rFonts w:ascii="Times New Roman" w:cs="Times New Roman" w:eastAsia="Times New Roman" w:hAnsi="Times New Roman"/>
          <w:sz w:val="16"/>
          <w:szCs w:val="16"/>
          <w:color w:val="auto"/>
        </w:rPr>
        <w:t>]]</w:t>
      </w:r>
      <w:r>
        <w:rPr>
          <w:rFonts w:ascii="Times New Roman" w:cs="Times New Roman" w:eastAsia="Times New Roman" w:hAnsi="Times New Roman"/>
          <w:sz w:val="26"/>
          <w:szCs w:val="26"/>
          <w:color w:val="auto"/>
          <w:vertAlign w:val="superscript"/>
        </w:rPr>
        <w:t>22</w:t>
      </w:r>
      <w:r>
        <w:rPr>
          <w:rFonts w:ascii="Times New Roman" w:cs="Times New Roman" w:eastAsia="Times New Roman" w:hAnsi="Times New Roman"/>
          <w:sz w:val="16"/>
          <w:szCs w:val="16"/>
          <w:color w:val="auto"/>
        </w:rPr>
        <w:t>, which amount, taken together with the principal amounts of all other outstanding Notes, shall not, unless permitted by the Indenture, exceed $25,000,000 (excluding PIK Notes), in accordance with the rules and applicable procedures of the Depositary, on [●], 2026, and interest thereon as set forth below.</w:t>
      </w:r>
    </w:p>
    <w:p>
      <w:pPr>
        <w:spacing w:after="0" w:line="177" w:lineRule="exact"/>
        <w:rPr>
          <w:sz w:val="20"/>
          <w:szCs w:val="20"/>
          <w:color w:val="auto"/>
        </w:rPr>
      </w:pPr>
    </w:p>
    <w:p>
      <w:pPr>
        <w:jc w:val="both"/>
        <w:ind w:left="4"/>
        <w:spacing w:after="0" w:line="252" w:lineRule="auto"/>
        <w:rPr>
          <w:sz w:val="20"/>
          <w:szCs w:val="20"/>
          <w:color w:val="auto"/>
        </w:rPr>
      </w:pPr>
      <w:r>
        <w:rPr>
          <w:rFonts w:ascii="Times New Roman" w:cs="Times New Roman" w:eastAsia="Times New Roman" w:hAnsi="Times New Roman"/>
          <w:sz w:val="16"/>
          <w:szCs w:val="16"/>
          <w:color w:val="auto"/>
        </w:rPr>
        <w:t>The Company shall pay Cash Interest and PIK Interest on each Interest Payment Date at an interest rate of 20.0% per annum on the principal amount of this Note from [●], 2022 until maturity. Cash Interest on this Note shall accrue at the rate of 15.0% per annum and shall be payable in cash. PIK Interest on this Note shall accrue, compounding on each Interest Payment Date, at the rate of 5.0% per annum and shall be payable either (x) by increasing the principal amount of the outstanding Note by an amount equal to the amount of PIK Interest for the applicable interest period (rounded up to the nearest $1.00) or (y) if the Notes are no longer held as Global Notes, by issuing PIK Notes in certificated form in an aggregate principal amount equal to the amount of PIK Interest for the period (rounded up to the nearest $1.00), and the Trustee will, at the request of the Company, authenticate and deliver such PIK Notes in certificated form for original issuance to the Holders on the relevant Regular Record Date, as shown by the records of the register of Holders. Following an increase in the principal amount of the outstanding Global Notes as a result of a PIK Payment, the Global Notes will bear interest on such increased principal amount from and after the date of such PIK Payment. All Notes issued pursuant to a PIK Payment will mature on the Maturity Date and will be governed by, and subject to the terms, provisions and conditions of, the Indenture and shall have the same rights and benefits as Notes issued on the Last Original Issue Date. Any certificated PIK Notes will be issued with the description “PIK” on the face of such PIK Note. Unless the context requires otherwise, references to Notes or the “principal” or the “principal amount” of Notes including for any purpose includes any increase in the principal amount of the Notes as a result of a PIK Payment.</w:t>
      </w:r>
    </w:p>
    <w:p>
      <w:pPr>
        <w:spacing w:after="0" w:line="169" w:lineRule="exact"/>
        <w:rPr>
          <w:sz w:val="20"/>
          <w:szCs w:val="20"/>
          <w:color w:val="auto"/>
        </w:rPr>
      </w:pPr>
    </w:p>
    <w:p>
      <w:pPr>
        <w:jc w:val="both"/>
        <w:ind w:left="4"/>
        <w:spacing w:after="0" w:line="257" w:lineRule="auto"/>
        <w:rPr>
          <w:sz w:val="20"/>
          <w:szCs w:val="20"/>
          <w:color w:val="auto"/>
        </w:rPr>
      </w:pPr>
      <w:r>
        <w:rPr>
          <w:rFonts w:ascii="Times New Roman" w:cs="Times New Roman" w:eastAsia="Times New Roman" w:hAnsi="Times New Roman"/>
          <w:sz w:val="16"/>
          <w:szCs w:val="16"/>
          <w:color w:val="auto"/>
        </w:rPr>
        <w:t>Interest is payable quarterly in arrears on each March 15, June 15, September 15 and December 15, commencing on [●], 2022, to Holders of record at the close of business on the preceding March 1, June 1, September 1 and December 1 (whether or not such day is a Business Day), respectively. Additional Interest will be payable as set forth in Section 4.06(d) and Section 6.03 of the within-mentioned Indenture, and any reference to interest on, or in respect of, any Note therein shall be deemed to include Additional Interest if, in such context, Additional Interest is, was or would be payable pursuant to any of such Section 4.06(d) or Section 6.03, and any express mention of the payment of Additional Interest in any provision therein shall not be construed as excluding Additional Interest in those provisions thereof where such express mention is not made.</w:t>
      </w:r>
    </w:p>
    <w:p>
      <w:pPr>
        <w:spacing w:after="0" w:line="162" w:lineRule="exact"/>
        <w:rPr>
          <w:sz w:val="20"/>
          <w:szCs w:val="20"/>
          <w:color w:val="auto"/>
        </w:rPr>
      </w:pPr>
    </w:p>
    <w:p>
      <w:pPr>
        <w:jc w:val="both"/>
        <w:ind w:left="4"/>
        <w:spacing w:after="0" w:line="265" w:lineRule="auto"/>
        <w:rPr>
          <w:sz w:val="20"/>
          <w:szCs w:val="20"/>
          <w:color w:val="auto"/>
        </w:rPr>
      </w:pPr>
      <w:r>
        <w:rPr>
          <w:rFonts w:ascii="Times New Roman" w:cs="Times New Roman" w:eastAsia="Times New Roman" w:hAnsi="Times New Roman"/>
          <w:sz w:val="16"/>
          <w:szCs w:val="16"/>
          <w:color w:val="auto"/>
        </w:rPr>
        <w:t>Any Defaulted Amounts shall accrue interest per annum at the rate borne by the Notes, subject to the enforceability thereof under applicable law, from, and including, the relevant payment date to, but excluding, the date on which such Defaulted Amounts shall have been paid in cash by the Company, at its election, in accordance with Section 2.03(c)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230505</wp:posOffset>
            </wp:positionV>
            <wp:extent cx="1790700" cy="15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362" w:lineRule="exact"/>
        <w:rPr>
          <w:sz w:val="20"/>
          <w:szCs w:val="20"/>
          <w:color w:val="auto"/>
        </w:rPr>
      </w:pPr>
    </w:p>
    <w:p>
      <w:pPr>
        <w:ind w:left="284" w:hanging="284"/>
        <w:spacing w:after="0"/>
        <w:tabs>
          <w:tab w:leader="none" w:pos="284"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 if a global note.</w:t>
      </w:r>
    </w:p>
    <w:p>
      <w:pPr>
        <w:spacing w:after="0" w:line="23"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be broken into multiple global notes.</w:t>
      </w:r>
    </w:p>
    <w:p>
      <w:pPr>
        <w:spacing w:after="0" w:line="7" w:lineRule="exact"/>
        <w:rPr>
          <w:rFonts w:ascii="Times New Roman" w:cs="Times New Roman" w:eastAsia="Times New Roman" w:hAnsi="Times New Roman"/>
          <w:sz w:val="16"/>
          <w:szCs w:val="16"/>
          <w:color w:val="auto"/>
        </w:rPr>
      </w:pPr>
    </w:p>
    <w:p>
      <w:pPr>
        <w:jc w:val="both"/>
        <w:ind w:left="284" w:hanging="284"/>
        <w:spacing w:after="0" w:line="249" w:lineRule="auto"/>
        <w:tabs>
          <w:tab w:leader="none" w:pos="284"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Note will be deemed to be identified by CUSIP No. [_] from and after such time when (i) the Company delivers, pursuant to Section 2.05(c) of the within-mentioned Indenture, written notice to the Trustee of the occurrence of the Resale Restriction Termination Date and the removal of the restrictive legend affixed to this Note and (ii) this Note is identified by such CUSIP number in accordance with the applicable procedures of the Depositary.</w:t>
      </w:r>
    </w:p>
    <w:p>
      <w:pPr>
        <w:ind w:left="284" w:hanging="284"/>
        <w:spacing w:after="0"/>
        <w:tabs>
          <w:tab w:leader="none" w:pos="284"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 if a global note.</w:t>
      </w:r>
    </w:p>
    <w:p>
      <w:pPr>
        <w:spacing w:after="0" w:line="7"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 if a physical note.</w:t>
      </w:r>
    </w:p>
    <w:p>
      <w:pPr>
        <w:spacing w:after="0" w:line="7"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 if a global note.</w:t>
      </w:r>
    </w:p>
    <w:p>
      <w:pPr>
        <w:spacing w:after="0" w:line="7"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 if a physical note.</w:t>
      </w:r>
    </w:p>
    <w:p>
      <w:pPr>
        <w:spacing w:after="0" w:line="37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4"/>
          </w:cols>
          <w:pgMar w:left="316" w:top="816" w:right="339" w:bottom="1440" w:gutter="0" w:footer="0" w:header="0"/>
        </w:sectPr>
      </w:pPr>
    </w:p>
    <w:bookmarkStart w:id="106" w:name="page107"/>
    <w:bookmarkEnd w:id="106"/>
    <w:p>
      <w:pPr>
        <w:jc w:val="both"/>
        <w:spacing w:after="0" w:line="257" w:lineRule="auto"/>
        <w:rPr>
          <w:sz w:val="20"/>
          <w:szCs w:val="20"/>
          <w:color w:val="auto"/>
        </w:rPr>
      </w:pPr>
      <w:r>
        <w:rPr>
          <w:rFonts w:ascii="Times New Roman" w:cs="Times New Roman" w:eastAsia="Times New Roman" w:hAnsi="Times New Roman"/>
          <w:sz w:val="16"/>
          <w:szCs w:val="16"/>
          <w:color w:val="auto"/>
        </w:rPr>
        <w:t>The Company shall pay the principal of, premium (if any) and any Cash Interest and Applicable Premium on each Note, if and so long as such Note is a Global Note, in immediately available funds to the Depositary or its nominee, as the case may be, as the registered Holder of such Note. The Company shall also pay PIK Interest as described above. As provided in and subject to the provisions of the Indenture, the Company shall pay the principal of and premium (if any) on any Notes (other than Notes that are Global Notes) at the office or agency designated by the Company for that purpose. The Company has initially designated the Trustee as its Paying Agent and Note Registrar in respect of the Notes and its agency in the United States, as a place where Notes may be presented for payment or for registration of transfer and exchange.</w:t>
      </w:r>
    </w:p>
    <w:p>
      <w:pPr>
        <w:spacing w:after="0" w:line="16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Reference is made to the further provisions of this Note set forth on the reverse hereof, including, without limitation, provisions giving the Holder of this Note the right to convert this Note into cash, shares of Common Stock or a combination of cash and shares of Common Stock, as applicable, on the terms and subject to the limitations set forth in the Indenture. Such further provisions shall for all purposes have the same effect as though fully set forth at this place.</w:t>
      </w:r>
    </w:p>
    <w:p>
      <w:pPr>
        <w:spacing w:after="0" w:line="15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b w:val="1"/>
          <w:bCs w:val="1"/>
          <w:color w:val="auto"/>
        </w:rPr>
        <w:t>This Note, and any claim, controversy or dispute arising under or related to this Note, shall be construed in accordance with and governed by the laws of the State of New York.</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case of any conflict between this Note and the Indenture, the provisions of the Indenture shall control and govern.</w:t>
      </w:r>
    </w:p>
    <w:p>
      <w:pPr>
        <w:spacing w:after="0" w:line="19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This Note shall not be valid or become obligatory for any purpose until the certificate of authentication hereon shall have been signed manually by the Trustee or a duly authorized authenticating agent under the Indenture.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Remainder of page intentionally left blank</w:t>
      </w:r>
      <w:r>
        <w:rPr>
          <w:rFonts w:ascii="Times New Roman" w:cs="Times New Roman" w:eastAsia="Times New Roman" w:hAnsi="Times New Roman"/>
          <w:sz w:val="16"/>
          <w:szCs w:val="16"/>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07" w:name="page108"/>
    <w:bookmarkEnd w:id="107"/>
    <w:p>
      <w:pPr>
        <w:ind w:left="380"/>
        <w:spacing w:after="0"/>
        <w:rPr>
          <w:sz w:val="20"/>
          <w:szCs w:val="20"/>
          <w:color w:val="auto"/>
        </w:rPr>
      </w:pPr>
      <w:r>
        <w:rPr>
          <w:rFonts w:ascii="Times New Roman" w:cs="Times New Roman" w:eastAsia="Times New Roman" w:hAnsi="Times New Roman"/>
          <w:sz w:val="16"/>
          <w:szCs w:val="16"/>
          <w:color w:val="auto"/>
        </w:rPr>
        <w:t>IN WITNESS WHEREOF, the Company has caused this Note to be duly executed.</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15240</wp:posOffset>
            </wp:positionV>
            <wp:extent cx="2496820" cy="152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5"/>
          <w:szCs w:val="15"/>
          <w:color w:val="auto"/>
        </w:rPr>
        <w:t>Name:</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Title: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TRUSTEE’S CERTIFICATE OF</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AUTHENTICATION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 Bank National Association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Trustee, certifies that this is one of the Notes described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within-named Indenture.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__________________________________</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Authorized Signatory</w:t>
      </w:r>
    </w:p>
    <w:p>
      <w:pPr>
        <w:spacing w:after="0" w:line="3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816" w:right="1440"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6"/>
          <w:szCs w:val="16"/>
          <w:color w:val="auto"/>
        </w:rPr>
        <w:t>[FORM OF REVERSE OF NOTE]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15.0% Cash + 5.0% PIK Convertible Senior Notes due 2026</w:t>
      </w:r>
    </w:p>
    <w:p>
      <w:pPr>
        <w:spacing w:after="0" w:line="18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This Note is one of a duly authorized issue of Notes of the Company, designated as its 15.0% Cash + 5.0% PIK Convertible Senior Notes due 2026 (the “</w:t>
      </w:r>
      <w:r>
        <w:rPr>
          <w:rFonts w:ascii="Times New Roman" w:cs="Times New Roman" w:eastAsia="Times New Roman" w:hAnsi="Times New Roman"/>
          <w:sz w:val="16"/>
          <w:szCs w:val="16"/>
          <w:b w:val="1"/>
          <w:bCs w:val="1"/>
          <w:color w:val="auto"/>
        </w:rPr>
        <w:t>Notes</w:t>
      </w:r>
      <w:r>
        <w:rPr>
          <w:rFonts w:ascii="Times New Roman" w:cs="Times New Roman" w:eastAsia="Times New Roman" w:hAnsi="Times New Roman"/>
          <w:sz w:val="16"/>
          <w:szCs w:val="16"/>
          <w:color w:val="auto"/>
        </w:rPr>
        <w:t>”), limited to the aggregate principal amount of $25,000,000 (excluding PIK Notes), all issued under and pursuant to an Indenture dated as of [●], 2022 (the “</w:t>
      </w:r>
      <w:r>
        <w:rPr>
          <w:rFonts w:ascii="Times New Roman" w:cs="Times New Roman" w:eastAsia="Times New Roman" w:hAnsi="Times New Roman"/>
          <w:sz w:val="16"/>
          <w:szCs w:val="16"/>
          <w:b w:val="1"/>
          <w:bCs w:val="1"/>
          <w:color w:val="auto"/>
        </w:rPr>
        <w:t>Indenture</w:t>
      </w:r>
      <w:r>
        <w:rPr>
          <w:rFonts w:ascii="Times New Roman" w:cs="Times New Roman" w:eastAsia="Times New Roman" w:hAnsi="Times New Roman"/>
          <w:sz w:val="16"/>
          <w:szCs w:val="16"/>
          <w:color w:val="auto"/>
        </w:rPr>
        <w:t>”), between the Company and U.S. Bank National Association (the “</w:t>
      </w:r>
      <w:r>
        <w:rPr>
          <w:rFonts w:ascii="Times New Roman" w:cs="Times New Roman" w:eastAsia="Times New Roman" w:hAnsi="Times New Roman"/>
          <w:sz w:val="16"/>
          <w:szCs w:val="16"/>
          <w:b w:val="1"/>
          <w:bCs w:val="1"/>
          <w:color w:val="auto"/>
        </w:rPr>
        <w:t>Trustee</w:t>
      </w:r>
      <w:r>
        <w:rPr>
          <w:rFonts w:ascii="Times New Roman" w:cs="Times New Roman" w:eastAsia="Times New Roman" w:hAnsi="Times New Roman"/>
          <w:sz w:val="16"/>
          <w:szCs w:val="16"/>
          <w:color w:val="auto"/>
        </w:rPr>
        <w:t>”), to which Indenture and all indentures supplemental thereto reference is hereby made for a description of the rights, limitations of rights, obligations, duties and immunities thereunder of the Trustee, the Company and the Holders of the Notes. Additional Notes may be issued in an aggregate principal amount not to exceed $25,000,000, subject to certain conditions specified in the Indenture. Capitalized terms used in this Note and not defined in this Note shall have the respective meanings set forth in the Indenture.</w:t>
      </w:r>
    </w:p>
    <w:p>
      <w:pPr>
        <w:spacing w:after="0" w:line="163"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In case certain Events of Default shall have occurred and be continuing, the principal of, and interest on, all Notes may be declared, by either the Trustee or Holders of at least 25% in aggregate principal amount of Notes then outstanding, and upon said declaration shall become, due and payable, in the manner, with the effect and subject to the conditions and certain exceptions set forth in the Indenture.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will pay cash amounts in money of the United States that at the time of payment is legal tender for payment of public and private debts.</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Indenture contains provisions permitting the Company and the Trustee in certain circumstances, without the consent of the Holders of the Notes, and in certain other circumstances, with the consent of the Holders of not less than a majority in aggregate principal amount of the Notes at the time outstanding (including, without limitation, additional Notes and PIK Notes), evidenced as in the Indenture provided, to execute supplemental indentures modifying the terms of the Indenture and the Notes as described therein. It is also provided in the Indenture that, subject to certain exceptions, the Holders of a majority in aggregate principal amount of the Notes at the time outstanding (including, without limitation, additional Notes and PIK Notes) may on behalf of the Holders of all of the Notes waive any past Default or Event of Default under the Indenture and its consequences.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Each Holder shall have the right to receive payment or delivery as described in the Indenture.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09" w:name="page110"/>
    <w:bookmarkEnd w:id="109"/>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The Notes are issuable in registered form without coupons in denominations of $1,000 principal amount and integral multiples thereof, subject to the issuance of PIK Notes or the increase in the principal amount of a Global Note in order to evidence PIK Payments, which PIK Notes or increased principal amount of a Global Note will be in denominations of $1.00 and integral multiples of $1.00 in excess thereof. At the office or agency of the Company referred to on the face hereof, and in the manner and subject to the limitations provided in the Indenture, Notes may be exchanged for a like aggregate principal amount of Notes of other authorized denominations, without payment of any service charge but, if required by the Company or Trustee, with payment of a sum sufficient to cover any transfer or similar tax that may be imposed in connection therewith as a result of the name of the Holder of the new Notes issued upon such exchange of Notes being different from the name of the Holder of the old Notes surrendered for such exchange.</w:t>
      </w:r>
    </w:p>
    <w:p>
      <w:pPr>
        <w:spacing w:after="0" w:line="16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Notes shall be redeemable at the Company’s option in accordance with the terms and subject to the conditions specified in the Indenture. No sinking fund is provided for the Notes.</w:t>
      </w:r>
    </w:p>
    <w:p>
      <w:pPr>
        <w:spacing w:after="0" w:line="14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Upon the occurrence of a Fundamental Change, the Holder has the right, at such Holder’s option, to require the Company to repurchase for cash all of such Holder’s Notes or any portion thereof (in principal amounts of $1,000 or integral multiples thereof) on the Fundamental Change Repurchase Date at a price equal to the Fundamental Change Repurchase Price.</w:t>
      </w:r>
    </w:p>
    <w:p>
      <w:pPr>
        <w:spacing w:after="0" w:line="155"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The Company is, subject to certain conditions and exceptions, obligated to make a Net Proceeds Offer to all Holders to purchase that amount of Notes equal to Excess Proceeds at a price equal to 100% of their principal amount, plus accrued and unpaid interest thereon, if any, to but not including the date of purchase, with Excess Proceeds, in each case, of certain sales or other dispositions of assets in accordance with the Indenture.</w:t>
      </w:r>
    </w:p>
    <w:p>
      <w:pPr>
        <w:spacing w:after="0" w:line="155"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Subject to the provisions of the Indenture, the Holder hereof has the right, at its option, during certain periods and upon the occurrence of certain conditions specified in the Indenture, prior to the close of business on the second Scheduled Trading Day immediately preceding the Maturity Date, to convert any Notes or portion thereof that is $1,000 or an integral multiple thereof, into cash, shares of Common Stock or a combination of cash and shares of Common Stock, as applicable, at the Conversion Rate specified in the Indenture, as adjusted from time to time as provided in the Indenture.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6"/>
          <w:szCs w:val="16"/>
          <w:color w:val="auto"/>
        </w:rPr>
        <w:t>ABBREVIATIONS</w:t>
      </w:r>
    </w:p>
    <w:p>
      <w:pPr>
        <w:spacing w:after="0" w:line="19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following abbreviations, when used in the inscription of the face of this Note, shall be construed as though they were written out in full according to applicable laws or regulations: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TEN COM = as tenants in common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UNIF GIFT MIN ACT = Uniform Gifts to Minors Act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CUST = Custodian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TEN ENT = as tenants by the entireties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JT TEN = joint tenants with right of survivorship and not as tenants in common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Additional abbreviations may also be used though not in the above list.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6"/>
          <w:szCs w:val="16"/>
          <w:b w:val="1"/>
          <w:bCs w:val="1"/>
          <w:color w:val="auto"/>
        </w:rPr>
        <w:t>SCHEDULE A</w:t>
      </w:r>
      <w:r>
        <w:rPr>
          <w:rFonts w:ascii="Times New Roman" w:cs="Times New Roman" w:eastAsia="Times New Roman" w:hAnsi="Times New Roman"/>
          <w:sz w:val="26"/>
          <w:szCs w:val="26"/>
          <w:b w:val="1"/>
          <w:bCs w:val="1"/>
          <w:color w:val="auto"/>
          <w:vertAlign w:val="superscript"/>
        </w:rPr>
        <w:t>23</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SCHEDULE OF EXCHANGES OF NOTES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15.0% Cash + 5.0% PIK Convertible Senior Notes due 2026</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initial principal amount of this Global Note is DOLLARS ($[__]). The following increases (including for PIK Interest) or decreases in this Global Note have been made:</w:t>
      </w:r>
    </w:p>
    <w:p>
      <w:pPr>
        <w:sectPr>
          <w:pgSz w:w="11900" w:h="16838" w:orient="portrait"/>
          <w:cols w:equalWidth="0" w:num="1">
            <w:col w:w="11260"/>
          </w:cols>
          <w:pgMar w:left="320" w:top="818"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Date of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3650615</wp:posOffset>
            </wp:positionV>
            <wp:extent cx="1790700" cy="152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Amount of decrease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 principal amount</w:t>
      </w: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of this Global Note</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Principal amount of</w:t>
            </w:r>
          </w:p>
        </w:tc>
        <w:tc>
          <w:tcPr>
            <w:tcW w:w="2260" w:type="dxa"/>
            <w:vAlign w:val="bottom"/>
          </w:tcPr>
          <w:p>
            <w:pPr>
              <w:spacing w:after="0"/>
              <w:rPr>
                <w:sz w:val="16"/>
                <w:szCs w:val="16"/>
                <w:color w:val="auto"/>
              </w:rPr>
            </w:pPr>
          </w:p>
        </w:tc>
      </w:tr>
      <w:tr>
        <w:trPr>
          <w:trHeight w:val="191"/>
        </w:trPr>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Amount of increase</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this Global Note</w:t>
            </w: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Signature of</w:t>
            </w:r>
          </w:p>
        </w:tc>
      </w:tr>
      <w:tr>
        <w:trPr>
          <w:trHeight w:val="191"/>
        </w:trPr>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in principal amount</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following such</w:t>
            </w: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authorized signatory</w:t>
            </w:r>
          </w:p>
        </w:tc>
      </w:tr>
      <w:tr>
        <w:trPr>
          <w:trHeight w:val="214"/>
        </w:trPr>
        <w:tc>
          <w:tcPr>
            <w:tcW w:w="2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of this Global Note</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decrease or increase</w:t>
            </w: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of Trustee or Custodian</w:t>
            </w:r>
          </w:p>
        </w:tc>
      </w:tr>
      <w:tr>
        <w:trPr>
          <w:trHeight w:val="219"/>
        </w:trPr>
        <w:tc>
          <w:tcPr>
            <w:tcW w:w="202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Borders>
              <w:top w:val="single" w:sz="8" w:color="auto"/>
              <w:bottom w:val="single" w:sz="8" w:color="auto"/>
            </w:tcBorders>
          </w:tcPr>
          <w:p>
            <w:pPr>
              <w:spacing w:after="0"/>
              <w:rPr>
                <w:sz w:val="19"/>
                <w:szCs w:val="19"/>
                <w:color w:val="auto"/>
              </w:rPr>
            </w:pPr>
          </w:p>
        </w:tc>
      </w:tr>
      <w:tr>
        <w:trPr>
          <w:trHeight w:val="219"/>
        </w:trPr>
        <w:tc>
          <w:tcPr>
            <w:tcW w:w="2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r>
      <w:tr>
        <w:trPr>
          <w:trHeight w:val="219"/>
        </w:trPr>
        <w:tc>
          <w:tcPr>
            <w:tcW w:w="2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r>
      <w:tr>
        <w:trPr>
          <w:trHeight w:val="219"/>
        </w:trPr>
        <w:tc>
          <w:tcPr>
            <w:tcW w:w="2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r>
      <w:tr>
        <w:trPr>
          <w:trHeight w:val="219"/>
        </w:trPr>
        <w:tc>
          <w:tcPr>
            <w:tcW w:w="2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r>
      <w:tr>
        <w:trPr>
          <w:trHeight w:val="219"/>
        </w:trPr>
        <w:tc>
          <w:tcPr>
            <w:tcW w:w="2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r>
      <w:tr>
        <w:trPr>
          <w:trHeight w:val="219"/>
        </w:trPr>
        <w:tc>
          <w:tcPr>
            <w:tcW w:w="2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r>
      <w:tr>
        <w:trPr>
          <w:trHeight w:val="219"/>
        </w:trPr>
        <w:tc>
          <w:tcPr>
            <w:tcW w:w="2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r>
      <w:tr>
        <w:trPr>
          <w:trHeight w:val="219"/>
        </w:trPr>
        <w:tc>
          <w:tcPr>
            <w:tcW w:w="2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r>
      <w:tr>
        <w:trPr>
          <w:trHeight w:val="219"/>
        </w:trPr>
        <w:tc>
          <w:tcPr>
            <w:tcW w:w="2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r>
      <w:tr>
        <w:trPr>
          <w:trHeight w:val="219"/>
        </w:trPr>
        <w:tc>
          <w:tcPr>
            <w:tcW w:w="2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r>
      <w:tr>
        <w:trPr>
          <w:trHeight w:val="219"/>
        </w:trPr>
        <w:tc>
          <w:tcPr>
            <w:tcW w:w="2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r>
      <w:tr>
        <w:trPr>
          <w:trHeight w:val="219"/>
        </w:trPr>
        <w:tc>
          <w:tcPr>
            <w:tcW w:w="2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r>
      <w:tr>
        <w:trPr>
          <w:trHeight w:val="219"/>
        </w:trPr>
        <w:tc>
          <w:tcPr>
            <w:tcW w:w="2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r>
      <w:tr>
        <w:trPr>
          <w:trHeight w:val="219"/>
        </w:trPr>
        <w:tc>
          <w:tcPr>
            <w:tcW w:w="2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r>
      <w:tr>
        <w:trPr>
          <w:trHeight w:val="219"/>
        </w:trPr>
        <w:tc>
          <w:tcPr>
            <w:tcW w:w="2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r>
      <w:tr>
        <w:trPr>
          <w:trHeight w:val="219"/>
        </w:trPr>
        <w:tc>
          <w:tcPr>
            <w:tcW w:w="2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r>
      <w:tr>
        <w:trPr>
          <w:trHeight w:val="219"/>
        </w:trPr>
        <w:tc>
          <w:tcPr>
            <w:tcW w:w="2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r>
      <w:tr>
        <w:trPr>
          <w:trHeight w:val="219"/>
        </w:trPr>
        <w:tc>
          <w:tcPr>
            <w:tcW w:w="2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r>
      <w:tr>
        <w:trPr>
          <w:trHeight w:val="219"/>
        </w:trPr>
        <w:tc>
          <w:tcPr>
            <w:tcW w:w="2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r>
      <w:tr>
        <w:trPr>
          <w:trHeight w:val="219"/>
        </w:trPr>
        <w:tc>
          <w:tcPr>
            <w:tcW w:w="2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r>
      <w:tr>
        <w:trPr>
          <w:trHeight w:val="219"/>
        </w:trPr>
        <w:tc>
          <w:tcPr>
            <w:tcW w:w="2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r>
      <w:tr>
        <w:trPr>
          <w:trHeight w:val="219"/>
        </w:trPr>
        <w:tc>
          <w:tcPr>
            <w:tcW w:w="2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-2872105</wp:posOffset>
            </wp:positionH>
            <wp:positionV relativeFrom="paragraph">
              <wp:posOffset>-166370</wp:posOffset>
            </wp:positionV>
            <wp:extent cx="7148195" cy="1670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8195" cy="167005"/>
                    </a:xfrm>
                    <a:prstGeom prst="rect">
                      <a:avLst/>
                    </a:prstGeom>
                    <a:noFill/>
                  </pic:spPr>
                </pic:pic>
              </a:graphicData>
            </a:graphic>
          </wp:anchor>
        </w:drawing>
        <w:drawing>
          <wp:anchor simplePos="0" relativeHeight="251657728" behindDoc="1" locked="0" layoutInCell="0" allowOverlap="1">
            <wp:simplePos x="0" y="0"/>
            <wp:positionH relativeFrom="column">
              <wp:posOffset>-2872105</wp:posOffset>
            </wp:positionH>
            <wp:positionV relativeFrom="paragraph">
              <wp:posOffset>-469900</wp:posOffset>
            </wp:positionV>
            <wp:extent cx="7148195" cy="1670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8195" cy="167005"/>
                    </a:xfrm>
                    <a:prstGeom prst="rect">
                      <a:avLst/>
                    </a:prstGeom>
                    <a:noFill/>
                  </pic:spPr>
                </pic:pic>
              </a:graphicData>
            </a:graphic>
          </wp:anchor>
        </w:drawing>
        <w:drawing>
          <wp:anchor simplePos="0" relativeHeight="251657728" behindDoc="1" locked="0" layoutInCell="0" allowOverlap="1">
            <wp:simplePos x="0" y="0"/>
            <wp:positionH relativeFrom="column">
              <wp:posOffset>-2872105</wp:posOffset>
            </wp:positionH>
            <wp:positionV relativeFrom="paragraph">
              <wp:posOffset>-773430</wp:posOffset>
            </wp:positionV>
            <wp:extent cx="7148195" cy="1670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8195" cy="167005"/>
                    </a:xfrm>
                    <a:prstGeom prst="rect">
                      <a:avLst/>
                    </a:prstGeom>
                    <a:noFill/>
                  </pic:spPr>
                </pic:pic>
              </a:graphicData>
            </a:graphic>
          </wp:anchor>
        </w:drawing>
        <w:drawing>
          <wp:anchor simplePos="0" relativeHeight="251657728" behindDoc="1" locked="0" layoutInCell="0" allowOverlap="1">
            <wp:simplePos x="0" y="0"/>
            <wp:positionH relativeFrom="column">
              <wp:posOffset>-2872105</wp:posOffset>
            </wp:positionH>
            <wp:positionV relativeFrom="paragraph">
              <wp:posOffset>-1076960</wp:posOffset>
            </wp:positionV>
            <wp:extent cx="7148195" cy="1670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8195" cy="167005"/>
                    </a:xfrm>
                    <a:prstGeom prst="rect">
                      <a:avLst/>
                    </a:prstGeom>
                    <a:noFill/>
                  </pic:spPr>
                </pic:pic>
              </a:graphicData>
            </a:graphic>
          </wp:anchor>
        </w:drawing>
        <w:drawing>
          <wp:anchor simplePos="0" relativeHeight="251657728" behindDoc="1" locked="0" layoutInCell="0" allowOverlap="1">
            <wp:simplePos x="0" y="0"/>
            <wp:positionH relativeFrom="column">
              <wp:posOffset>-2872105</wp:posOffset>
            </wp:positionH>
            <wp:positionV relativeFrom="paragraph">
              <wp:posOffset>-1380490</wp:posOffset>
            </wp:positionV>
            <wp:extent cx="7148195" cy="1670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8195" cy="167005"/>
                    </a:xfrm>
                    <a:prstGeom prst="rect">
                      <a:avLst/>
                    </a:prstGeom>
                    <a:noFill/>
                  </pic:spPr>
                </pic:pic>
              </a:graphicData>
            </a:graphic>
          </wp:anchor>
        </w:drawing>
        <w:drawing>
          <wp:anchor simplePos="0" relativeHeight="251657728" behindDoc="1" locked="0" layoutInCell="0" allowOverlap="1">
            <wp:simplePos x="0" y="0"/>
            <wp:positionH relativeFrom="column">
              <wp:posOffset>-2872105</wp:posOffset>
            </wp:positionH>
            <wp:positionV relativeFrom="paragraph">
              <wp:posOffset>-1684020</wp:posOffset>
            </wp:positionV>
            <wp:extent cx="7148195" cy="1670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8195" cy="167005"/>
                    </a:xfrm>
                    <a:prstGeom prst="rect">
                      <a:avLst/>
                    </a:prstGeom>
                    <a:noFill/>
                  </pic:spPr>
                </pic:pic>
              </a:graphicData>
            </a:graphic>
          </wp:anchor>
        </w:drawing>
        <w:drawing>
          <wp:anchor simplePos="0" relativeHeight="251657728" behindDoc="1" locked="0" layoutInCell="0" allowOverlap="1">
            <wp:simplePos x="0" y="0"/>
            <wp:positionH relativeFrom="column">
              <wp:posOffset>-2872105</wp:posOffset>
            </wp:positionH>
            <wp:positionV relativeFrom="paragraph">
              <wp:posOffset>-1987550</wp:posOffset>
            </wp:positionV>
            <wp:extent cx="7148195" cy="1670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8195" cy="167005"/>
                    </a:xfrm>
                    <a:prstGeom prst="rect">
                      <a:avLst/>
                    </a:prstGeom>
                    <a:noFill/>
                  </pic:spPr>
                </pic:pic>
              </a:graphicData>
            </a:graphic>
          </wp:anchor>
        </w:drawing>
        <w:drawing>
          <wp:anchor simplePos="0" relativeHeight="251657728" behindDoc="1" locked="0" layoutInCell="0" allowOverlap="1">
            <wp:simplePos x="0" y="0"/>
            <wp:positionH relativeFrom="column">
              <wp:posOffset>-2872105</wp:posOffset>
            </wp:positionH>
            <wp:positionV relativeFrom="paragraph">
              <wp:posOffset>-2291080</wp:posOffset>
            </wp:positionV>
            <wp:extent cx="7148195" cy="1670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8195" cy="167005"/>
                    </a:xfrm>
                    <a:prstGeom prst="rect">
                      <a:avLst/>
                    </a:prstGeom>
                    <a:noFill/>
                  </pic:spPr>
                </pic:pic>
              </a:graphicData>
            </a:graphic>
          </wp:anchor>
        </w:drawing>
        <w:drawing>
          <wp:anchor simplePos="0" relativeHeight="251657728" behindDoc="1" locked="0" layoutInCell="0" allowOverlap="1">
            <wp:simplePos x="0" y="0"/>
            <wp:positionH relativeFrom="column">
              <wp:posOffset>-2872105</wp:posOffset>
            </wp:positionH>
            <wp:positionV relativeFrom="paragraph">
              <wp:posOffset>-2594610</wp:posOffset>
            </wp:positionV>
            <wp:extent cx="7148195" cy="1670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8195" cy="167005"/>
                    </a:xfrm>
                    <a:prstGeom prst="rect">
                      <a:avLst/>
                    </a:prstGeom>
                    <a:noFill/>
                  </pic:spPr>
                </pic:pic>
              </a:graphicData>
            </a:graphic>
          </wp:anchor>
        </w:drawing>
        <w:drawing>
          <wp:anchor simplePos="0" relativeHeight="251657728" behindDoc="1" locked="0" layoutInCell="0" allowOverlap="1">
            <wp:simplePos x="0" y="0"/>
            <wp:positionH relativeFrom="column">
              <wp:posOffset>-2872105</wp:posOffset>
            </wp:positionH>
            <wp:positionV relativeFrom="paragraph">
              <wp:posOffset>-2898140</wp:posOffset>
            </wp:positionV>
            <wp:extent cx="7148195" cy="1670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8195" cy="167005"/>
                    </a:xfrm>
                    <a:prstGeom prst="rect">
                      <a:avLst/>
                    </a:prstGeom>
                    <a:noFill/>
                  </pic:spPr>
                </pic:pic>
              </a:graphicData>
            </a:graphic>
          </wp:anchor>
        </w:drawing>
        <w:drawing>
          <wp:anchor simplePos="0" relativeHeight="251657728" behindDoc="1" locked="0" layoutInCell="0" allowOverlap="1">
            <wp:simplePos x="0" y="0"/>
            <wp:positionH relativeFrom="column">
              <wp:posOffset>-2872105</wp:posOffset>
            </wp:positionH>
            <wp:positionV relativeFrom="paragraph">
              <wp:posOffset>-3201670</wp:posOffset>
            </wp:positionV>
            <wp:extent cx="7148195" cy="1670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8195" cy="167005"/>
                    </a:xfrm>
                    <a:prstGeom prst="rect">
                      <a:avLst/>
                    </a:prstGeom>
                    <a:noFill/>
                  </pic:spPr>
                </pic:pic>
              </a:graphicData>
            </a:graphic>
          </wp:anchor>
        </w:drawing>
        <w:drawing>
          <wp:anchor simplePos="0" relativeHeight="251657728" behindDoc="1" locked="0" layoutInCell="0" allowOverlap="1">
            <wp:simplePos x="0" y="0"/>
            <wp:positionH relativeFrom="column">
              <wp:posOffset>-2872105</wp:posOffset>
            </wp:positionH>
            <wp:positionV relativeFrom="paragraph">
              <wp:posOffset>-3505200</wp:posOffset>
            </wp:positionV>
            <wp:extent cx="7148195" cy="1670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8195" cy="1670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1860" w:space="720"/>
            <w:col w:w="1360" w:space="580"/>
            <w:col w:w="6740"/>
          </w:cols>
          <w:pgMar w:left="320" w:top="818" w:right="319" w:bottom="1440" w:gutter="0" w:footer="0" w:header="0"/>
          <w:type w:val="continuous"/>
        </w:sectPr>
      </w:pPr>
    </w:p>
    <w:p>
      <w:pPr>
        <w:spacing w:after="0" w:line="1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color w:val="auto"/>
        </w:rPr>
        <w:t>23</w:t>
      </w:r>
      <w:r>
        <w:rPr>
          <w:sz w:val="20"/>
          <w:szCs w:val="20"/>
          <w:color w:val="auto"/>
        </w:rPr>
        <w:tab/>
      </w:r>
      <w:r>
        <w:rPr>
          <w:rFonts w:ascii="Times New Roman" w:cs="Times New Roman" w:eastAsia="Times New Roman" w:hAnsi="Times New Roman"/>
          <w:sz w:val="15"/>
          <w:szCs w:val="15"/>
          <w:color w:val="auto"/>
        </w:rPr>
        <w:t>Include if a global note.</w:t>
      </w: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8" w:right="319" w:bottom="1440" w:gutter="0" w:footer="0" w:header="0"/>
          <w:type w:val="continuous"/>
        </w:sectPr>
      </w:pPr>
    </w:p>
    <w:bookmarkStart w:id="112" w:name="page113"/>
    <w:bookmarkEnd w:id="112"/>
    <w:p>
      <w:pPr>
        <w:jc w:val="right"/>
        <w:spacing w:after="0"/>
        <w:rPr>
          <w:sz w:val="20"/>
          <w:szCs w:val="20"/>
          <w:color w:val="auto"/>
        </w:rPr>
      </w:pPr>
      <w:r>
        <w:rPr>
          <w:rFonts w:ascii="Times New Roman" w:cs="Times New Roman" w:eastAsia="Times New Roman" w:hAnsi="Times New Roman"/>
          <w:sz w:val="16"/>
          <w:szCs w:val="16"/>
          <w:b w:val="1"/>
          <w:bCs w:val="1"/>
          <w:color w:val="auto"/>
        </w:rPr>
        <w:t>ATTACHMENT 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 OF NOTICE OF CONVERSION]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U.S. Bank National Association, as Trustee</w:t>
      </w:r>
    </w:p>
    <w:p>
      <w:pPr>
        <w:spacing w:after="0" w:line="20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26"/>
          <w:szCs w:val="26"/>
          <w:color w:val="auto"/>
          <w:vertAlign w:val="superscript"/>
        </w:rPr>
        <w:t>24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Attention: [●]</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The undersigned registered owner of this Note hereby exercises the option to convert this Note, or the portion hereof (that is $1,000 principal amount or an integral multiple thereof) below designated, into cash, shares of Common Stock or a combination of cash and shares of Common Stock, as applicable, in accordance with the terms of the Indenture referred to in this Note, and directs that any cash payable and any shares of Common Stock issuable and deliverable upon such conversion, together with any cash for any fractional share, and any Notes representing any unconverted principal amount hereof, be issued and delivered to the registered Holder hereof unless a different name has been indicated below. If any shares of Common Stock or any portion of this Note not converted are to be issued in the name of a Person other than the undersigned, the undersigned will pay all documentary, stamp or similar issue or transfer taxes, if any in accordance with Section 14.02(d) and Section 14.02(e) of the Indenture. Any amount required to be paid to the undersigned on account of interest accompanies this Note. Capitalized terms used herein but not defined shall have the meanings ascribed to such terms in the Indenture.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174625</wp:posOffset>
            </wp:positionV>
            <wp:extent cx="1783080" cy="152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783080" cy="15240"/>
                    </a:xfrm>
                    <a:prstGeom prst="rect">
                      <a:avLst/>
                    </a:prstGeom>
                    <a:noFill/>
                  </pic:spPr>
                </pic:pic>
              </a:graphicData>
            </a:graphic>
          </wp:anchor>
        </w:drawing>
        <w:drawing>
          <wp:anchor simplePos="0" relativeHeight="251657728" behindDoc="1" locked="0" layoutInCell="0" allowOverlap="1">
            <wp:simplePos x="0" y="0"/>
            <wp:positionH relativeFrom="column">
              <wp:posOffset>361315</wp:posOffset>
            </wp:positionH>
            <wp:positionV relativeFrom="paragraph">
              <wp:posOffset>22860</wp:posOffset>
            </wp:positionV>
            <wp:extent cx="1434465" cy="152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434465" cy="15240"/>
                    </a:xfrm>
                    <a:prstGeom prst="rect">
                      <a:avLst/>
                    </a:prstGeom>
                    <a:noFill/>
                  </pic:spPr>
                </pic:pic>
              </a:graphicData>
            </a:graphic>
          </wp:anchor>
        </w:drawing>
      </w:r>
    </w:p>
    <w:p>
      <w:pPr>
        <w:spacing w:after="0" w:line="26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6"/>
          <w:szCs w:val="16"/>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159385</wp:posOffset>
            </wp:positionV>
            <wp:extent cx="1798320" cy="152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798320" cy="15240"/>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 Guarantee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Signature(s) must be guaranteed by an eligible guarantor institution (banks, stock</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brokers, savings and loan associations and credit unions) with membership in an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approved  signature  guarantee  medallion  program  pursuant  to  Securities  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Exchange Commission Rule 17Ad-15 if shares of Common Stock are to be issued,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 Notes are to be delivered, other than to and in the name of the 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1790700" cy="152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196"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color w:val="auto"/>
        </w:rPr>
        <w:t>24</w:t>
      </w:r>
      <w:r>
        <w:rPr>
          <w:sz w:val="20"/>
          <w:szCs w:val="20"/>
          <w:color w:val="auto"/>
        </w:rPr>
        <w:tab/>
      </w:r>
      <w:r>
        <w:rPr>
          <w:rFonts w:ascii="Times New Roman" w:cs="Times New Roman" w:eastAsia="Times New Roman" w:hAnsi="Times New Roman"/>
          <w:sz w:val="15"/>
          <w:szCs w:val="15"/>
          <w:b w:val="1"/>
          <w:bCs w:val="1"/>
          <w:color w:val="auto"/>
        </w:rPr>
        <w:t>Note to Draft</w:t>
      </w:r>
      <w:r>
        <w:rPr>
          <w:rFonts w:ascii="Times New Roman" w:cs="Times New Roman" w:eastAsia="Times New Roman" w:hAnsi="Times New Roman"/>
          <w:sz w:val="15"/>
          <w:szCs w:val="15"/>
          <w:color w:val="auto"/>
        </w:rPr>
        <w:t>: Trustee to provide.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6"/>
          <w:szCs w:val="16"/>
          <w:color w:val="auto"/>
        </w:rPr>
        <w:t>Fill in for registration of shares if to be issued, and Notes if to be delivered, other</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than to and in the name of the 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247015</wp:posOffset>
            </wp:positionV>
            <wp:extent cx="3437255" cy="152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37255" cy="15240"/>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257810</wp:posOffset>
            </wp:positionV>
            <wp:extent cx="3437255" cy="152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37255" cy="1524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257810</wp:posOffset>
            </wp:positionV>
            <wp:extent cx="3437255" cy="152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37255" cy="1524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(City, State and Zip Code)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print name and address</w:t>
      </w:r>
    </w:p>
    <w:p>
      <w:pPr>
        <w:spacing w:after="0" w:line="18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Principal amount to be converted (if less than all):</w:t>
      </w:r>
    </w:p>
    <w:p>
      <w:pPr>
        <w:spacing w:after="0" w:line="24" w:lineRule="exact"/>
        <w:rPr>
          <w:sz w:val="20"/>
          <w:szCs w:val="20"/>
          <w:color w:val="auto"/>
        </w:rPr>
      </w:pPr>
    </w:p>
    <w:p>
      <w:pPr>
        <w:ind w:left="5920" w:hanging="404"/>
        <w:spacing w:after="0"/>
        <w:tabs>
          <w:tab w:leader="none" w:pos="592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,000</w:t>
      </w:r>
    </w:p>
    <w:p>
      <w:pPr>
        <w:spacing w:after="0" w:line="182" w:lineRule="exact"/>
        <w:rPr>
          <w:sz w:val="20"/>
          <w:szCs w:val="20"/>
          <w:color w:val="auto"/>
        </w:rPr>
      </w:pPr>
    </w:p>
    <w:p>
      <w:pPr>
        <w:jc w:val="both"/>
        <w:ind w:left="5520"/>
        <w:spacing w:after="0" w:line="265" w:lineRule="auto"/>
        <w:rPr>
          <w:sz w:val="20"/>
          <w:szCs w:val="20"/>
          <w:color w:val="auto"/>
        </w:rPr>
      </w:pPr>
      <w:r>
        <w:rPr>
          <w:rFonts w:ascii="Times New Roman" w:cs="Times New Roman" w:eastAsia="Times New Roman" w:hAnsi="Times New Roman"/>
          <w:sz w:val="16"/>
          <w:szCs w:val="16"/>
          <w:color w:val="auto"/>
        </w:rPr>
        <w:t>NOTICE: The above signature(s) of the Holder(s) hereof must correspond with the name as written upon the face of the Note in every particular without alteration or enlargement or any change whatever.</w:t>
      </w:r>
    </w:p>
    <w:p>
      <w:pPr>
        <w:spacing w:after="0" w:line="15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Social Security or Other Taxpayer</w:t>
      </w:r>
    </w:p>
    <w:p>
      <w:pPr>
        <w:spacing w:after="0" w:line="2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Identification Number</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6"/>
          <w:szCs w:val="16"/>
          <w:b w:val="1"/>
          <w:bCs w:val="1"/>
          <w:color w:val="auto"/>
        </w:rPr>
        <w:t>ATTACHMENT 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 OF FUNDAMENTAL CHANGE REPURCHASE NOTICE]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U.S. Bank National Association, as Trustee</w:t>
      </w:r>
    </w:p>
    <w:p>
      <w:pPr>
        <w:spacing w:after="0" w:line="20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26"/>
          <w:szCs w:val="26"/>
          <w:color w:val="auto"/>
          <w:vertAlign w:val="superscript"/>
        </w:rPr>
        <w:t>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Attention: [●]</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undersigned registered owner of this Note hereby acknowledges receipt of a notice from [●]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as to the occurrence of a Fundamental Change with respect to the Company and specifying the Fundamental Change Repurchase Date and requests and instructs the Company to pay to the registered holder hereof in accordance with Section 15.02 of the Indenture referred to in this Note (1) the entire principal amount of this Note, or the portion thereof (that is $1,000 principal amount or an integral multiple thereof) below designated, and (2) if such Fundamental Change Repurchase Date does not fall during the period after a Regular Record Date and on or prior to the corresponding Interest Payment Date, accrued and unpaid interest, if any, thereon to, but excluding, such Fundamental Change Repurchase Date. Capitalized terms used herein but not defined shall have the meanings ascribed to such terms in the Indenture.</w:t>
      </w:r>
    </w:p>
    <w:p>
      <w:pPr>
        <w:sectPr>
          <w:pgSz w:w="11900" w:h="16838" w:orient="portrait"/>
          <w:cols w:equalWidth="0" w:num="1">
            <w:col w:w="11240"/>
          </w:cols>
          <w:pgMar w:left="320" w:top="814" w:right="339" w:bottom="1440" w:gutter="0" w:footer="0" w:header="0"/>
        </w:sectPr>
      </w:pP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the case of Physical Notes, the certificate numbers of the Notes to be repurchased are as set forth below:</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15240</wp:posOffset>
            </wp:positionV>
            <wp:extent cx="2503805" cy="152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503805"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1479550</wp:posOffset>
            </wp:positionV>
            <wp:extent cx="1790700" cy="152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color w:val="auto"/>
        </w:rPr>
        <w:t>25</w:t>
      </w:r>
      <w:r>
        <w:rPr>
          <w:sz w:val="20"/>
          <w:szCs w:val="20"/>
          <w:color w:val="auto"/>
        </w:rPr>
        <w:tab/>
      </w:r>
      <w:r>
        <w:rPr>
          <w:rFonts w:ascii="Times New Roman" w:cs="Times New Roman" w:eastAsia="Times New Roman" w:hAnsi="Times New Roman"/>
          <w:sz w:val="15"/>
          <w:szCs w:val="15"/>
          <w:b w:val="1"/>
          <w:bCs w:val="1"/>
          <w:color w:val="auto"/>
        </w:rPr>
        <w:t>Note to Draft</w:t>
      </w:r>
      <w:r>
        <w:rPr>
          <w:rFonts w:ascii="Times New Roman" w:cs="Times New Roman" w:eastAsia="Times New Roman" w:hAnsi="Times New Roman"/>
          <w:sz w:val="15"/>
          <w:szCs w:val="15"/>
          <w:color w:val="auto"/>
        </w:rPr>
        <w:t>: Trustee to provide.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Social Security or Other Taxpayer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Identification Number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Principal amount to be repaid (if less than all):</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,000</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NOTICE: The above signature(s) of the Holder(s) hereof must correspond with the name as written upon the face of the Note in every particular without alteration or enlargement or any change whatever.</w:t>
      </w:r>
    </w:p>
    <w:p>
      <w:pPr>
        <w:spacing w:after="0" w:line="579" w:lineRule="exact"/>
        <w:rPr>
          <w:sz w:val="20"/>
          <w:szCs w:val="20"/>
          <w:color w:val="auto"/>
        </w:rPr>
      </w:pPr>
    </w:p>
    <w:p>
      <w:pPr>
        <w:sectPr>
          <w:pgSz w:w="11900" w:h="16838" w:orient="portrait"/>
          <w:cols w:equalWidth="0" w:num="2">
            <w:col w:w="6800" w:space="300"/>
            <w:col w:w="4140"/>
          </w:cols>
          <w:pgMar w:left="320" w:top="814" w:right="339" w:bottom="1440" w:gutter="0" w:footer="0" w:header="0"/>
          <w:type w:val="continuous"/>
        </w:sectPr>
      </w:pP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type w:val="continuous"/>
        </w:sectPr>
      </w:pPr>
    </w:p>
    <w:bookmarkStart w:id="115" w:name="page116"/>
    <w:bookmarkEnd w:id="115"/>
    <w:p>
      <w:pPr>
        <w:ind w:left="10004"/>
        <w:spacing w:after="0"/>
        <w:rPr>
          <w:sz w:val="20"/>
          <w:szCs w:val="20"/>
          <w:color w:val="auto"/>
        </w:rPr>
      </w:pPr>
      <w:r>
        <w:rPr>
          <w:rFonts w:ascii="Times New Roman" w:cs="Times New Roman" w:eastAsia="Times New Roman" w:hAnsi="Times New Roman"/>
          <w:sz w:val="15"/>
          <w:szCs w:val="15"/>
          <w:b w:val="1"/>
          <w:bCs w:val="1"/>
          <w:color w:val="auto"/>
        </w:rPr>
        <w:t>ATTACHMENT 3</w:t>
      </w:r>
    </w:p>
    <w:p>
      <w:pPr>
        <w:spacing w:after="0" w:line="2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[FORM OF ASSIGNMENT AND TRANSFER]</w:t>
      </w:r>
    </w:p>
    <w:p>
      <w:pPr>
        <w:spacing w:after="0" w:line="198" w:lineRule="exact"/>
        <w:rPr>
          <w:sz w:val="20"/>
          <w:szCs w:val="20"/>
          <w:color w:val="auto"/>
        </w:rPr>
      </w:pPr>
    </w:p>
    <w:p>
      <w:pPr>
        <w:ind w:left="4" w:right="20"/>
        <w:spacing w:after="0" w:line="280" w:lineRule="auto"/>
        <w:rPr>
          <w:sz w:val="20"/>
          <w:szCs w:val="20"/>
          <w:color w:val="auto"/>
        </w:rPr>
      </w:pPr>
      <w:r>
        <w:rPr>
          <w:rFonts w:ascii="Times New Roman" w:cs="Times New Roman" w:eastAsia="Times New Roman" w:hAnsi="Times New Roman"/>
          <w:sz w:val="16"/>
          <w:szCs w:val="16"/>
          <w:color w:val="auto"/>
        </w:rPr>
        <w:t>For value received hereby sell(s), assign(s) and transfer(s) unto (Please insert social security or Taxpayer Identification Number of assignee) the within Note, and hereby irrevocably constitutes and appoints attorney to transfer the said Note on the books of the Company, with full power of substitution in the premises.</w:t>
      </w:r>
    </w:p>
    <w:p>
      <w:pPr>
        <w:spacing w:after="0" w:line="144" w:lineRule="exact"/>
        <w:rPr>
          <w:sz w:val="20"/>
          <w:szCs w:val="20"/>
          <w:color w:val="auto"/>
        </w:rPr>
      </w:pPr>
    </w:p>
    <w:p>
      <w:pPr>
        <w:ind w:left="4" w:right="20"/>
        <w:spacing w:after="0" w:line="280" w:lineRule="auto"/>
        <w:rPr>
          <w:sz w:val="20"/>
          <w:szCs w:val="20"/>
          <w:color w:val="auto"/>
        </w:rPr>
      </w:pPr>
      <w:r>
        <w:rPr>
          <w:rFonts w:ascii="Times New Roman" w:cs="Times New Roman" w:eastAsia="Times New Roman" w:hAnsi="Times New Roman"/>
          <w:sz w:val="16"/>
          <w:szCs w:val="16"/>
          <w:color w:val="auto"/>
        </w:rPr>
        <w:t>In connection with any transfer of the within Note occurring prior to the Resale Restriction Termination Date, as defined in the Indenture governing such Note, the undersigned confirms that such Note is being transferred:</w:t>
      </w:r>
    </w:p>
    <w:p>
      <w:pPr>
        <w:spacing w:after="0" w:line="144" w:lineRule="exact"/>
        <w:rPr>
          <w:sz w:val="20"/>
          <w:szCs w:val="20"/>
          <w:color w:val="auto"/>
        </w:rPr>
      </w:pPr>
    </w:p>
    <w:p>
      <w:pPr>
        <w:ind w:left="284" w:hanging="284"/>
        <w:spacing w:after="0"/>
        <w:tabs>
          <w:tab w:leader="none" w:pos="284" w:val="left"/>
        </w:tabs>
        <w:numPr>
          <w:ilvl w:val="0"/>
          <w:numId w:val="138"/>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To [●] or a subsidiary thereof; or</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138"/>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Pursuant to a registration statement that has become or been declared effective under the Securities Act of 1933, as amended; or</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138"/>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Pursuant to and in compliance with Rule 144A under the Securities Act of 1933, as amended; or</w:t>
      </w:r>
    </w:p>
    <w:p>
      <w:pPr>
        <w:spacing w:after="0" w:line="198" w:lineRule="exact"/>
        <w:rPr>
          <w:rFonts w:ascii="MS PGothic" w:cs="MS PGothic" w:eastAsia="MS PGothic" w:hAnsi="MS PGothic"/>
          <w:sz w:val="16"/>
          <w:szCs w:val="16"/>
          <w:color w:val="auto"/>
        </w:rPr>
      </w:pPr>
    </w:p>
    <w:p>
      <w:pPr>
        <w:ind w:left="284" w:hanging="284"/>
        <w:spacing w:after="0" w:line="280" w:lineRule="auto"/>
        <w:tabs>
          <w:tab w:leader="none" w:pos="284" w:val="left"/>
        </w:tabs>
        <w:numPr>
          <w:ilvl w:val="0"/>
          <w:numId w:val="138"/>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Pursuant to and in compliance with Rule 144 under the Securities Act of 1933, as amended, or any other available exemption from the registration requirements of the Securities Act of 1933, as amended.</w:t>
      </w:r>
    </w:p>
    <w:p>
      <w:pPr>
        <w:spacing w:after="0" w:line="1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530860</wp:posOffset>
            </wp:positionV>
            <wp:extent cx="2860675" cy="152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860675"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273050</wp:posOffset>
            </wp:positionV>
            <wp:extent cx="2860675" cy="152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860675" cy="15240"/>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15240</wp:posOffset>
            </wp:positionV>
            <wp:extent cx="2496820" cy="152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257810</wp:posOffset>
            </wp:positionV>
            <wp:extent cx="2860675" cy="152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860675" cy="15240"/>
                    </a:xfrm>
                    <a:prstGeom prst="rect">
                      <a:avLst/>
                    </a:prstGeom>
                    <a:noFill/>
                  </pic:spPr>
                </pic:pic>
              </a:graphicData>
            </a:graphic>
          </wp:anchor>
        </w:drawing>
      </w:r>
    </w:p>
    <w:p>
      <w:pPr>
        <w:spacing w:after="0" w:line="3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Signature Guarantee</w:t>
      </w:r>
    </w:p>
    <w:p>
      <w:pPr>
        <w:spacing w:after="0" w:line="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Signature(s) must be guaranteed by an eligible guarantor institution</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(banks, stock brokers, savings and loan associations and credit unions)</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with membership in an approved signature guarantee medallion</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program pursuant to Securities and Exchange Commission Rule</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17Ad-15 if Notes are to be delivered, other than to and in the name of</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registered holder.</w:t>
      </w:r>
    </w:p>
    <w:p>
      <w:pPr>
        <w:spacing w:after="0" w:line="182" w:lineRule="exact"/>
        <w:rPr>
          <w:sz w:val="20"/>
          <w:szCs w:val="20"/>
          <w:color w:val="auto"/>
        </w:rPr>
      </w:pPr>
    </w:p>
    <w:p>
      <w:pPr>
        <w:ind w:left="4" w:right="20"/>
        <w:spacing w:after="0" w:line="280" w:lineRule="auto"/>
        <w:rPr>
          <w:sz w:val="20"/>
          <w:szCs w:val="20"/>
          <w:color w:val="auto"/>
        </w:rPr>
      </w:pPr>
      <w:r>
        <w:rPr>
          <w:rFonts w:ascii="Times New Roman" w:cs="Times New Roman" w:eastAsia="Times New Roman" w:hAnsi="Times New Roman"/>
          <w:sz w:val="16"/>
          <w:szCs w:val="16"/>
          <w:color w:val="auto"/>
        </w:rPr>
        <w:t>NOTICE: The signature on the assignment must correspond with the name as written upon the face of the Note in every particular without alteration or enlargement or any change whatever.</w:t>
      </w:r>
    </w:p>
    <w:p>
      <w:pPr>
        <w:spacing w:after="0" w:line="33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6"/>
          <w:szCs w:val="16"/>
          <w:b w:val="1"/>
          <w:bCs w:val="1"/>
          <w:color w:val="auto"/>
        </w:rPr>
        <w:t>Exhibit 10.1</w:t>
      </w:r>
    </w:p>
    <w:p>
      <w:pPr>
        <w:spacing w:after="0" w:line="1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Execution Version</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AMENDED AND RESTATED SUBSCRIPTION AGREEMENT</w:t>
      </w:r>
    </w:p>
    <w:p>
      <w:pPr>
        <w:spacing w:after="0" w:line="200" w:lineRule="exact"/>
        <w:rPr>
          <w:sz w:val="20"/>
          <w:szCs w:val="20"/>
          <w:color w:val="auto"/>
        </w:rPr>
      </w:pPr>
    </w:p>
    <w:p>
      <w:pPr>
        <w:jc w:val="both"/>
        <w:ind w:right="20" w:firstLine="382"/>
        <w:spacing w:after="0" w:line="265" w:lineRule="auto"/>
        <w:rPr>
          <w:sz w:val="20"/>
          <w:szCs w:val="20"/>
          <w:color w:val="auto"/>
        </w:rPr>
      </w:pPr>
      <w:r>
        <w:rPr>
          <w:rFonts w:ascii="Times New Roman" w:cs="Times New Roman" w:eastAsia="Times New Roman" w:hAnsi="Times New Roman"/>
          <w:sz w:val="16"/>
          <w:szCs w:val="16"/>
          <w:color w:val="auto"/>
        </w:rPr>
        <w:t>This AMENDED AND RESTATED SUBSCRIPTION AGREEMENT (this “</w:t>
      </w:r>
      <w:r>
        <w:rPr>
          <w:rFonts w:ascii="Times New Roman" w:cs="Times New Roman" w:eastAsia="Times New Roman" w:hAnsi="Times New Roman"/>
          <w:sz w:val="16"/>
          <w:szCs w:val="16"/>
          <w:u w:val="single" w:color="auto"/>
          <w:color w:val="auto"/>
        </w:rPr>
        <w:t>Subscription Agreement”)</w:t>
      </w:r>
      <w:r>
        <w:rPr>
          <w:rFonts w:ascii="Times New Roman" w:cs="Times New Roman" w:eastAsia="Times New Roman" w:hAnsi="Times New Roman"/>
          <w:sz w:val="16"/>
          <w:szCs w:val="16"/>
          <w:color w:val="auto"/>
        </w:rPr>
        <w:t xml:space="preserve"> is entered into on July 25, 2022 (the “</w:t>
      </w:r>
      <w:r>
        <w:rPr>
          <w:rFonts w:ascii="Times New Roman" w:cs="Times New Roman" w:eastAsia="Times New Roman" w:hAnsi="Times New Roman"/>
          <w:sz w:val="16"/>
          <w:szCs w:val="16"/>
          <w:u w:val="single" w:color="auto"/>
          <w:color w:val="auto"/>
        </w:rPr>
        <w:t>Amendment Date</w:t>
      </w:r>
      <w:r>
        <w:rPr>
          <w:rFonts w:ascii="Times New Roman" w:cs="Times New Roman" w:eastAsia="Times New Roman" w:hAnsi="Times New Roman"/>
          <w:sz w:val="16"/>
          <w:szCs w:val="16"/>
          <w:color w:val="auto"/>
        </w:rPr>
        <w:t>”), by and between Ventoux CCM Acquisition Corp.,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Lake Vineyard Fund LP and Silver Rock Empire Fund LP — Series 2022 (collectively, “</w:t>
      </w:r>
      <w:r>
        <w:rPr>
          <w:rFonts w:ascii="Times New Roman" w:cs="Times New Roman" w:eastAsia="Times New Roman" w:hAnsi="Times New Roman"/>
          <w:sz w:val="16"/>
          <w:szCs w:val="16"/>
          <w:u w:val="single" w:color="auto"/>
          <w:color w:val="auto"/>
        </w:rPr>
        <w:t>Subscriber</w:t>
      </w:r>
      <w:r>
        <w:rPr>
          <w:rFonts w:ascii="Times New Roman" w:cs="Times New Roman" w:eastAsia="Times New Roman" w:hAnsi="Times New Roman"/>
          <w:sz w:val="16"/>
          <w:szCs w:val="16"/>
          <w:color w:val="auto"/>
        </w:rPr>
        <w:t xml:space="preserve">”), and, solely for the purposes of </w:t>
      </w:r>
      <w:r>
        <w:rPr>
          <w:rFonts w:ascii="Times New Roman" w:cs="Times New Roman" w:eastAsia="Times New Roman" w:hAnsi="Times New Roman"/>
          <w:sz w:val="16"/>
          <w:szCs w:val="16"/>
          <w:u w:val="single" w:color="auto"/>
          <w:color w:val="auto"/>
        </w:rPr>
        <w:t>Section 8(d)</w:t>
      </w:r>
      <w:r>
        <w:rPr>
          <w:rFonts w:ascii="Times New Roman" w:cs="Times New Roman" w:eastAsia="Times New Roman" w:hAnsi="Times New Roman"/>
          <w:sz w:val="16"/>
          <w:szCs w:val="16"/>
          <w:color w:val="auto"/>
        </w:rPr>
        <w:t xml:space="preserve"> herein, E la Carte, Inc., a Delaware corporation (“</w:t>
      </w:r>
      <w:r>
        <w:rPr>
          <w:rFonts w:ascii="Times New Roman" w:cs="Times New Roman" w:eastAsia="Times New Roman" w:hAnsi="Times New Roman"/>
          <w:sz w:val="16"/>
          <w:szCs w:val="16"/>
          <w:u w:val="single" w:color="auto"/>
          <w:color w:val="auto"/>
        </w:rPr>
        <w:t>Presto</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WHEREAS, on November 10, 2021, the Company and Subscriber entered into a subscription agreement (the “</w:t>
      </w:r>
      <w:r>
        <w:rPr>
          <w:rFonts w:ascii="Times New Roman" w:cs="Times New Roman" w:eastAsia="Times New Roman" w:hAnsi="Times New Roman"/>
          <w:sz w:val="16"/>
          <w:szCs w:val="16"/>
          <w:u w:val="single" w:color="auto"/>
          <w:color w:val="auto"/>
        </w:rPr>
        <w:t>Original Subscription Agreement</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382"/>
        <w:spacing w:after="0" w:line="265" w:lineRule="auto"/>
        <w:rPr>
          <w:sz w:val="20"/>
          <w:szCs w:val="20"/>
          <w:color w:val="auto"/>
        </w:rPr>
      </w:pPr>
      <w:r>
        <w:rPr>
          <w:rFonts w:ascii="Times New Roman" w:cs="Times New Roman" w:eastAsia="Times New Roman" w:hAnsi="Times New Roman"/>
          <w:sz w:val="16"/>
          <w:szCs w:val="16"/>
          <w:color w:val="auto"/>
        </w:rPr>
        <w:t>WHEREAS, on November 10, 2021, the Company entered into a definitive agreement with Presto and the other parties thereto, as amended on April 1, 2022 and July 25, 2022, providing for the combination of the Company and Presto (as amended, the “</w:t>
      </w:r>
      <w:r>
        <w:rPr>
          <w:rFonts w:ascii="Times New Roman" w:cs="Times New Roman" w:eastAsia="Times New Roman" w:hAnsi="Times New Roman"/>
          <w:sz w:val="16"/>
          <w:szCs w:val="16"/>
          <w:u w:val="single" w:color="auto"/>
          <w:color w:val="auto"/>
        </w:rPr>
        <w:t>Transaction Agreement</w:t>
      </w:r>
      <w:r>
        <w:rPr>
          <w:rFonts w:ascii="Times New Roman" w:cs="Times New Roman" w:eastAsia="Times New Roman" w:hAnsi="Times New Roman"/>
          <w:sz w:val="16"/>
          <w:szCs w:val="16"/>
          <w:color w:val="auto"/>
        </w:rPr>
        <w:t>” and the transactions contemplated by the Transaction Agreement, the “</w:t>
      </w:r>
      <w:r>
        <w:rPr>
          <w:rFonts w:ascii="Times New Roman" w:cs="Times New Roman" w:eastAsia="Times New Roman" w:hAnsi="Times New Roman"/>
          <w:sz w:val="16"/>
          <w:szCs w:val="16"/>
          <w:u w:val="single" w:color="auto"/>
          <w:color w:val="auto"/>
        </w:rPr>
        <w:t>Transaction</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WHEREAS, the parties hereto desire to amend and restate the Original Subscription Agreement in its entirety;</w:t>
      </w:r>
    </w:p>
    <w:p>
      <w:pPr>
        <w:spacing w:after="0" w:line="198"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6"/>
          <w:szCs w:val="16"/>
          <w:color w:val="auto"/>
        </w:rPr>
        <w:t>WHEREAS, in connection with the Transaction, Subscriber desires to subscribe for and purchase from the Company, immediately prior to the consummation of the Transaction, $25,000,000 aggregate principal amount of the Company’s 15.0% Cash + 5.0% PIK convertible senior notes due 2026 (the “</w:t>
      </w:r>
      <w:r>
        <w:rPr>
          <w:rFonts w:ascii="Times New Roman" w:cs="Times New Roman" w:eastAsia="Times New Roman" w:hAnsi="Times New Roman"/>
          <w:sz w:val="16"/>
          <w:szCs w:val="16"/>
          <w:u w:val="single" w:color="auto"/>
          <w:color w:val="auto"/>
        </w:rPr>
        <w:t>Notes</w:t>
      </w:r>
      <w:r>
        <w:rPr>
          <w:rFonts w:ascii="Times New Roman" w:cs="Times New Roman" w:eastAsia="Times New Roman" w:hAnsi="Times New Roman"/>
          <w:sz w:val="16"/>
          <w:szCs w:val="16"/>
          <w:color w:val="auto"/>
        </w:rPr>
        <w:t>”) as set forth on the signature pages hereto (the “</w:t>
      </w:r>
      <w:r>
        <w:rPr>
          <w:rFonts w:ascii="Times New Roman" w:cs="Times New Roman" w:eastAsia="Times New Roman" w:hAnsi="Times New Roman"/>
          <w:sz w:val="16"/>
          <w:szCs w:val="16"/>
          <w:u w:val="single" w:color="auto"/>
          <w:color w:val="auto"/>
        </w:rPr>
        <w:t>Subscribed Notes</w:t>
      </w:r>
      <w:r>
        <w:rPr>
          <w:rFonts w:ascii="Times New Roman" w:cs="Times New Roman" w:eastAsia="Times New Roman" w:hAnsi="Times New Roman"/>
          <w:sz w:val="16"/>
          <w:szCs w:val="16"/>
          <w:color w:val="auto"/>
        </w:rPr>
        <w:t>”) and that number of warrants (the “</w:t>
      </w:r>
      <w:r>
        <w:rPr>
          <w:rFonts w:ascii="Times New Roman" w:cs="Times New Roman" w:eastAsia="Times New Roman" w:hAnsi="Times New Roman"/>
          <w:sz w:val="16"/>
          <w:szCs w:val="16"/>
          <w:u w:val="single" w:color="auto"/>
          <w:color w:val="auto"/>
        </w:rPr>
        <w:t>Warrants</w:t>
      </w:r>
      <w:r>
        <w:rPr>
          <w:rFonts w:ascii="Times New Roman" w:cs="Times New Roman" w:eastAsia="Times New Roman" w:hAnsi="Times New Roman"/>
          <w:sz w:val="16"/>
          <w:szCs w:val="16"/>
          <w:color w:val="auto"/>
        </w:rPr>
        <w:t>”) to purchase an aggregate of 1,500,000 shares of the Company’s common stock, par value $0.0001 per share (the “</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as set forth on the signature pages hereto (the “</w:t>
      </w:r>
      <w:r>
        <w:rPr>
          <w:rFonts w:ascii="Times New Roman" w:cs="Times New Roman" w:eastAsia="Times New Roman" w:hAnsi="Times New Roman"/>
          <w:sz w:val="16"/>
          <w:szCs w:val="16"/>
          <w:u w:val="single" w:color="auto"/>
          <w:color w:val="auto"/>
        </w:rPr>
        <w:t>Subscribed Warrants</w:t>
      </w:r>
      <w:r>
        <w:rPr>
          <w:rFonts w:ascii="Times New Roman" w:cs="Times New Roman" w:eastAsia="Times New Roman" w:hAnsi="Times New Roman"/>
          <w:sz w:val="16"/>
          <w:szCs w:val="16"/>
          <w:color w:val="auto"/>
        </w:rPr>
        <w:t>” and, together with the Subscribed Notes, the “</w:t>
      </w:r>
      <w:r>
        <w:rPr>
          <w:rFonts w:ascii="Times New Roman" w:cs="Times New Roman" w:eastAsia="Times New Roman" w:hAnsi="Times New Roman"/>
          <w:sz w:val="16"/>
          <w:szCs w:val="16"/>
          <w:u w:val="single" w:color="auto"/>
          <w:color w:val="auto"/>
        </w:rPr>
        <w:t>Subscribed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Securities</w:t>
      </w:r>
      <w:r>
        <w:rPr>
          <w:rFonts w:ascii="Times New Roman" w:cs="Times New Roman" w:eastAsia="Times New Roman" w:hAnsi="Times New Roman"/>
          <w:sz w:val="16"/>
          <w:szCs w:val="16"/>
          <w:color w:val="auto"/>
        </w:rPr>
        <w:t>”) for an aggregate purchase price equal to 100.0% of the principal amount of the Subscribed Notes (the “</w:t>
      </w:r>
      <w:r>
        <w:rPr>
          <w:rFonts w:ascii="Times New Roman" w:cs="Times New Roman" w:eastAsia="Times New Roman" w:hAnsi="Times New Roman"/>
          <w:sz w:val="16"/>
          <w:szCs w:val="16"/>
          <w:u w:val="single" w:color="auto"/>
          <w:color w:val="auto"/>
        </w:rPr>
        <w:t>Purchase Price</w:t>
      </w:r>
      <w:r>
        <w:rPr>
          <w:rFonts w:ascii="Times New Roman" w:cs="Times New Roman" w:eastAsia="Times New Roman" w:hAnsi="Times New Roman"/>
          <w:sz w:val="16"/>
          <w:szCs w:val="16"/>
          <w:color w:val="auto"/>
        </w:rPr>
        <w:t>”), and the Company desires to issue and sell to Subscriber the Subscribed Securities in consideration of the payment of the Purchase Price by or on behalf of Subscriber to the Company;</w:t>
      </w:r>
    </w:p>
    <w:p>
      <w:pPr>
        <w:spacing w:after="0" w:line="165" w:lineRule="exact"/>
        <w:rPr>
          <w:sz w:val="20"/>
          <w:szCs w:val="20"/>
          <w:color w:val="auto"/>
        </w:rPr>
      </w:pPr>
    </w:p>
    <w:p>
      <w:pPr>
        <w:jc w:val="both"/>
        <w:ind w:firstLine="382"/>
        <w:spacing w:after="0" w:line="252" w:lineRule="auto"/>
        <w:rPr>
          <w:sz w:val="20"/>
          <w:szCs w:val="20"/>
          <w:color w:val="auto"/>
        </w:rPr>
      </w:pPr>
      <w:r>
        <w:rPr>
          <w:rFonts w:ascii="Times New Roman" w:cs="Times New Roman" w:eastAsia="Times New Roman" w:hAnsi="Times New Roman"/>
          <w:sz w:val="16"/>
          <w:szCs w:val="16"/>
          <w:color w:val="auto"/>
        </w:rPr>
        <w:t>WHEREAS, substantially concurrently with the execution of the Original Subscription Agreement or prior to the closing date of the Transaction (the “</w:t>
      </w:r>
      <w:r>
        <w:rPr>
          <w:rFonts w:ascii="Times New Roman" w:cs="Times New Roman" w:eastAsia="Times New Roman" w:hAnsi="Times New Roman"/>
          <w:sz w:val="16"/>
          <w:szCs w:val="16"/>
          <w:u w:val="single" w:color="auto"/>
          <w:color w:val="auto"/>
        </w:rPr>
        <w:t>Closing Date</w:t>
      </w:r>
      <w:r>
        <w:rPr>
          <w:rFonts w:ascii="Times New Roman" w:cs="Times New Roman" w:eastAsia="Times New Roman" w:hAnsi="Times New Roman"/>
          <w:sz w:val="16"/>
          <w:szCs w:val="16"/>
          <w:color w:val="auto"/>
        </w:rPr>
        <w:t>”), the Company entered into or will enter into subscription agreements (the “</w:t>
      </w:r>
      <w:r>
        <w:rPr>
          <w:rFonts w:ascii="Times New Roman" w:cs="Times New Roman" w:eastAsia="Times New Roman" w:hAnsi="Times New Roman"/>
          <w:sz w:val="16"/>
          <w:szCs w:val="16"/>
          <w:u w:val="single" w:color="auto"/>
          <w:color w:val="auto"/>
        </w:rPr>
        <w:t>Other Subscription Agreements</w:t>
      </w:r>
      <w:r>
        <w:rPr>
          <w:rFonts w:ascii="Times New Roman" w:cs="Times New Roman" w:eastAsia="Times New Roman" w:hAnsi="Times New Roman"/>
          <w:sz w:val="16"/>
          <w:szCs w:val="16"/>
          <w:color w:val="auto"/>
        </w:rPr>
        <w:t>” and together with this Subscription Agreement, the “</w:t>
      </w:r>
      <w:r>
        <w:rPr>
          <w:rFonts w:ascii="Times New Roman" w:cs="Times New Roman" w:eastAsia="Times New Roman" w:hAnsi="Times New Roman"/>
          <w:sz w:val="16"/>
          <w:szCs w:val="16"/>
          <w:u w:val="single" w:color="auto"/>
          <w:color w:val="auto"/>
        </w:rPr>
        <w:t>Subscription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Agreements</w:t>
      </w:r>
      <w:r>
        <w:rPr>
          <w:rFonts w:ascii="Times New Roman" w:cs="Times New Roman" w:eastAsia="Times New Roman" w:hAnsi="Times New Roman"/>
          <w:sz w:val="16"/>
          <w:szCs w:val="16"/>
          <w:color w:val="auto"/>
        </w:rPr>
        <w:t>”), with certain other accredited investors (the “</w:t>
      </w:r>
      <w:r>
        <w:rPr>
          <w:rFonts w:ascii="Times New Roman" w:cs="Times New Roman" w:eastAsia="Times New Roman" w:hAnsi="Times New Roman"/>
          <w:sz w:val="16"/>
          <w:szCs w:val="16"/>
          <w:u w:val="single" w:color="auto"/>
          <w:color w:val="auto"/>
        </w:rPr>
        <w:t>Other Subscribers</w:t>
      </w:r>
      <w:r>
        <w:rPr>
          <w:rFonts w:ascii="Times New Roman" w:cs="Times New Roman" w:eastAsia="Times New Roman" w:hAnsi="Times New Roman"/>
          <w:sz w:val="16"/>
          <w:szCs w:val="16"/>
          <w:color w:val="auto"/>
        </w:rPr>
        <w:t>” and together with Subscriber, the “</w:t>
      </w:r>
      <w:r>
        <w:rPr>
          <w:rFonts w:ascii="Times New Roman" w:cs="Times New Roman" w:eastAsia="Times New Roman" w:hAnsi="Times New Roman"/>
          <w:sz w:val="16"/>
          <w:szCs w:val="16"/>
          <w:u w:val="single" w:color="auto"/>
          <w:color w:val="auto"/>
        </w:rPr>
        <w:t>Subscribers</w:t>
      </w:r>
      <w:r>
        <w:rPr>
          <w:rFonts w:ascii="Times New Roman" w:cs="Times New Roman" w:eastAsia="Times New Roman" w:hAnsi="Times New Roman"/>
          <w:sz w:val="16"/>
          <w:szCs w:val="16"/>
          <w:color w:val="auto"/>
        </w:rPr>
        <w:t>”), which are on substantially the same terms as the terms of this Subscription Agreement (other than with respect to (t) the amounts, price and types of the Company’s securities to be subscribed for and purchased by the Other Subscribers and any terms relating to such other types of the Company’s securities, (u) certain fees payable by Presto to and board observer rights granted to Lake Vineyard Fund LP and Silver Rock Empire Fund LP — Series 2022 and their affiliates, (v) the purchase of Common Stock from the Sponsors (as defined herein), (w) certain rights to nominate a member of the Company’s board of directors after and contingent upon the Closing (as defined herein), (x) certain closing conditions in the Other Subscription Agreements relating to the Subscribed Notes and the payment of expenses in the Transaction, (y) (i) any rights or benefits granted to an Other Subscriber in connection with such Other Subscriber’s compliance with any law, regulation or policy specifically applicable to such Other Subscriber or in connection with the taxable status of an Other Subscriber and (ii) any rights with respect to the confidentiality or disclosure of an Other Subscriber’s identity and (z) certain registration rights and related indemnity provisions), pursuant to which such investors shall agree or have agreed to purchase on the Closing Date shares of Common Stock (together with the Subscribed Securities, the “</w:t>
      </w:r>
      <w:r>
        <w:rPr>
          <w:rFonts w:ascii="Times New Roman" w:cs="Times New Roman" w:eastAsia="Times New Roman" w:hAnsi="Times New Roman"/>
          <w:sz w:val="16"/>
          <w:szCs w:val="16"/>
          <w:u w:val="single" w:color="auto"/>
          <w:color w:val="auto"/>
        </w:rPr>
        <w:t>Aggregate Subscribed Securities</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WHEREAS, in connection with the issuance of the Subscribed Notes on the Closing Date, the Company and U.S. Bank National Association, as trustee (the “</w:t>
      </w:r>
      <w:r>
        <w:rPr>
          <w:rFonts w:ascii="Times New Roman" w:cs="Times New Roman" w:eastAsia="Times New Roman" w:hAnsi="Times New Roman"/>
          <w:sz w:val="16"/>
          <w:szCs w:val="16"/>
          <w:u w:val="single" w:color="auto"/>
          <w:color w:val="auto"/>
        </w:rPr>
        <w:t>Trustee</w:t>
      </w:r>
      <w:r>
        <w:rPr>
          <w:rFonts w:ascii="Times New Roman" w:cs="Times New Roman" w:eastAsia="Times New Roman" w:hAnsi="Times New Roman"/>
          <w:sz w:val="16"/>
          <w:szCs w:val="16"/>
          <w:color w:val="auto"/>
        </w:rPr>
        <w:t xml:space="preserve">”), will enter into an indenture in respect of the Notes in substantially the form attached hereto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Indenture</w:t>
      </w:r>
      <w:r>
        <w:rPr>
          <w:rFonts w:ascii="Times New Roman" w:cs="Times New Roman" w:eastAsia="Times New Roman" w:hAnsi="Times New Roman"/>
          <w:sz w:val="16"/>
          <w:szCs w:val="16"/>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223520</wp:posOffset>
            </wp:positionV>
            <wp:extent cx="7148195" cy="152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7" w:name="page118"/>
    <w:bookmarkEnd w:id="117"/>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 xml:space="preserve">WHEREAS, in connection with the issuance of the Subscribed Warrants on the Closing Date, the Company and Continental Stock Transfer &amp; Trust Company, as Warrant Agent, will enter into an amended and restated warrant agreement in respect of the Subscribed Warrants in substantially the form attached hereto as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Warrant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jc w:val="both"/>
        <w:ind w:right="20" w:firstLine="382"/>
        <w:spacing w:after="0" w:line="265" w:lineRule="auto"/>
        <w:rPr>
          <w:sz w:val="20"/>
          <w:szCs w:val="20"/>
          <w:color w:val="auto"/>
        </w:rPr>
      </w:pPr>
      <w:r>
        <w:rPr>
          <w:rFonts w:ascii="Times New Roman" w:cs="Times New Roman" w:eastAsia="Times New Roman" w:hAnsi="Times New Roman"/>
          <w:sz w:val="16"/>
          <w:szCs w:val="16"/>
          <w:color w:val="auto"/>
        </w:rPr>
        <w:t>NOW, THEREFORE, in consideration of the foregoing and the mutual representations, warranties and covenants, and subject to the conditions, herein contained, and intending to be legally bound hereby, the parties hereto hereby agree that the Original Subscription Agreement is amended and restated in its entirety by this Subscription Agreement, and further agree as follows:</w:t>
      </w:r>
    </w:p>
    <w:p>
      <w:pPr>
        <w:spacing w:after="0" w:line="155" w:lineRule="exact"/>
        <w:rPr>
          <w:sz w:val="20"/>
          <w:szCs w:val="20"/>
          <w:color w:val="auto"/>
        </w:rPr>
      </w:pPr>
    </w:p>
    <w:p>
      <w:pPr>
        <w:ind w:left="540" w:hanging="162"/>
        <w:spacing w:after="0"/>
        <w:tabs>
          <w:tab w:leader="none" w:pos="54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Subscription; Fee</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ind w:right="20" w:firstLine="760"/>
        <w:spacing w:after="0" w:line="280" w:lineRule="auto"/>
        <w:tabs>
          <w:tab w:leader="none" w:pos="923" w:val="left"/>
        </w:tabs>
        <w:numPr>
          <w:ilvl w:val="1"/>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and conditions hereof, at the Closing (as defined below), Subscriber hereby agrees to subscribe for and purchase, and the Company hereby agrees to issue and sell to Subscriber, upon the payment of the Purchase Price, the Subscribed Securities (such subscription and issuance, the “</w:t>
      </w:r>
      <w:r>
        <w:rPr>
          <w:rFonts w:ascii="Times New Roman" w:cs="Times New Roman" w:eastAsia="Times New Roman" w:hAnsi="Times New Roman"/>
          <w:sz w:val="16"/>
          <w:szCs w:val="16"/>
          <w:u w:val="single" w:color="auto"/>
          <w:color w:val="auto"/>
        </w:rPr>
        <w:t>Subscription</w:t>
      </w:r>
      <w:r>
        <w:rPr>
          <w:rFonts w:ascii="Times New Roman" w:cs="Times New Roman" w:eastAsia="Times New Roman" w:hAnsi="Times New Roman"/>
          <w:sz w:val="16"/>
          <w:szCs w:val="16"/>
          <w:color w:val="auto"/>
        </w:rPr>
        <w:t>”).</w:t>
      </w:r>
    </w:p>
    <w:p>
      <w:pPr>
        <w:spacing w:after="0" w:line="144" w:lineRule="exact"/>
        <w:rPr>
          <w:rFonts w:ascii="Times New Roman" w:cs="Times New Roman" w:eastAsia="Times New Roman" w:hAnsi="Times New Roman"/>
          <w:sz w:val="16"/>
          <w:szCs w:val="16"/>
          <w:color w:val="auto"/>
        </w:rPr>
      </w:pPr>
    </w:p>
    <w:p>
      <w:pPr>
        <w:ind w:right="20" w:firstLine="760"/>
        <w:spacing w:after="0" w:line="280" w:lineRule="auto"/>
        <w:tabs>
          <w:tab w:leader="none" w:pos="948" w:val="left"/>
        </w:tabs>
        <w:numPr>
          <w:ilvl w:val="1"/>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Closing, the Company shall pay Subscriber or their designee(s) collectively a one-time fee equal to 2.0% of the aggregate principal amount of the Subscribed Notes.</w:t>
      </w:r>
    </w:p>
    <w:p>
      <w:pPr>
        <w:spacing w:after="0" w:line="144" w:lineRule="exact"/>
        <w:rPr>
          <w:rFonts w:ascii="Times New Roman" w:cs="Times New Roman" w:eastAsia="Times New Roman" w:hAnsi="Times New Roman"/>
          <w:sz w:val="16"/>
          <w:szCs w:val="16"/>
          <w:color w:val="auto"/>
        </w:rPr>
      </w:pPr>
    </w:p>
    <w:p>
      <w:pPr>
        <w:ind w:left="540" w:hanging="162"/>
        <w:spacing w:after="0"/>
        <w:tabs>
          <w:tab w:leader="none" w:pos="54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ind w:right="20" w:firstLine="760"/>
        <w:spacing w:after="0" w:line="280" w:lineRule="auto"/>
        <w:tabs>
          <w:tab w:leader="none" w:pos="919" w:val="left"/>
        </w:tabs>
        <w:numPr>
          <w:ilvl w:val="1"/>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of this Subscription Agreement, the consummation of the Subscription contemplated hereby (the “</w:t>
      </w: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shall occur on the Closing Date immediately prior to or substantially concurrently with the consummation of the Transaction.</w:t>
      </w:r>
    </w:p>
    <w:p>
      <w:pPr>
        <w:spacing w:after="0" w:line="144" w:lineRule="exact"/>
        <w:rPr>
          <w:rFonts w:ascii="Times New Roman" w:cs="Times New Roman" w:eastAsia="Times New Roman" w:hAnsi="Times New Roman"/>
          <w:sz w:val="16"/>
          <w:szCs w:val="16"/>
          <w:color w:val="auto"/>
        </w:rPr>
      </w:pPr>
    </w:p>
    <w:p>
      <w:pPr>
        <w:jc w:val="both"/>
        <w:ind w:firstLine="760"/>
        <w:spacing w:after="0" w:line="269" w:lineRule="auto"/>
        <w:tabs>
          <w:tab w:leader="none" w:pos="932" w:val="left"/>
        </w:tabs>
        <w:numPr>
          <w:ilvl w:val="1"/>
          <w:numId w:val="1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least 15 Business Days before the anticipated Closing Date, the Company shall deliver written notice to Subscriber (the “</w:t>
      </w:r>
      <w:r>
        <w:rPr>
          <w:rFonts w:ascii="Times New Roman" w:cs="Times New Roman" w:eastAsia="Times New Roman" w:hAnsi="Times New Roman"/>
          <w:sz w:val="15"/>
          <w:szCs w:val="15"/>
          <w:u w:val="single" w:color="auto"/>
          <w:color w:val="auto"/>
        </w:rPr>
        <w:t>Closing Notice</w:t>
      </w:r>
      <w:r>
        <w:rPr>
          <w:rFonts w:ascii="Times New Roman" w:cs="Times New Roman" w:eastAsia="Times New Roman" w:hAnsi="Times New Roman"/>
          <w:sz w:val="15"/>
          <w:szCs w:val="15"/>
          <w:color w:val="auto"/>
        </w:rPr>
        <w:t xml:space="preserve">”) specifying (i) the anticipated Closing Date and (ii) the wire instructions for delivery of the Purchase Price to the Company. No later than two (2) Business Days after receiving the Closing Notice, Subscriber shall deliver to the Company such information as is reasonably requested in the Closing Notice in order for the Company to issue the Subscribed Securities to Subscriber. Subscriber shall deliver to the Company, no later than one (1) Business Day prior to the Closing Date as set forth in the Closing Notice, (a) the Purchase Price for the Subscribed Securities by wire transfer of United States dollars in immediately available funds to the account specified by the Company in the Closing Notice, such funds to be held by the Company in escrow until the Closing and (b) such information as is reasonably requested in the Closing Notice in order for the Company to issue the Subscribed Securities to Subscriber at the Closing. Upon satisfaction (or, if applicable, waiver) of the conditions set forth in this </w:t>
      </w:r>
      <w:r>
        <w:rPr>
          <w:rFonts w:ascii="Times New Roman" w:cs="Times New Roman" w:eastAsia="Times New Roman" w:hAnsi="Times New Roman"/>
          <w:sz w:val="15"/>
          <w:szCs w:val="15"/>
          <w:u w:val="single" w:color="auto"/>
          <w:color w:val="auto"/>
        </w:rPr>
        <w:t>Section 2</w:t>
      </w:r>
      <w:r>
        <w:rPr>
          <w:rFonts w:ascii="Times New Roman" w:cs="Times New Roman" w:eastAsia="Times New Roman" w:hAnsi="Times New Roman"/>
          <w:sz w:val="15"/>
          <w:szCs w:val="15"/>
          <w:color w:val="auto"/>
        </w:rPr>
        <w:t xml:space="preserve">, the Company shall deliver to Subscriber at the Closing (i) the Subscribed Notes in book entry form, free and clear of any liens or other restrictions (other than those arising under the Indenture, this Subscription Agreement or applicable state or federal securities laws), and (ii) the Warrant Agreement executed by the Company, evidencing the issuance to Subscriber of the Subscribed Warrants on and as of the Closing Date. In the event that the consummation of the Transaction does not occur within two (2) Business Days after the anticipated Closing Date specified in the Closing Notice, unless otherwise agreed to in writing by the Company and Subscriber, the Company shall promptly (but in no event later than one (1) Business Day thereafter) return the funds so delivered by Subscriber to the Company by wire transfer in immediately available funds to the account specified by Subscriber and any book entries shall be deemed cancelled. Subscriber shall not be required to deliver to the Company on more than two (2) occasions, the Purchase Price pursuant to a Closing Notice;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if a second Closing Notice is delivered following the return of the delivery of the Purchase Price pursuant to the first Closing Notice, then the Company shall reimburse Subscriber the lesser of (x)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and (y)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Notwithstanding such return or cancellation, a failure to close on the anticipated Closing Date shall not, by itself, be deemed to be a failure of any of the conditions to Closing set forth in this </w:t>
      </w:r>
      <w:r>
        <w:rPr>
          <w:rFonts w:ascii="Times New Roman" w:cs="Times New Roman" w:eastAsia="Times New Roman" w:hAnsi="Times New Roman"/>
          <w:sz w:val="15"/>
          <w:szCs w:val="15"/>
          <w:u w:val="single" w:color="auto"/>
          <w:color w:val="auto"/>
        </w:rPr>
        <w:t>Section 2</w:t>
      </w:r>
      <w:r>
        <w:rPr>
          <w:rFonts w:ascii="Times New Roman" w:cs="Times New Roman" w:eastAsia="Times New Roman" w:hAnsi="Times New Roman"/>
          <w:sz w:val="15"/>
          <w:szCs w:val="15"/>
          <w:color w:val="auto"/>
        </w:rPr>
        <w:t xml:space="preserve"> to be satisfied or waived on or prior to the Closing Date. For the purposes of this Subscription Agreement, “</w:t>
      </w:r>
      <w:r>
        <w:rPr>
          <w:rFonts w:ascii="Times New Roman" w:cs="Times New Roman" w:eastAsia="Times New Roman" w:hAnsi="Times New Roman"/>
          <w:sz w:val="15"/>
          <w:szCs w:val="15"/>
          <w:u w:val="single" w:color="auto"/>
          <w:color w:val="auto"/>
        </w:rPr>
        <w:t>Business Day</w:t>
      </w:r>
      <w:r>
        <w:rPr>
          <w:rFonts w:ascii="Times New Roman" w:cs="Times New Roman" w:eastAsia="Times New Roman" w:hAnsi="Times New Roman"/>
          <w:sz w:val="15"/>
          <w:szCs w:val="15"/>
          <w:color w:val="auto"/>
        </w:rPr>
        <w:t>” means any day other than a Saturday, Sunday or a day on which the Federal Reserve Bank of New York is closed.</w:t>
      </w:r>
    </w:p>
    <w:p>
      <w:pPr>
        <w:spacing w:after="0" w:line="348" w:lineRule="exact"/>
        <w:rPr>
          <w:rFonts w:ascii="Times New Roman" w:cs="Times New Roman" w:eastAsia="Times New Roman" w:hAnsi="Times New Roman"/>
          <w:sz w:val="15"/>
          <w:szCs w:val="15"/>
          <w:color w:val="auto"/>
        </w:rPr>
      </w:pPr>
    </w:p>
    <w:p>
      <w:pPr>
        <w:ind w:right="20" w:firstLine="760"/>
        <w:spacing w:after="0" w:line="280" w:lineRule="auto"/>
        <w:tabs>
          <w:tab w:leader="none" w:pos="919" w:val="left"/>
        </w:tabs>
        <w:numPr>
          <w:ilvl w:val="1"/>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Closing shall be subject to the satisfaction or valid waiver in writing by each of the parties hereto (to the extent a valid waiver is capable of being issued) by the Company, on the one hand, or Subscriber, on the other, of the conditions that, on the Closing Date:</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84" w:val="left"/>
        </w:tabs>
        <w:numPr>
          <w:ilvl w:val="2"/>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suspension of the qualification of any of the Subscribed Securities or the Common Stock for offering or sale or trading in any jurisdiction, or initiation or threatening of any proceedings for any of such purposes, shall have occurred and the shares of Common Stock underlying the Subscribed Notes and Subscribed Warrants (the “</w:t>
      </w:r>
      <w:r>
        <w:rPr>
          <w:rFonts w:ascii="Times New Roman" w:cs="Times New Roman" w:eastAsia="Times New Roman" w:hAnsi="Times New Roman"/>
          <w:sz w:val="16"/>
          <w:szCs w:val="16"/>
          <w:u w:val="single" w:color="auto"/>
          <w:color w:val="auto"/>
        </w:rPr>
        <w:t>Underlying Shares</w:t>
      </w:r>
      <w:r>
        <w:rPr>
          <w:rFonts w:ascii="Times New Roman" w:cs="Times New Roman" w:eastAsia="Times New Roman" w:hAnsi="Times New Roman"/>
          <w:sz w:val="16"/>
          <w:szCs w:val="16"/>
          <w:color w:val="auto"/>
        </w:rPr>
        <w:t>”) shall have been approved for listing on The Nasdaq Stock Market LLC (“</w:t>
      </w:r>
      <w:r>
        <w:rPr>
          <w:rFonts w:ascii="Times New Roman" w:cs="Times New Roman" w:eastAsia="Times New Roman" w:hAnsi="Times New Roman"/>
          <w:sz w:val="16"/>
          <w:szCs w:val="16"/>
          <w:u w:val="single" w:color="auto"/>
          <w:color w:val="auto"/>
        </w:rPr>
        <w:t>NASDAQ</w:t>
      </w:r>
      <w:r>
        <w:rPr>
          <w:rFonts w:ascii="Times New Roman" w:cs="Times New Roman" w:eastAsia="Times New Roman" w:hAnsi="Times New Roman"/>
          <w:sz w:val="16"/>
          <w:szCs w:val="16"/>
          <w:color w:val="auto"/>
        </w:rPr>
        <w:t>”), subject to official notice of issuance;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18" w:name="page119"/>
    <w:bookmarkEnd w:id="118"/>
    <w:p>
      <w:pPr>
        <w:ind w:right="20" w:firstLine="1143"/>
        <w:spacing w:after="0" w:line="280" w:lineRule="auto"/>
        <w:tabs>
          <w:tab w:leader="none" w:pos="1390" w:val="left"/>
        </w:tabs>
        <w:numPr>
          <w:ilvl w:val="1"/>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conditions precedent to the closing of the Transaction set forth in the Transaction Agreement, including the approval of the Company’s stockholders, shall have been satisfied or waived, and the closing of the Transaction shall be scheduled to occur concurrently with or immediately following the Closing; and</w:t>
      </w:r>
    </w:p>
    <w:p>
      <w:pPr>
        <w:spacing w:after="0" w:line="144" w:lineRule="exact"/>
        <w:rPr>
          <w:rFonts w:ascii="Times New Roman" w:cs="Times New Roman" w:eastAsia="Times New Roman" w:hAnsi="Times New Roman"/>
          <w:sz w:val="16"/>
          <w:szCs w:val="16"/>
          <w:color w:val="auto"/>
        </w:rPr>
      </w:pPr>
    </w:p>
    <w:p>
      <w:pPr>
        <w:jc w:val="both"/>
        <w:ind w:firstLine="1143"/>
        <w:spacing w:after="0" w:line="255" w:lineRule="auto"/>
        <w:tabs>
          <w:tab w:leader="none" w:pos="1432" w:val="left"/>
        </w:tabs>
        <w:numPr>
          <w:ilvl w:val="1"/>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governmental authority shall have enacted, issued, promulgated, enforced or entered any judgment, order, law, rule or regulation (whether temporary, preliminary or permanent) which is then in effect and has the effect of making consummation of the transactions contemplated hereby illegal or otherwise restraining or prohibiting consummation of the transactions contemplated hereby (except in the case of a governmental authority located outside the United States where such judgment, order, law, rule or regulation would not be reasonably expected to have a Company Material Adverse Effect (as defined below)); and no such governmental authority shall have instituted or threatened in writing a proceeding seeking to impose any such restraint or prohibition (except in the case of a governmental authority located outside the United States where such restraint or prohibition would not be reasonably expected to have a Company Material Adverse Effect).</w:t>
      </w:r>
    </w:p>
    <w:p>
      <w:pPr>
        <w:spacing w:after="0" w:line="165" w:lineRule="exact"/>
        <w:rPr>
          <w:rFonts w:ascii="Times New Roman" w:cs="Times New Roman" w:eastAsia="Times New Roman" w:hAnsi="Times New Roman"/>
          <w:sz w:val="16"/>
          <w:szCs w:val="16"/>
          <w:color w:val="auto"/>
        </w:rPr>
      </w:pPr>
    </w:p>
    <w:p>
      <w:pPr>
        <w:ind w:firstLine="760"/>
        <w:spacing w:after="0" w:line="280" w:lineRule="auto"/>
        <w:tabs>
          <w:tab w:leader="none" w:pos="944"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obligation of the Company to consummate the Closing shall be subject to the satisfaction or valid waiver in writing by the Company of the additional conditions that, on the Closing Date:</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59" w:lineRule="auto"/>
        <w:tabs>
          <w:tab w:leader="none" w:pos="1383" w:val="left"/>
        </w:tabs>
        <w:numPr>
          <w:ilvl w:val="1"/>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representations and warranties of Subscriber contained in this Subscription Agreement are true and correct in all material respects (other than (x) those representations and warranties expressly made as of an earlier date, which shall be true and correct in all material respects as of such date, and (y) representations and warranties that are qualified as to materiality or Subscriber Material Adverse Effect (as defined below), which representations and warranties shall be true in all respects) at and as of the Closing Date; and</w:t>
      </w:r>
    </w:p>
    <w:p>
      <w:pPr>
        <w:spacing w:after="0" w:line="161"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422" w:val="left"/>
        </w:tabs>
        <w:numPr>
          <w:ilvl w:val="1"/>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shall have performed, satisfied and complied in all material respects with all covenants, agreements and conditions required by this Subscription Agreement to be performed, satisfied or complied with by it at or prior to the Closing, except where the failure of such performance or compliance would not reasonably be expected to prevent, materially delay or materially impair the ability of the Company to consummate the Closing.</w:t>
      </w:r>
    </w:p>
    <w:p>
      <w:pPr>
        <w:spacing w:after="0" w:line="155" w:lineRule="exact"/>
        <w:rPr>
          <w:rFonts w:ascii="Times New Roman" w:cs="Times New Roman" w:eastAsia="Times New Roman" w:hAnsi="Times New Roman"/>
          <w:sz w:val="16"/>
          <w:szCs w:val="16"/>
          <w:color w:val="auto"/>
        </w:rPr>
      </w:pPr>
    </w:p>
    <w:p>
      <w:pPr>
        <w:ind w:left="920" w:hanging="160"/>
        <w:spacing w:after="0"/>
        <w:tabs>
          <w:tab w:leader="none" w:pos="92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obligation of Subscriber to consummate the Closing shall be subject to the satisfaction or valid waiver by Subscriber of the additional conditions that, on the</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Closing Date:</w:t>
      </w:r>
    </w:p>
    <w:p>
      <w:pPr>
        <w:spacing w:after="0" w:line="181" w:lineRule="exact"/>
        <w:rPr>
          <w:rFonts w:ascii="Times New Roman" w:cs="Times New Roman" w:eastAsia="Times New Roman" w:hAnsi="Times New Roman"/>
          <w:sz w:val="16"/>
          <w:szCs w:val="16"/>
          <w:color w:val="auto"/>
        </w:rPr>
      </w:pPr>
    </w:p>
    <w:p>
      <w:pPr>
        <w:jc w:val="both"/>
        <w:ind w:firstLine="1143"/>
        <w:spacing w:after="0" w:line="259" w:lineRule="auto"/>
        <w:tabs>
          <w:tab w:leader="none" w:pos="1400" w:val="left"/>
        </w:tabs>
        <w:numPr>
          <w:ilvl w:val="1"/>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representations and warranties of the Company contained in this Subscription Agreement are true and correct in all material respects (other than (x) those representations and warranties expressly made as of an earlier date, which shall be true and correct in all material respects as of such date, and (y) representations and warranties that are qualified as to materiality or Company Material Adverse Effect (as defined below), which representations and warranties shall be true in all respects) at and as of the Closing Date;</w:t>
      </w:r>
    </w:p>
    <w:p>
      <w:pPr>
        <w:spacing w:after="0" w:line="161" w:lineRule="exact"/>
        <w:rPr>
          <w:rFonts w:ascii="Times New Roman" w:cs="Times New Roman" w:eastAsia="Times New Roman" w:hAnsi="Times New Roman"/>
          <w:sz w:val="16"/>
          <w:szCs w:val="16"/>
          <w:color w:val="auto"/>
        </w:rPr>
      </w:pPr>
    </w:p>
    <w:p>
      <w:pPr>
        <w:ind w:right="20" w:firstLine="1143"/>
        <w:spacing w:after="0" w:line="280" w:lineRule="auto"/>
        <w:tabs>
          <w:tab w:leader="none" w:pos="1411" w:val="left"/>
        </w:tabs>
        <w:numPr>
          <w:ilvl w:val="1"/>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performed, satisfied and complied in all material respects with all covenants, agreements and conditions required by this Subscription Agreement to be performed, satisfied or complied with by it at or prior to the Closing;</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446" w:val="left"/>
        </w:tabs>
        <w:numPr>
          <w:ilvl w:val="1"/>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shall have been no amendment, waiver or modification to the Transaction Agreement after the Amendment Date that materially and adversely affects the Company or the economic benefits that Subscriber would reasonably expect to receive under this Subscription Agreement without having received Subscriber’s prior written consent;</w:t>
      </w:r>
    </w:p>
    <w:p>
      <w:pPr>
        <w:spacing w:after="0" w:line="155" w:lineRule="exact"/>
        <w:rPr>
          <w:rFonts w:ascii="Times New Roman" w:cs="Times New Roman" w:eastAsia="Times New Roman" w:hAnsi="Times New Roman"/>
          <w:sz w:val="16"/>
          <w:szCs w:val="16"/>
          <w:color w:val="auto"/>
        </w:rPr>
      </w:pPr>
    </w:p>
    <w:p>
      <w:pPr>
        <w:jc w:val="both"/>
        <w:ind w:firstLine="1143"/>
        <w:spacing w:after="0" w:line="253" w:lineRule="auto"/>
        <w:tabs>
          <w:tab w:leader="none" w:pos="1420" w:val="left"/>
        </w:tabs>
        <w:numPr>
          <w:ilvl w:val="1"/>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have entered into any Other Subscription Agreement relating to Notes with a lower purchase price per $1,000 principal amount of the Subscribed Notes or other terms (economic or otherwise) more favorable to such Other Subscriber than as set forth in this Subscription Agreement, other than with respect to (a) the amounts, price and types of the Company’s securities to be subscribed for and purchased by the Other Subscribers, (b) certain fees payable by Presto to and board observer rights granted to Lake Vineyard Fund LP and Silver Rock Empire Fund LP—Series 2022 and their affiliates, (c) the purchase of Common Stock from the Sponsors (as defined herein), (d) certain rights to nominate a member of the Company’s board of directors after and contingent upon the Closing, (e) certain closing conditions in the Other Subscription Agreements relating to the Subscribed Notes, (f) (i) any rights or benefits granted to an Other Subscriber in connection with such Other Subscriber’s compliance with any law, regulation or policy specifically applicable to such Other Subscriber or in connection with the taxable status of an Other Subscriber and (ii) any rights with respect to the confidentiality or disclosure of an Other Subscriber’s identity and (g) certain registration rights;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19" w:name="page120"/>
    <w:bookmarkEnd w:id="119"/>
    <w:p>
      <w:pPr>
        <w:ind w:left="1360" w:hanging="217"/>
        <w:spacing w:after="0"/>
        <w:tabs>
          <w:tab w:leader="none" w:pos="1360"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has not occurred a Company Material Adverse Effect;</w:t>
      </w:r>
    </w:p>
    <w:p>
      <w:pPr>
        <w:spacing w:after="0" w:line="198" w:lineRule="exact"/>
        <w:rPr>
          <w:rFonts w:ascii="Times New Roman" w:cs="Times New Roman" w:eastAsia="Times New Roman" w:hAnsi="Times New Roman"/>
          <w:sz w:val="16"/>
          <w:szCs w:val="16"/>
          <w:color w:val="auto"/>
        </w:rPr>
      </w:pPr>
    </w:p>
    <w:p>
      <w:pPr>
        <w:jc w:val="both"/>
        <w:ind w:firstLine="1143"/>
        <w:spacing w:after="0" w:line="265" w:lineRule="auto"/>
        <w:tabs>
          <w:tab w:leader="none" w:pos="1428"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paid all reasonable and documented out-of-pocket legal, accounting and diligence fees and expenses of Subscriber incurred in connection with this Subscription Agreement, the Indenture and the other documents relating thereto, including all reasonable and documented fees and expenses of Milbank LLP, as counsel to Subscriber, such fees and expenses not to exceed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in the aggregate, to the extent invoiced at least one (1) Business Day prior to the Closing Date;</w:t>
      </w:r>
    </w:p>
    <w:p>
      <w:pPr>
        <w:spacing w:after="0" w:line="155" w:lineRule="exact"/>
        <w:rPr>
          <w:rFonts w:ascii="Times New Roman" w:cs="Times New Roman" w:eastAsia="Times New Roman" w:hAnsi="Times New Roman"/>
          <w:sz w:val="16"/>
          <w:szCs w:val="16"/>
          <w:color w:val="auto"/>
        </w:rPr>
      </w:pPr>
    </w:p>
    <w:p>
      <w:pPr>
        <w:ind w:firstLine="1143"/>
        <w:spacing w:after="0" w:line="280" w:lineRule="auto"/>
        <w:tabs>
          <w:tab w:leader="none" w:pos="1542"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provided the Transaction is consummated, the Company shall have paid a one-time fee to Subscriber equal to 2.0% of the aggregate principal amount of the Subscribed Notes, and the Sponsors shall have transferred an aggregate of 600,000 of the shares of Common Stock that are owned by the Sponsors to Subscriber;</w:t>
      </w:r>
    </w:p>
    <w:p>
      <w:pPr>
        <w:spacing w:after="0" w:line="144" w:lineRule="exact"/>
        <w:rPr>
          <w:rFonts w:ascii="Times New Roman" w:cs="Times New Roman" w:eastAsia="Times New Roman" w:hAnsi="Times New Roman"/>
          <w:sz w:val="16"/>
          <w:szCs w:val="16"/>
          <w:color w:val="auto"/>
        </w:rPr>
      </w:pPr>
    </w:p>
    <w:p>
      <w:pPr>
        <w:ind w:firstLine="1143"/>
        <w:spacing w:after="0" w:line="280" w:lineRule="auto"/>
        <w:tabs>
          <w:tab w:leader="none" w:pos="1517"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shall be no Default or Event of Default (each as defined in the Indenture) under the Indenture as of the Closing Date on a pro forma basis after giving effect to the Transaction;</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57" w:lineRule="auto"/>
        <w:tabs>
          <w:tab w:leader="none" w:pos="1445"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not have received any consideration from any Other Subscriber that is not otherwise contemplated in such Other Subscription Agreement as in effect as of the date hereof in order to, directly or indirectly, induce the Company or any Subsidiary (i) to treat such Other Subscriber in a manner that is more favorable than Subscriber, or (ii) to treat Subscriber in a manner that is less favorable than any Other Subscriber;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determination of whether Subscriber has been treated more or less favorably than any Other Subscriber shall disregard any other securities (other than the Subscribed Notes) of the Company purchased by Subscriber or Other Subscriber, respectively;</w:t>
      </w:r>
    </w:p>
    <w:p>
      <w:pPr>
        <w:spacing w:after="0" w:line="162" w:lineRule="exact"/>
        <w:rPr>
          <w:rFonts w:ascii="Times New Roman" w:cs="Times New Roman" w:eastAsia="Times New Roman" w:hAnsi="Times New Roman"/>
          <w:sz w:val="16"/>
          <w:szCs w:val="16"/>
          <w:color w:val="auto"/>
        </w:rPr>
      </w:pPr>
    </w:p>
    <w:p>
      <w:pPr>
        <w:jc w:val="both"/>
        <w:ind w:firstLine="1143"/>
        <w:spacing w:after="0" w:line="253" w:lineRule="auto"/>
        <w:tabs>
          <w:tab w:leader="none" w:pos="1394"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or prior to the Closing Date, the Company shall have delivered to Subscriber customary payoff letters or other reasonably satisfactory customary documentation in connection with (A) the termination and permanent repayment of amounts outstanding under the Venture Loan and Security Agreement, dated as of March 5, 2021, by and between Horizon Technology Finance Corporation, as lender and collateral agent, and Presto, as borrower, (B) the termination and permanent repayment of amounts outstanding under the Venture Loan and Security Agreement, dated as of March 11, 2022, by and between Lago Innovation Fund II, LLC, as collateral agent, the other lenders from time to time party thereto, and Presto, as borrower, (C) the termination and permanent repayment of amounts outstanding under the receivables financing agreement, dated April 27, 2021, by and between Nirvana Funding II, LLC and Presto, each to be terminated and repaid substantially concurrently with Closing and (D) the termination and permanent repayment of amounts outstanding under any other existing financing arrangement, agreement or facility that would be classified as long-term debt in accordance with generally accepted accounting principles in the U.S. (“</w:t>
      </w:r>
      <w:r>
        <w:rPr>
          <w:rFonts w:ascii="Times New Roman" w:cs="Times New Roman" w:eastAsia="Times New Roman" w:hAnsi="Times New Roman"/>
          <w:sz w:val="16"/>
          <w:szCs w:val="16"/>
          <w:u w:val="single" w:color="auto"/>
          <w:color w:val="auto"/>
        </w:rPr>
        <w:t>GAAP</w:t>
      </w:r>
      <w:r>
        <w:rPr>
          <w:rFonts w:ascii="Times New Roman" w:cs="Times New Roman" w:eastAsia="Times New Roman" w:hAnsi="Times New Roman"/>
          <w:sz w:val="16"/>
          <w:szCs w:val="16"/>
          <w:color w:val="auto"/>
        </w:rPr>
        <w:t>”);</w:t>
      </w:r>
    </w:p>
    <w:p>
      <w:pPr>
        <w:spacing w:after="0" w:line="169" w:lineRule="exact"/>
        <w:rPr>
          <w:rFonts w:ascii="Times New Roman" w:cs="Times New Roman" w:eastAsia="Times New Roman" w:hAnsi="Times New Roman"/>
          <w:sz w:val="16"/>
          <w:szCs w:val="16"/>
          <w:color w:val="auto"/>
        </w:rPr>
      </w:pPr>
    </w:p>
    <w:p>
      <w:pPr>
        <w:jc w:val="both"/>
        <w:ind w:firstLine="1143"/>
        <w:spacing w:after="0" w:line="253" w:lineRule="auto"/>
        <w:tabs>
          <w:tab w:leader="none" w:pos="1426"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prior to the Closing Date, the Company shall have delivered to Subscriber final documentation, in a form reasonably satisfactory to Subscriber and consistent with the term sheet previously delivered to Subscriber on July 21, 2022, with respect to a new Venture Loan and Security Agreement by and between Lago Innovation Fund II, LLC, as collateral agent, the other lenders from time to time party thereto, and Presto, as borrower (the “</w:t>
      </w:r>
      <w:r>
        <w:rPr>
          <w:rFonts w:ascii="Times New Roman" w:cs="Times New Roman" w:eastAsia="Times New Roman" w:hAnsi="Times New Roman"/>
          <w:sz w:val="16"/>
          <w:szCs w:val="16"/>
          <w:u w:val="single" w:color="auto"/>
          <w:color w:val="auto"/>
        </w:rPr>
        <w:t>New Lago Loan Facility</w:t>
      </w:r>
      <w:r>
        <w:rPr>
          <w:rFonts w:ascii="Times New Roman" w:cs="Times New Roman" w:eastAsia="Times New Roman" w:hAnsi="Times New Roman"/>
          <w:sz w:val="16"/>
          <w:szCs w:val="16"/>
          <w:color w:val="auto"/>
        </w:rPr>
        <w:t>”), (B) on the Closing Date, after giving effect to the repayments set forth in Section 2(e)(x), the Company would have no outstanding long-term debt in accordance with GAAP other than up to $15,000,000 of senior secured debt of the Company under the New Lago Loan Facility and the Subscribed Notes and (C) on the Closing Date, the Company shall have delivered to Subscriber a certificate signed by the Chief Financial Officer of the Company attesting to the outstanding debt balance under the New Lago Loan Facility and certifying that, after giving effect to the repayments set forth in Section 2(e)(x), the Company would have no other outstanding long-term debt in accordance with GAAP on its balance sheet as of the Closing Date;</w:t>
      </w:r>
    </w:p>
    <w:p>
      <w:pPr>
        <w:spacing w:after="0" w:line="169" w:lineRule="exact"/>
        <w:rPr>
          <w:rFonts w:ascii="Times New Roman" w:cs="Times New Roman" w:eastAsia="Times New Roman" w:hAnsi="Times New Roman"/>
          <w:sz w:val="16"/>
          <w:szCs w:val="16"/>
          <w:color w:val="auto"/>
        </w:rPr>
      </w:pPr>
    </w:p>
    <w:p>
      <w:pPr>
        <w:jc w:val="both"/>
        <w:ind w:firstLine="1143"/>
        <w:spacing w:after="0" w:line="259" w:lineRule="auto"/>
        <w:tabs>
          <w:tab w:leader="none" w:pos="1502"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giving effect to all fees and expenses in connection with the Transaction, the Company shall have at least $45,000,000 in unrestricted cash and cash equivalents on its balance sheet as of the Closing Date, and shall have delivered to Subscriber a certificate signed by the Chief Financial Officer of the Company with a schedule showing all such accounts in which such unrestricted cash and cash equivalents will be credited and providing for the Company’s calculation of its cash balance as of the Closing Date;</w:t>
      </w:r>
    </w:p>
    <w:p>
      <w:pPr>
        <w:spacing w:after="0" w:line="161" w:lineRule="exact"/>
        <w:rPr>
          <w:rFonts w:ascii="Times New Roman" w:cs="Times New Roman" w:eastAsia="Times New Roman" w:hAnsi="Times New Roman"/>
          <w:sz w:val="16"/>
          <w:szCs w:val="16"/>
          <w:color w:val="auto"/>
        </w:rPr>
      </w:pPr>
    </w:p>
    <w:p>
      <w:pPr>
        <w:ind w:right="20" w:firstLine="1143"/>
        <w:spacing w:after="0" w:line="280" w:lineRule="auto"/>
        <w:tabs>
          <w:tab w:leader="none" w:pos="1514"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delivered to Subscriber evidence reasonably satisfactory to Subscriber that the gross proceeds received by the Company from the issuance of Common Stock pursuant to the Other Subscription Agreements is at least $60,000,000 on the Closing Date; and</w:t>
      </w:r>
    </w:p>
    <w:p>
      <w:pPr>
        <w:spacing w:after="0" w:line="144" w:lineRule="exact"/>
        <w:rPr>
          <w:rFonts w:ascii="Times New Roman" w:cs="Times New Roman" w:eastAsia="Times New Roman" w:hAnsi="Times New Roman"/>
          <w:sz w:val="16"/>
          <w:szCs w:val="16"/>
          <w:color w:val="auto"/>
        </w:rPr>
      </w:pPr>
    </w:p>
    <w:p>
      <w:pPr>
        <w:ind w:left="1500" w:hanging="357"/>
        <w:spacing w:after="0"/>
        <w:tabs>
          <w:tab w:leader="none" w:pos="1500"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Subscriber shall have entered into the Confidentiality Agreement (as defined herein).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20" w:name="page121"/>
    <w:bookmarkEnd w:id="120"/>
    <w:p>
      <w:pPr>
        <w:ind w:left="940" w:hanging="180"/>
        <w:spacing w:after="0"/>
        <w:tabs>
          <w:tab w:leader="none" w:pos="940" w:val="left"/>
        </w:tabs>
        <w:numPr>
          <w:ilvl w:val="1"/>
          <w:numId w:val="1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to or at the Closing, Subscriber shall deliver to the Company a duly completed and executed Internal Revenue Service Form W-9 or appropriate Form W-8.</w:t>
      </w:r>
    </w:p>
    <w:p>
      <w:pPr>
        <w:spacing w:after="0" w:line="209" w:lineRule="exact"/>
        <w:rPr>
          <w:rFonts w:ascii="Times New Roman" w:cs="Times New Roman" w:eastAsia="Times New Roman" w:hAnsi="Times New Roman"/>
          <w:sz w:val="15"/>
          <w:szCs w:val="15"/>
          <w:color w:val="auto"/>
        </w:rPr>
      </w:pPr>
    </w:p>
    <w:p>
      <w:pPr>
        <w:ind w:left="920" w:hanging="160"/>
        <w:spacing w:after="0"/>
        <w:tabs>
          <w:tab w:leader="none" w:pos="920" w:val="left"/>
        </w:tabs>
        <w:numPr>
          <w:ilvl w:val="1"/>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avoidance of doubt, the Closing shall not be subject to Company’s consummation of the transactions pursuant to the Other Subscription Agreements.</w:t>
      </w:r>
    </w:p>
    <w:p>
      <w:pPr>
        <w:spacing w:after="0" w:line="198" w:lineRule="exact"/>
        <w:rPr>
          <w:rFonts w:ascii="Times New Roman" w:cs="Times New Roman" w:eastAsia="Times New Roman" w:hAnsi="Times New Roman"/>
          <w:sz w:val="16"/>
          <w:szCs w:val="16"/>
          <w:color w:val="auto"/>
        </w:rPr>
      </w:pPr>
    </w:p>
    <w:p>
      <w:pPr>
        <w:ind w:left="540" w:hanging="162"/>
        <w:spacing w:after="0"/>
        <w:tabs>
          <w:tab w:leader="none" w:pos="54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Company Representations and Warranties</w:t>
      </w:r>
      <w:r>
        <w:rPr>
          <w:rFonts w:ascii="Times New Roman" w:cs="Times New Roman" w:eastAsia="Times New Roman" w:hAnsi="Times New Roman"/>
          <w:sz w:val="16"/>
          <w:szCs w:val="16"/>
          <w:color w:val="auto"/>
        </w:rPr>
        <w:t>. The Company represents and warrants to Subscriber and the Placement Agents (as defined below) that:</w:t>
      </w:r>
    </w:p>
    <w:p>
      <w:pPr>
        <w:spacing w:after="0" w:line="198" w:lineRule="exact"/>
        <w:rPr>
          <w:rFonts w:ascii="Times New Roman" w:cs="Times New Roman" w:eastAsia="Times New Roman" w:hAnsi="Times New Roman"/>
          <w:sz w:val="16"/>
          <w:szCs w:val="16"/>
          <w:color w:val="auto"/>
        </w:rPr>
      </w:pPr>
    </w:p>
    <w:p>
      <w:pPr>
        <w:jc w:val="both"/>
        <w:ind w:firstLine="760"/>
        <w:spacing w:after="0" w:line="252" w:lineRule="auto"/>
        <w:tabs>
          <w:tab w:leader="none" w:pos="932" w:val="left"/>
        </w:tabs>
        <w:numPr>
          <w:ilvl w:val="1"/>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 is duly organized, validly existing and in good standing under the laws of its jurisdiction of incorporation; (ii) has the requisite power and authority to own, lease and operate its properties, to carry on its business as it is now being conducted and to enter into, deliver and perform its obligations under this Subscription Agreement;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Subscription Agreement, a “</w:t>
      </w:r>
      <w:r>
        <w:rPr>
          <w:rFonts w:ascii="Times New Roman" w:cs="Times New Roman" w:eastAsia="Times New Roman" w:hAnsi="Times New Roman"/>
          <w:sz w:val="16"/>
          <w:szCs w:val="16"/>
          <w:u w:val="single" w:color="auto"/>
          <w:color w:val="auto"/>
        </w:rPr>
        <w:t>Company Material Adverse Effect</w:t>
      </w:r>
      <w:r>
        <w:rPr>
          <w:rFonts w:ascii="Times New Roman" w:cs="Times New Roman" w:eastAsia="Times New Roman" w:hAnsi="Times New Roman"/>
          <w:sz w:val="16"/>
          <w:szCs w:val="16"/>
          <w:color w:val="auto"/>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Subscription Agreement, including the sale of the Subscribed Securities, the Transaction Agreement or the consummation of the Transaction.</w:t>
      </w:r>
    </w:p>
    <w:p>
      <w:pPr>
        <w:spacing w:after="0" w:line="171" w:lineRule="exact"/>
        <w:rPr>
          <w:rFonts w:ascii="Times New Roman" w:cs="Times New Roman" w:eastAsia="Times New Roman" w:hAnsi="Times New Roman"/>
          <w:sz w:val="16"/>
          <w:szCs w:val="16"/>
          <w:color w:val="auto"/>
        </w:rPr>
      </w:pPr>
    </w:p>
    <w:p>
      <w:pPr>
        <w:jc w:val="both"/>
        <w:ind w:firstLine="760"/>
        <w:spacing w:after="0" w:line="257" w:lineRule="auto"/>
        <w:tabs>
          <w:tab w:leader="none" w:pos="925" w:val="left"/>
        </w:tabs>
        <w:numPr>
          <w:ilvl w:val="1"/>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Closing Date, the Subscribed Notes and Subscribed Warrants will be duly authorized and, when issued and delivered to Subscriber against full payment therefor in accordance with the terms of this Subscription Agreement, will be validly issued and will constitute legal, valid and binding obligations of the Company, enforceable against the Company in accordance with their terms, except that the enforcement thereof may be subject to applicable bankruptcy, insolvency or similar laws affecting creditors’ rights generally or by equitable principles relating to enforceability (collectively, the “</w:t>
      </w:r>
      <w:r>
        <w:rPr>
          <w:rFonts w:ascii="Times New Roman" w:cs="Times New Roman" w:eastAsia="Times New Roman" w:hAnsi="Times New Roman"/>
          <w:sz w:val="16"/>
          <w:szCs w:val="16"/>
          <w:u w:val="single" w:color="auto"/>
          <w:color w:val="auto"/>
        </w:rPr>
        <w:t>Enforceability Exceptions</w:t>
      </w:r>
      <w:r>
        <w:rPr>
          <w:rFonts w:ascii="Times New Roman" w:cs="Times New Roman" w:eastAsia="Times New Roman" w:hAnsi="Times New Roman"/>
          <w:sz w:val="16"/>
          <w:szCs w:val="16"/>
          <w:color w:val="auto"/>
        </w:rPr>
        <w:t>”), and will not have been issued in violation of any preemptive rights created under the Company’s organizational documents or the laws of the State of Delaware.</w:t>
      </w:r>
    </w:p>
    <w:p>
      <w:pPr>
        <w:spacing w:after="0" w:line="162" w:lineRule="exact"/>
        <w:rPr>
          <w:rFonts w:ascii="Times New Roman" w:cs="Times New Roman" w:eastAsia="Times New Roman" w:hAnsi="Times New Roman"/>
          <w:sz w:val="16"/>
          <w:szCs w:val="16"/>
          <w:color w:val="auto"/>
        </w:rPr>
      </w:pPr>
    </w:p>
    <w:p>
      <w:pPr>
        <w:jc w:val="both"/>
        <w:ind w:firstLine="760"/>
        <w:spacing w:after="0" w:line="265" w:lineRule="auto"/>
        <w:tabs>
          <w:tab w:leader="none" w:pos="944" w:val="left"/>
        </w:tabs>
        <w:numPr>
          <w:ilvl w:val="1"/>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Underlying Shares have been duly authorized and, when issued and delivered to Subscriber upon conversion of the Subscribed Notes or Subscribed Warrants, will be validly issued, fully paid and nonassessable and will not have been issued in violation of any preemptive rights created under the Company’s organizational documents or the laws of the State of Delaware.</w:t>
      </w:r>
    </w:p>
    <w:p>
      <w:pPr>
        <w:spacing w:after="0" w:line="155" w:lineRule="exact"/>
        <w:rPr>
          <w:rFonts w:ascii="Times New Roman" w:cs="Times New Roman" w:eastAsia="Times New Roman" w:hAnsi="Times New Roman"/>
          <w:sz w:val="16"/>
          <w:szCs w:val="16"/>
          <w:color w:val="auto"/>
        </w:rPr>
      </w:pPr>
    </w:p>
    <w:p>
      <w:pPr>
        <w:jc w:val="both"/>
        <w:ind w:right="20" w:firstLine="760"/>
        <w:spacing w:after="0" w:line="265" w:lineRule="auto"/>
        <w:tabs>
          <w:tab w:leader="none" w:pos="932" w:val="left"/>
        </w:tabs>
        <w:numPr>
          <w:ilvl w:val="1"/>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Subscription Agreement has been duly authorized, executed and delivered by the Company, and assuming the due authorization, execution and delivery of the same by Subscriber, this Subscription Agreement shall constitute the valid and legally binding obligation of the Company, enforceable against the Company in accordance with its terms, except that the enforcement thereof may be subject to the Enforceability Exceptions.</w:t>
      </w:r>
    </w:p>
    <w:p>
      <w:pPr>
        <w:spacing w:after="0" w:line="155" w:lineRule="exact"/>
        <w:rPr>
          <w:rFonts w:ascii="Times New Roman" w:cs="Times New Roman" w:eastAsia="Times New Roman" w:hAnsi="Times New Roman"/>
          <w:sz w:val="16"/>
          <w:szCs w:val="16"/>
          <w:color w:val="auto"/>
        </w:rPr>
      </w:pPr>
    </w:p>
    <w:p>
      <w:pPr>
        <w:jc w:val="both"/>
        <w:ind w:right="20" w:firstLine="760"/>
        <w:spacing w:after="0" w:line="265" w:lineRule="auto"/>
        <w:tabs>
          <w:tab w:leader="none" w:pos="920" w:val="left"/>
        </w:tabs>
        <w:numPr>
          <w:ilvl w:val="1"/>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Indenture has been duly authorized by the Company and, when duly authorized, executed and delivered by the Trustee, shall constitute the valid and legally binding obligation of the Company, enforceable against the Company in accordance with its terms, except that the enforcement thereof may be subject to the Enforceability Exceptions.</w:t>
      </w:r>
    </w:p>
    <w:p>
      <w:pPr>
        <w:spacing w:after="0" w:line="155" w:lineRule="exact"/>
        <w:rPr>
          <w:rFonts w:ascii="Times New Roman" w:cs="Times New Roman" w:eastAsia="Times New Roman" w:hAnsi="Times New Roman"/>
          <w:sz w:val="16"/>
          <w:szCs w:val="16"/>
          <w:color w:val="auto"/>
        </w:rPr>
      </w:pPr>
    </w:p>
    <w:p>
      <w:pPr>
        <w:jc w:val="both"/>
        <w:ind w:firstLine="760"/>
        <w:spacing w:after="0" w:line="253" w:lineRule="auto"/>
        <w:tabs>
          <w:tab w:leader="none" w:pos="972" w:val="left"/>
        </w:tabs>
        <w:numPr>
          <w:ilvl w:val="1"/>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execution and delivery of this Subscription Agreement, the issuance and sale of the Subscribed Securities, the issuance and delivery of the Underlying Shares in accordance with the terms of the Indenture and the compliance by the Company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 (i) and (iii), would reasonably be expected to have a Company Material Adverse Effect or have a material adverse effect on the Company’s ability to consummate the transactions contemplated hereby, including the issuance and sale of the Subscribed Securities.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21" w:name="page122"/>
    <w:bookmarkEnd w:id="121"/>
    <w:p>
      <w:pPr>
        <w:jc w:val="both"/>
        <w:ind w:firstLine="765"/>
        <w:spacing w:after="0" w:line="252" w:lineRule="auto"/>
        <w:rPr>
          <w:sz w:val="20"/>
          <w:szCs w:val="20"/>
          <w:color w:val="auto"/>
        </w:rPr>
      </w:pPr>
      <w:r>
        <w:rPr>
          <w:rFonts w:ascii="Times New Roman" w:cs="Times New Roman" w:eastAsia="Times New Roman" w:hAnsi="Times New Roman"/>
          <w:sz w:val="16"/>
          <w:szCs w:val="16"/>
          <w:color w:val="auto"/>
        </w:rPr>
        <w:t xml:space="preserve">g. Assuming the accuracy of the representations and warranties of Subscriber, the Company is not required to obtain any consent, waiver, authorization or order of, give any notice to, or make any filing or registration with, any court or other federal, state, local or other governmental authority, self-regulatory organization (including the Nasdaq Stock Market) or other person in connection with the execution, delivery and performance of this Subscription Agreement (including, without limitation, the issuance of the Subscribed Securities), other than (i) filings required by applicable state securities laws, (ii) the filing of the registration statement pursuant to </w:t>
      </w:r>
      <w:r>
        <w:rPr>
          <w:rFonts w:ascii="Times New Roman" w:cs="Times New Roman" w:eastAsia="Times New Roman" w:hAnsi="Times New Roman"/>
          <w:sz w:val="16"/>
          <w:szCs w:val="16"/>
          <w:u w:val="single" w:color="auto"/>
          <w:color w:val="auto"/>
        </w:rPr>
        <w:t>Section 5</w:t>
      </w:r>
      <w:r>
        <w:rPr>
          <w:rFonts w:ascii="Times New Roman" w:cs="Times New Roman" w:eastAsia="Times New Roman" w:hAnsi="Times New Roman"/>
          <w:sz w:val="16"/>
          <w:szCs w:val="16"/>
          <w:color w:val="auto"/>
        </w:rPr>
        <w:t xml:space="preserve"> below, (iii) the filing of a Notice of Exempt Offering of Securities on Form D with the United States Securities and Exchange Commission (“</w:t>
      </w:r>
      <w:r>
        <w:rPr>
          <w:rFonts w:ascii="Times New Roman" w:cs="Times New Roman" w:eastAsia="Times New Roman" w:hAnsi="Times New Roman"/>
          <w:sz w:val="16"/>
          <w:szCs w:val="16"/>
          <w:u w:val="single" w:color="auto"/>
          <w:color w:val="auto"/>
        </w:rPr>
        <w:t>Commission</w:t>
      </w:r>
      <w:r>
        <w:rPr>
          <w:rFonts w:ascii="Times New Roman" w:cs="Times New Roman" w:eastAsia="Times New Roman" w:hAnsi="Times New Roman"/>
          <w:sz w:val="16"/>
          <w:szCs w:val="16"/>
          <w:color w:val="auto"/>
        </w:rPr>
        <w:t>”) under Regulation D of the Securities Act, if applicable; (iv) those required by the Nasdaq Stock Market, including with respect to obtaining shareholder approval, (v) those required to consummate the Transaction as provided under the Transaction Agreement, (vi) the filing of notification under the Hart-Scott-Rodino Antitrust Improvements Act of 1976, if applicable, (vii) such as have been or will have been obtained, made or given on or prior to the Closing Date, and (viii) those the failure of which to obtain would not be reasonably likely to have a Company Material Adverse Effect or have a material adverse effect on the Company’s ability to consummate the transactions contemplated hereby, including the issuance and sale of the Subscribed Securities.</w:t>
      </w:r>
    </w:p>
    <w:p>
      <w:pPr>
        <w:spacing w:after="0" w:line="171" w:lineRule="exact"/>
        <w:rPr>
          <w:sz w:val="20"/>
          <w:szCs w:val="20"/>
          <w:color w:val="auto"/>
        </w:rPr>
      </w:pPr>
    </w:p>
    <w:p>
      <w:pPr>
        <w:jc w:val="both"/>
        <w:ind w:firstLine="765"/>
        <w:spacing w:after="0" w:line="252" w:lineRule="auto"/>
        <w:rPr>
          <w:sz w:val="20"/>
          <w:szCs w:val="20"/>
          <w:color w:val="auto"/>
        </w:rPr>
      </w:pPr>
      <w:r>
        <w:rPr>
          <w:rFonts w:ascii="Times New Roman" w:cs="Times New Roman" w:eastAsia="Times New Roman" w:hAnsi="Times New Roman"/>
          <w:sz w:val="16"/>
          <w:szCs w:val="16"/>
          <w:color w:val="auto"/>
        </w:rPr>
        <w:t>h. As of their respective dates, all reports required to be filed by the Company with the Commission (the “</w:t>
      </w:r>
      <w:r>
        <w:rPr>
          <w:rFonts w:ascii="Times New Roman" w:cs="Times New Roman" w:eastAsia="Times New Roman" w:hAnsi="Times New Roman"/>
          <w:sz w:val="16"/>
          <w:szCs w:val="16"/>
          <w:u w:val="single" w:color="auto"/>
          <w:color w:val="auto"/>
        </w:rPr>
        <w:t>SEC Reports</w:t>
      </w:r>
      <w:r>
        <w:rPr>
          <w:rFonts w:ascii="Times New Roman" w:cs="Times New Roman" w:eastAsia="Times New Roman" w:hAnsi="Times New Roman"/>
          <w:sz w:val="16"/>
          <w:szCs w:val="16"/>
          <w:color w:val="auto"/>
        </w:rPr>
        <w:t>”) complied in all material respects with the requirements of the Securities Act and the Securities Exchange Act of 1934, and the rules and regulations of the Commission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and fairly present in all material respects the financial position of the Company as of and for the dates thereof and the results of operations and cash flows for the periods then ended, subject, in the case of unaudited statements, to normal, year-end audit adjustments. The description of the business and financial information of Presto set forth in the presentation dated April 2022 (the “</w:t>
      </w:r>
      <w:r>
        <w:rPr>
          <w:rFonts w:ascii="Times New Roman" w:cs="Times New Roman" w:eastAsia="Times New Roman" w:hAnsi="Times New Roman"/>
          <w:sz w:val="16"/>
          <w:szCs w:val="16"/>
          <w:u w:val="single" w:color="auto"/>
          <w:color w:val="auto"/>
        </w:rPr>
        <w:t>Investor Presentation</w:t>
      </w:r>
      <w:r>
        <w:rPr>
          <w:rFonts w:ascii="Times New Roman" w:cs="Times New Roman" w:eastAsia="Times New Roman" w:hAnsi="Times New Roman"/>
          <w:sz w:val="16"/>
          <w:szCs w:val="16"/>
          <w:color w:val="auto"/>
        </w:rPr>
        <w:t>”) made available to the undersigned prior to the Amendment Date, and as amended through the Closing Date, shall be consistent in all material respects with the description of the business and financial information of Presto described or included in the definitive proxy statement of the Company filed in connection with the approval of the Transaction by the stockholders of the Company. Notwithstanding the foregoing, with respect to the proxy statement/prospectus filed or to be filed by the Company with respect to the Transactions or any other information relating to the Transactions or to Presto or any of its affiliates included in any SEC Report or filed as an exhibit thereto, the representation and warranty in this sentence is made to the Company’s knowledge.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22" w:name="page123"/>
    <w:bookmarkEnd w:id="122"/>
    <w:p>
      <w:pPr>
        <w:jc w:val="both"/>
        <w:ind w:left="4" w:firstLine="760"/>
        <w:spacing w:after="0" w:line="250" w:lineRule="auto"/>
        <w:tabs>
          <w:tab w:leader="none" w:pos="925" w:val="left"/>
        </w:tabs>
        <w:numPr>
          <w:ilvl w:val="1"/>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date hereof and as of immediately prior to the Closing, the authorized share capital of the Company consists of 50,000,000 shares of Common stock and 1,000,000 preferred shares, par value $0.0001 per share (“</w:t>
      </w:r>
      <w:r>
        <w:rPr>
          <w:rFonts w:ascii="Times New Roman" w:cs="Times New Roman" w:eastAsia="Times New Roman" w:hAnsi="Times New Roman"/>
          <w:sz w:val="16"/>
          <w:szCs w:val="16"/>
          <w:u w:val="single" w:color="auto"/>
          <w:color w:val="auto"/>
        </w:rPr>
        <w:t>Preferred Shares</w:t>
      </w:r>
      <w:r>
        <w:rPr>
          <w:rFonts w:ascii="Times New Roman" w:cs="Times New Roman" w:eastAsia="Times New Roman" w:hAnsi="Times New Roman"/>
          <w:sz w:val="16"/>
          <w:szCs w:val="16"/>
          <w:color w:val="auto"/>
        </w:rPr>
        <w:t>”). As of the Closing Date (and immediately after the consummation of the Transaction), the authorized share capital of the Company will consist of 180,000,000 shares of Common Stock and 1,500,000 Preferred Shares. As of the date hereof and as of immediately prior to the Closing: (i) 1,255,018 shares of Common Stock (excluding shares held by the Sponsors and other insiders of the Company (the “</w:t>
      </w:r>
      <w:r>
        <w:rPr>
          <w:rFonts w:ascii="Times New Roman" w:cs="Times New Roman" w:eastAsia="Times New Roman" w:hAnsi="Times New Roman"/>
          <w:sz w:val="16"/>
          <w:szCs w:val="16"/>
          <w:u w:val="single" w:color="auto"/>
          <w:color w:val="auto"/>
        </w:rPr>
        <w:t>Founder Shares</w:t>
      </w:r>
      <w:r>
        <w:rPr>
          <w:rFonts w:ascii="Times New Roman" w:cs="Times New Roman" w:eastAsia="Times New Roman" w:hAnsi="Times New Roman"/>
          <w:sz w:val="16"/>
          <w:szCs w:val="16"/>
          <w:color w:val="auto"/>
        </w:rPr>
        <w:t>”)), 4,312,500 Founder Shares and no Preferred Shares were issued and outstanding; (ii) 17,250,000 public warrants, each exercisable to purchase one-half of one share of Common Stock at $11.50 per full share and 6,675,000 private placement warrants, (including 900,000 private placement warrants that will be cancelled at the Closing Date) each exercisable to purchase one share of Common Stock at $11.50 per full share (together “</w:t>
      </w:r>
      <w:r>
        <w:rPr>
          <w:rFonts w:ascii="Times New Roman" w:cs="Times New Roman" w:eastAsia="Times New Roman" w:hAnsi="Times New Roman"/>
          <w:sz w:val="16"/>
          <w:szCs w:val="16"/>
          <w:u w:val="single" w:color="auto"/>
          <w:color w:val="auto"/>
        </w:rPr>
        <w:t>Warrants</w:t>
      </w:r>
      <w:r>
        <w:rPr>
          <w:rFonts w:ascii="Times New Roman" w:cs="Times New Roman" w:eastAsia="Times New Roman" w:hAnsi="Times New Roman"/>
          <w:sz w:val="16"/>
          <w:szCs w:val="16"/>
          <w:color w:val="auto"/>
        </w:rPr>
        <w:t>”), were issued and outstanding; (iii) 17,250,000 rights, each right entitling the holder to receive one-twentieth of one share of common stock upon the consummation of the Transaction; and (iv) no Common Stock was subject to issuance upon exercise of outstanding options. As of the date hereof, the Company has no outstanding long-term indebtedness for borrowed money that is or would be required to be recognized as a long-term liability in accordance with generally accepted accounting principles (other than fees payable under the business combination marketing agreement entered into in connection with its initial public offering and/or warrant liability accounting treatment of the Company’s private placement warrants and/or public warrants) and will not have any long-term indebtedness for borrowed money that is or would be required to be recognized as a long-term liability in accordance with generally accepted accounting principles immediately prior to and as of the Closing (other than indebtedness disclosed in the SEC Reports or the Company’s registration statement on Form S-4 (No. 333-263516), as amended, prior to the Closing Date) and all outstanding convertible promissory notes heretofore issued by Presto will have been converted into Common Stock pursuant to the terms of the Transaction Agreement as of the Closing. Immediately following the Closing, (i) 2,599,187 Founder Shares (including 90,000 Founder Shares not held by the Sponsors) and 6,675,000 private placement warrants (including 900,000 private placement warrants that will be cancelled at the Closing Date) will be fully vested,</w:t>
      </w:r>
    </w:p>
    <w:p>
      <w:pPr>
        <w:spacing w:after="0" w:line="9" w:lineRule="exact"/>
        <w:rPr>
          <w:rFonts w:ascii="Times New Roman" w:cs="Times New Roman" w:eastAsia="Times New Roman" w:hAnsi="Times New Roman"/>
          <w:sz w:val="16"/>
          <w:szCs w:val="16"/>
          <w:color w:val="auto"/>
        </w:rPr>
      </w:pPr>
    </w:p>
    <w:p>
      <w:pPr>
        <w:jc w:val="both"/>
        <w:ind w:left="4" w:hanging="4"/>
        <w:spacing w:after="0" w:line="249" w:lineRule="auto"/>
        <w:tabs>
          <w:tab w:leader="none" w:pos="245"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624,500 Founder Shares will be subject to vesting pursuant to the vesting provisions to be set forth in that certain Amended and Restated Sponsors Support Agreement by and among the Company, Presto, the Sponsors, Presto’s directors and officers and certain affiliates of the Sponsors and (iii) the public warrants will have an exercise price of $8.21. No Warrants are exercisable on or prior to the Closing. All (i) issued and outstanding Common Stock has been duly authorized and validly issued, is fully paid and non-assessable and is not subject to preemptive rights and (ii) outstanding Warrants have been duly authorized and validly issued, are fully paid and are not subject to preemptive rights. As of the date hereof, except as set forth above and pursuant to (i) this Subscription Agreement, (ii) the Other Subscription Agreements, (iii) the Transaction Agreement,</w:t>
      </w:r>
    </w:p>
    <w:p>
      <w:pPr>
        <w:spacing w:after="0" w:line="1" w:lineRule="exact"/>
        <w:rPr>
          <w:rFonts w:ascii="Times New Roman" w:cs="Times New Roman" w:eastAsia="Times New Roman" w:hAnsi="Times New Roman"/>
          <w:sz w:val="16"/>
          <w:szCs w:val="16"/>
          <w:color w:val="auto"/>
        </w:rPr>
      </w:pPr>
    </w:p>
    <w:p>
      <w:pPr>
        <w:jc w:val="both"/>
        <w:ind w:left="4" w:hanging="4"/>
        <w:spacing w:after="0" w:line="250" w:lineRule="auto"/>
        <w:tabs>
          <w:tab w:leader="none" w:pos="302"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agreement(s) that the Company may enter into with third parties for the purpose of recapturing or reducing the shares of Common Stock redeemed by public shareholders, (such agreement(s), the “</w:t>
      </w:r>
      <w:r>
        <w:rPr>
          <w:rFonts w:ascii="Times New Roman" w:cs="Times New Roman" w:eastAsia="Times New Roman" w:hAnsi="Times New Roman"/>
          <w:sz w:val="16"/>
          <w:szCs w:val="16"/>
          <w:u w:val="single" w:color="auto"/>
          <w:color w:val="auto"/>
        </w:rPr>
        <w:t>Forward Purchase Agreement</w:t>
      </w:r>
      <w:r>
        <w:rPr>
          <w:rFonts w:ascii="Times New Roman" w:cs="Times New Roman" w:eastAsia="Times New Roman" w:hAnsi="Times New Roman"/>
          <w:sz w:val="16"/>
          <w:szCs w:val="16"/>
          <w:color w:val="auto"/>
        </w:rPr>
        <w:t>”), there are no outstanding options, warrants or other rights to subscribe for, purchase or acquire from the Company any Common Stock or other equity interests in the Company (collectively, “</w:t>
      </w:r>
      <w:r>
        <w:rPr>
          <w:rFonts w:ascii="Times New Roman" w:cs="Times New Roman" w:eastAsia="Times New Roman" w:hAnsi="Times New Roman"/>
          <w:sz w:val="16"/>
          <w:szCs w:val="16"/>
          <w:u w:val="single" w:color="auto"/>
          <w:color w:val="auto"/>
        </w:rPr>
        <w:t>Equity Interests</w:t>
      </w:r>
      <w:r>
        <w:rPr>
          <w:rFonts w:ascii="Times New Roman" w:cs="Times New Roman" w:eastAsia="Times New Roman" w:hAnsi="Times New Roman"/>
          <w:sz w:val="16"/>
          <w:szCs w:val="16"/>
          <w:color w:val="auto"/>
        </w:rPr>
        <w:t>”) or securities convertible into or exchangeable or exercisable for Equity Interests. As of the date hereof, the Company has no subsidiaries and does not own, directly or indirectly, interests or investments (whether equity or debt) in any person, whether incorporated or unincorporated. There are no stockholder agreements, voting trusts or other agreements or understandings to which the Company is a party or by which it is bound relating to the voting of any Equity Interests, other than (A) the letter agreements entered into by the Company in connection with the Company’s initial public offering on December 30, 2020 pursuant to which the Company’s sponsor and the Company’s executive officers and independent directors agreed to vote in favor of any proposed Business Combination (as defined therein), which includes the Transaction, (B) as contemplated by the Transaction Agreement and (C) the Forward Purchase Agreement. With the exception of the Warrants, there are no securities or instruments issued by or to which the Company is a party containing anti-dilution or similar provisions that will be triggered by the issuance of (i) the Subscribed Securities or (ii) the securities to be issued pursuant to any Other Subscription Agreement. Subscriber understands and acknowledges the Sponsors may from time to time enter into various agreements relating to the transfer of the Founder Shares and private placement warrants in furtherance of the Transaction, and that such agreements shall not be in violation of this Subscription Agreement so long as the aggregate number of outstanding Founder Shares or private placement warrants do not increase, the Sponsors shall promptly notify Subscriber if the aggregate number of Founder Shares or private placement warrants decrease as a result of such agreements.</w:t>
      </w:r>
    </w:p>
    <w:p>
      <w:pPr>
        <w:spacing w:after="0" w:line="168" w:lineRule="exact"/>
        <w:rPr>
          <w:rFonts w:ascii="Times New Roman" w:cs="Times New Roman" w:eastAsia="Times New Roman" w:hAnsi="Times New Roman"/>
          <w:sz w:val="16"/>
          <w:szCs w:val="16"/>
          <w:color w:val="auto"/>
        </w:rPr>
      </w:pPr>
    </w:p>
    <w:p>
      <w:pPr>
        <w:jc w:val="both"/>
        <w:ind w:left="4" w:firstLine="760"/>
        <w:spacing w:after="0" w:line="257" w:lineRule="auto"/>
        <w:tabs>
          <w:tab w:leader="none" w:pos="941" w:val="left"/>
        </w:tabs>
        <w:numPr>
          <w:ilvl w:val="1"/>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such matters as have not had and would not be reasonably likely to have a Company Material Adverse Effect or have a material adverse effect on the Company’s ability to consummate the transactions contemplated hereby, including the issuance and sale of the Subscribed Securities, as of the Amendment Date, there is no (i) suit, action, investigation, proceeding or arbitration before a governmental authority or arbitrator pending, or, to the knowledge of the Company, threatened in writing against the Company or any of its directors or officers in their capacities as such or (ii) judgment, decree, injunction, ruling or order of any governmental authority or arbitrator outstanding against the Company or any of its directors or officers in their capacities as such.</w:t>
      </w:r>
    </w:p>
    <w:p>
      <w:pPr>
        <w:spacing w:after="0" w:line="162" w:lineRule="exact"/>
        <w:rPr>
          <w:rFonts w:ascii="Times New Roman" w:cs="Times New Roman" w:eastAsia="Times New Roman" w:hAnsi="Times New Roman"/>
          <w:sz w:val="16"/>
          <w:szCs w:val="16"/>
          <w:color w:val="auto"/>
        </w:rPr>
      </w:pPr>
    </w:p>
    <w:p>
      <w:pPr>
        <w:jc w:val="both"/>
        <w:ind w:left="4" w:firstLine="760"/>
        <w:spacing w:after="0" w:line="255" w:lineRule="auto"/>
        <w:tabs>
          <w:tab w:leader="none" w:pos="959" w:val="left"/>
        </w:tabs>
        <w:numPr>
          <w:ilvl w:val="1"/>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issued and outstanding shares of Common Stock are registered pursuant to Section 12(b) of the Securities Exchange Act of 1934, as amended (the “</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and are listed for trading on the Nasdaq Stock Market under the symbol “VTAQ.” There is no suit, action, proceeding or investigation pending or, to the knowledge of the Company, threatened against the Company by the Nasdaq Stock Market or the Commission with respect to any intention by such entity to deregister the shares of Common Stock or prohibit or terminate the listing of the shares of Common Stock on the Nasdaq Stock Market. The Company has taken no action that is designed to terminate the registration of the shares of Common Stock under the Exchange Act. The Company will file a listing application with NASDAQ for the Underlying Shares and such application has been, or prior to Closing will be, approved by NASDAQ.</w:t>
      </w:r>
    </w:p>
    <w:p>
      <w:pPr>
        <w:spacing w:after="0" w:line="35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23" w:name="page124"/>
    <w:bookmarkEnd w:id="123"/>
    <w:p>
      <w:pPr>
        <w:ind w:left="4" w:right="20" w:firstLine="760"/>
        <w:spacing w:after="0" w:line="280" w:lineRule="auto"/>
        <w:tabs>
          <w:tab w:leader="none" w:pos="952" w:val="left"/>
        </w:tabs>
        <w:numPr>
          <w:ilvl w:val="1"/>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consummation of the Transaction, the issued and outstanding shares of Common Stock will be registered pursuant to Section 12(b) of the Exchange Act and will be listed for trading on the Nasdaq Stock Market.</w:t>
      </w:r>
    </w:p>
    <w:p>
      <w:pPr>
        <w:spacing w:after="0" w:line="144" w:lineRule="exact"/>
        <w:rPr>
          <w:rFonts w:ascii="Times New Roman" w:cs="Times New Roman" w:eastAsia="Times New Roman" w:hAnsi="Times New Roman"/>
          <w:sz w:val="16"/>
          <w:szCs w:val="16"/>
          <w:color w:val="auto"/>
        </w:rPr>
      </w:pPr>
    </w:p>
    <w:p>
      <w:pPr>
        <w:ind w:left="4" w:firstLine="760"/>
        <w:spacing w:after="0" w:line="280" w:lineRule="auto"/>
        <w:tabs>
          <w:tab w:leader="none" w:pos="978" w:val="left"/>
        </w:tabs>
        <w:numPr>
          <w:ilvl w:val="1"/>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Assuming the accuracy of Subscriber’s representations and warranties set forth in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of this Subscription Agreement, no registration under the Securities Act is required for the offer and sale of the Subscribed Securities by the Company to Subscriber.</w:t>
      </w:r>
    </w:p>
    <w:p>
      <w:pPr>
        <w:spacing w:after="0" w:line="144" w:lineRule="exact"/>
        <w:rPr>
          <w:rFonts w:ascii="Times New Roman" w:cs="Times New Roman" w:eastAsia="Times New Roman" w:hAnsi="Times New Roman"/>
          <w:sz w:val="16"/>
          <w:szCs w:val="16"/>
          <w:color w:val="auto"/>
        </w:rPr>
      </w:pPr>
    </w:p>
    <w:p>
      <w:pPr>
        <w:ind w:left="4" w:right="20" w:firstLine="760"/>
        <w:spacing w:after="0" w:line="280" w:lineRule="auto"/>
        <w:tabs>
          <w:tab w:leader="none" w:pos="950" w:val="left"/>
        </w:tabs>
        <w:numPr>
          <w:ilvl w:val="1"/>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person acting on its behalf has engaged or will engage in any form of general solicitation or general advertising (within the meaning of Regulation D) in connection with any offer or sale of the Subscribed Securities.</w:t>
      </w:r>
    </w:p>
    <w:p>
      <w:pPr>
        <w:spacing w:after="0" w:line="144" w:lineRule="exact"/>
        <w:rPr>
          <w:rFonts w:ascii="Times New Roman" w:cs="Times New Roman" w:eastAsia="Times New Roman" w:hAnsi="Times New Roman"/>
          <w:sz w:val="16"/>
          <w:szCs w:val="16"/>
          <w:color w:val="auto"/>
        </w:rPr>
      </w:pPr>
    </w:p>
    <w:p>
      <w:pPr>
        <w:jc w:val="both"/>
        <w:ind w:left="4" w:firstLine="760"/>
        <w:spacing w:after="0" w:line="259" w:lineRule="auto"/>
        <w:tabs>
          <w:tab w:leader="none" w:pos="943" w:val="left"/>
        </w:tabs>
        <w:numPr>
          <w:ilvl w:val="1"/>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each of William Blair &amp; Company, L.L.C. (“</w:t>
      </w:r>
      <w:r>
        <w:rPr>
          <w:rFonts w:ascii="Times New Roman" w:cs="Times New Roman" w:eastAsia="Times New Roman" w:hAnsi="Times New Roman"/>
          <w:sz w:val="16"/>
          <w:szCs w:val="16"/>
          <w:u w:val="single" w:color="auto"/>
          <w:color w:val="auto"/>
        </w:rPr>
        <w:t>William Blair</w:t>
      </w:r>
      <w:r>
        <w:rPr>
          <w:rFonts w:ascii="Times New Roman" w:cs="Times New Roman" w:eastAsia="Times New Roman" w:hAnsi="Times New Roman"/>
          <w:sz w:val="16"/>
          <w:szCs w:val="16"/>
          <w:color w:val="auto"/>
        </w:rPr>
        <w:t>”), Truist Securities, Inc. (“</w:t>
      </w:r>
      <w:r>
        <w:rPr>
          <w:rFonts w:ascii="Times New Roman" w:cs="Times New Roman" w:eastAsia="Times New Roman" w:hAnsi="Times New Roman"/>
          <w:sz w:val="16"/>
          <w:szCs w:val="16"/>
          <w:u w:val="single" w:color="auto"/>
          <w:color w:val="auto"/>
        </w:rPr>
        <w:t>Truist</w:t>
      </w:r>
      <w:r>
        <w:rPr>
          <w:rFonts w:ascii="Times New Roman" w:cs="Times New Roman" w:eastAsia="Times New Roman" w:hAnsi="Times New Roman"/>
          <w:sz w:val="16"/>
          <w:szCs w:val="16"/>
          <w:color w:val="auto"/>
        </w:rPr>
        <w:t>”) and Chardan Capital Markets, LLC (“</w:t>
      </w:r>
      <w:r>
        <w:rPr>
          <w:rFonts w:ascii="Times New Roman" w:cs="Times New Roman" w:eastAsia="Times New Roman" w:hAnsi="Times New Roman"/>
          <w:sz w:val="16"/>
          <w:szCs w:val="16"/>
          <w:u w:val="single" w:color="auto"/>
          <w:color w:val="auto"/>
        </w:rPr>
        <w:t>Chardan</w:t>
      </w:r>
      <w:r>
        <w:rPr>
          <w:rFonts w:ascii="Times New Roman" w:cs="Times New Roman" w:eastAsia="Times New Roman" w:hAnsi="Times New Roman"/>
          <w:sz w:val="16"/>
          <w:szCs w:val="16"/>
          <w:color w:val="auto"/>
        </w:rPr>
        <w:t>” and together with William Blair and Truist, the “</w:t>
      </w:r>
      <w:r>
        <w:rPr>
          <w:rFonts w:ascii="Times New Roman" w:cs="Times New Roman" w:eastAsia="Times New Roman" w:hAnsi="Times New Roman"/>
          <w:sz w:val="16"/>
          <w:szCs w:val="16"/>
          <w:u w:val="single" w:color="auto"/>
          <w:color w:val="auto"/>
        </w:rPr>
        <w:t>Placement Agents</w:t>
      </w:r>
      <w:r>
        <w:rPr>
          <w:rFonts w:ascii="Times New Roman" w:cs="Times New Roman" w:eastAsia="Times New Roman" w:hAnsi="Times New Roman"/>
          <w:sz w:val="16"/>
          <w:szCs w:val="16"/>
          <w:color w:val="auto"/>
        </w:rPr>
        <w:t>” and each a “</w:t>
      </w:r>
      <w:r>
        <w:rPr>
          <w:rFonts w:ascii="Times New Roman" w:cs="Times New Roman" w:eastAsia="Times New Roman" w:hAnsi="Times New Roman"/>
          <w:sz w:val="16"/>
          <w:szCs w:val="16"/>
          <w:u w:val="single" w:color="auto"/>
          <w:color w:val="auto"/>
        </w:rPr>
        <w:t>Placement Agent</w:t>
      </w:r>
      <w:r>
        <w:rPr>
          <w:rFonts w:ascii="Times New Roman" w:cs="Times New Roman" w:eastAsia="Times New Roman" w:hAnsi="Times New Roman"/>
          <w:sz w:val="16"/>
          <w:szCs w:val="16"/>
          <w:color w:val="auto"/>
        </w:rPr>
        <w:t>”), no broker or finder is entitled to any brokerage or finder’s fee or commission solely in connection with the sale of the Subscribed Securities to Subscriber (it being understood that fees payable to the Placement Agents in connection with the sale of the Aggregate Subscribed Securities were not derived from Subscriber nor from Subscriber’s investment in the Subscribed Notes).</w:t>
      </w:r>
    </w:p>
    <w:p>
      <w:pPr>
        <w:spacing w:after="0" w:line="161" w:lineRule="exact"/>
        <w:rPr>
          <w:rFonts w:ascii="Times New Roman" w:cs="Times New Roman" w:eastAsia="Times New Roman" w:hAnsi="Times New Roman"/>
          <w:sz w:val="16"/>
          <w:szCs w:val="16"/>
          <w:color w:val="auto"/>
        </w:rPr>
      </w:pPr>
    </w:p>
    <w:p>
      <w:pPr>
        <w:jc w:val="both"/>
        <w:ind w:left="4" w:firstLine="760"/>
        <w:spacing w:after="0" w:line="257" w:lineRule="auto"/>
        <w:tabs>
          <w:tab w:leader="none" w:pos="933" w:val="left"/>
        </w:tabs>
        <w:numPr>
          <w:ilvl w:val="1"/>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such matters as have not had and would not be reasonably likely to have a Company Material Adverse Effect or have a material adverse effect on the Company’s ability to consummate the transactions contemplated hereby, including the issuance and sale of the Subscribed Securities,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spacing w:after="0" w:line="162" w:lineRule="exact"/>
        <w:rPr>
          <w:rFonts w:ascii="Times New Roman" w:cs="Times New Roman" w:eastAsia="Times New Roman" w:hAnsi="Times New Roman"/>
          <w:sz w:val="16"/>
          <w:szCs w:val="16"/>
          <w:color w:val="auto"/>
        </w:rPr>
      </w:pPr>
    </w:p>
    <w:p>
      <w:pPr>
        <w:ind w:left="4" w:right="20" w:firstLine="760"/>
        <w:spacing w:after="0" w:line="280" w:lineRule="auto"/>
        <w:tabs>
          <w:tab w:leader="none" w:pos="933" w:val="left"/>
        </w:tabs>
        <w:numPr>
          <w:ilvl w:val="1"/>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not in the past nor will it hereafter take any action to sell, offer for sale or solicit offers to buy any securities of the Company that could result in the initial sale of the Subscribed Securities not being exempt from the registration requirements of Section 5 of the Securities Act.</w:t>
      </w:r>
    </w:p>
    <w:p>
      <w:pPr>
        <w:spacing w:after="0" w:line="144" w:lineRule="exact"/>
        <w:rPr>
          <w:rFonts w:ascii="Times New Roman" w:cs="Times New Roman" w:eastAsia="Times New Roman" w:hAnsi="Times New Roman"/>
          <w:sz w:val="16"/>
          <w:szCs w:val="16"/>
          <w:color w:val="auto"/>
        </w:rPr>
      </w:pPr>
    </w:p>
    <w:p>
      <w:pPr>
        <w:jc w:val="both"/>
        <w:ind w:left="4" w:firstLine="760"/>
        <w:spacing w:after="0" w:line="265" w:lineRule="auto"/>
        <w:tabs>
          <w:tab w:leader="none" w:pos="948" w:val="left"/>
        </w:tabs>
        <w:numPr>
          <w:ilvl w:val="1"/>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spacing w:after="0" w:line="155" w:lineRule="exact"/>
        <w:rPr>
          <w:rFonts w:ascii="Times New Roman" w:cs="Times New Roman" w:eastAsia="Times New Roman" w:hAnsi="Times New Roman"/>
          <w:sz w:val="16"/>
          <w:szCs w:val="16"/>
          <w:color w:val="auto"/>
        </w:rPr>
      </w:pPr>
    </w:p>
    <w:p>
      <w:pPr>
        <w:jc w:val="both"/>
        <w:ind w:left="4" w:firstLine="760"/>
        <w:spacing w:after="0" w:line="265" w:lineRule="auto"/>
        <w:tabs>
          <w:tab w:leader="none" w:pos="952" w:val="left"/>
        </w:tabs>
        <w:numPr>
          <w:ilvl w:val="1"/>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no action, suit, proceeding or investigation pending or, to the Company’s knowledge, currently threatened in writing against the Company that questions the validity of this Subscription Agreement or the right of the Company to enter into this Subscription Agreement, or to consummate the transactions contemplated thereby, or that might result, if determined adversely to the Company, in a material adverse effect, or in any material change in the current equity ownership of the Company.</w:t>
      </w:r>
    </w:p>
    <w:p>
      <w:pPr>
        <w:spacing w:after="0" w:line="155" w:lineRule="exact"/>
        <w:rPr>
          <w:rFonts w:ascii="Times New Roman" w:cs="Times New Roman" w:eastAsia="Times New Roman" w:hAnsi="Times New Roman"/>
          <w:sz w:val="16"/>
          <w:szCs w:val="16"/>
          <w:color w:val="auto"/>
        </w:rPr>
      </w:pPr>
    </w:p>
    <w:p>
      <w:pPr>
        <w:jc w:val="both"/>
        <w:ind w:left="4" w:firstLine="760"/>
        <w:spacing w:after="0" w:line="255" w:lineRule="auto"/>
        <w:tabs>
          <w:tab w:leader="none" w:pos="932" w:val="left"/>
        </w:tabs>
        <w:numPr>
          <w:ilvl w:val="1"/>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Company’s knowledge, the Company owns or possesses sufficient legal rights to all (a) patents, patent applications and inventions; (b) trademarks, service marks, trade names, 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spacing w:after="0" w:line="165" w:lineRule="exact"/>
        <w:rPr>
          <w:rFonts w:ascii="Times New Roman" w:cs="Times New Roman" w:eastAsia="Times New Roman" w:hAnsi="Times New Roman"/>
          <w:sz w:val="16"/>
          <w:szCs w:val="16"/>
          <w:color w:val="auto"/>
        </w:rPr>
      </w:pPr>
    </w:p>
    <w:p>
      <w:pPr>
        <w:jc w:val="both"/>
        <w:ind w:left="4" w:firstLine="760"/>
        <w:spacing w:after="0" w:line="252" w:lineRule="auto"/>
        <w:tabs>
          <w:tab w:leader="none" w:pos="942" w:val="left"/>
        </w:tabs>
        <w:numPr>
          <w:ilvl w:val="1"/>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not entered into any subscription agreement, side letter or similar agreement with any investor in connection with such investor’s direct or indirect investment in the Company other than (i) the Transaction Agreement, (ii) any agreement or arrangement contemplated by the Transaction Agreement, which for the avoidance of doubt, includes the Forward Purchase Agreement, (iii) as disclosed in the Company’s filings with the Commission and (iv) the Other Subscription Agreements. The Other Subscription Agreements reflect terms with respect to the purchase of the Notes that are no more favorable to such subscriber thereunder than the terms of this Subscription Agreement other than such Other Subscription Agreements containing any of the following: (t) the amounts, price and types of the Company’s securities to be subscribed for and purchased by the Other Subscribers, (u) certain fees payable by Presto to and board observer rights granted to Lake Vineyard Fund LP and Silver Rock Empire Fund LP — Series 2022 and their affiliates, (v) the purchase of Common Stock from the Sponsors (as defined herein), (w) certain rights to nominate a member of the Company’s board of directors after and contingent upon the Closing, (x) certain closing conditions in the Other Subscription Agreements relating to the Subscribed Notes, (y)</w:t>
      </w:r>
    </w:p>
    <w:p>
      <w:pPr>
        <w:jc w:val="both"/>
        <w:ind w:left="4" w:right="20" w:hanging="4"/>
        <w:spacing w:after="0" w:line="254" w:lineRule="auto"/>
        <w:tabs>
          <w:tab w:leader="none" w:pos="195"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rights or benefits granted to an Other Subscriber in connection with such Other Subscriber’s compliance with any law, regulation or policy specifically applicable to such Other Subscriber or in connection with the taxable status of an Other Subscriber and (ii) any rights with respect to the confidentiality or disclosure of an Other Subscriber’s identity and (z) certain registration rights.</w:t>
      </w:r>
    </w:p>
    <w:p>
      <w:pPr>
        <w:spacing w:after="0" w:line="35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24" w:name="page125"/>
    <w:bookmarkEnd w:id="124"/>
    <w:p>
      <w:pPr>
        <w:jc w:val="both"/>
        <w:ind w:right="20" w:firstLine="765"/>
        <w:spacing w:after="0" w:line="259" w:lineRule="auto"/>
        <w:rPr>
          <w:sz w:val="20"/>
          <w:szCs w:val="20"/>
          <w:color w:val="auto"/>
        </w:rPr>
      </w:pPr>
      <w:r>
        <w:rPr>
          <w:rFonts w:ascii="Times New Roman" w:cs="Times New Roman" w:eastAsia="Times New Roman" w:hAnsi="Times New Roman"/>
          <w:sz w:val="16"/>
          <w:szCs w:val="16"/>
          <w:color w:val="auto"/>
        </w:rPr>
        <w:t>v. The Company will use commercially reasonable efforts to make the Subscribed Notes DTC-eligible and delivered in book-entry form pursuant to the DWAC procedures of The Depository Trust Company (“</w:t>
      </w:r>
      <w:r>
        <w:rPr>
          <w:rFonts w:ascii="Times New Roman" w:cs="Times New Roman" w:eastAsia="Times New Roman" w:hAnsi="Times New Roman"/>
          <w:sz w:val="16"/>
          <w:szCs w:val="16"/>
          <w:u w:val="single" w:color="auto"/>
          <w:color w:val="auto"/>
        </w:rPr>
        <w:t>DTC</w:t>
      </w:r>
      <w:r>
        <w:rPr>
          <w:rFonts w:ascii="Times New Roman" w:cs="Times New Roman" w:eastAsia="Times New Roman" w:hAnsi="Times New Roman"/>
          <w:sz w:val="16"/>
          <w:szCs w:val="16"/>
          <w:color w:val="auto"/>
        </w:rPr>
        <w:t>”), which will act as the securities depository for the Notes, free and clear of any liens or other restrictions (other than those arising under the Indenture, this Subscription Agreement or applicable state or federal securities laws), in the name of a custodian designated by Subscriber (which custodian shall have properly posted such DWAC for release by the Trustee through the facilities of DTC).</w:t>
      </w:r>
    </w:p>
    <w:p>
      <w:pPr>
        <w:spacing w:after="0" w:line="162" w:lineRule="exact"/>
        <w:rPr>
          <w:sz w:val="20"/>
          <w:szCs w:val="20"/>
          <w:color w:val="auto"/>
        </w:rPr>
      </w:pPr>
    </w:p>
    <w:p>
      <w:pPr>
        <w:ind w:left="540" w:hanging="162"/>
        <w:spacing w:after="0"/>
        <w:tabs>
          <w:tab w:leader="none" w:pos="540"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Subscriber Representations and Warranties</w:t>
      </w:r>
      <w:r>
        <w:rPr>
          <w:rFonts w:ascii="Times New Roman" w:cs="Times New Roman" w:eastAsia="Times New Roman" w:hAnsi="Times New Roman"/>
          <w:sz w:val="16"/>
          <w:szCs w:val="16"/>
          <w:color w:val="auto"/>
        </w:rPr>
        <w:t>. Subscriber represents and warrants to the Company that:</w:t>
      </w:r>
    </w:p>
    <w:p>
      <w:pPr>
        <w:spacing w:after="0" w:line="198" w:lineRule="exact"/>
        <w:rPr>
          <w:rFonts w:ascii="Times New Roman" w:cs="Times New Roman" w:eastAsia="Times New Roman" w:hAnsi="Times New Roman"/>
          <w:sz w:val="16"/>
          <w:szCs w:val="16"/>
          <w:color w:val="auto"/>
        </w:rPr>
      </w:pPr>
    </w:p>
    <w:p>
      <w:pPr>
        <w:ind w:right="20" w:firstLine="760"/>
        <w:spacing w:after="0" w:line="280" w:lineRule="auto"/>
        <w:tabs>
          <w:tab w:leader="none" w:pos="930" w:val="left"/>
        </w:tabs>
        <w:numPr>
          <w:ilvl w:val="1"/>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(i) is duly organized, validly existing and in good standing under the laws of its jurisdiction of incorporation, and (ii) has the requisite power and authority to enter into and perform its obligations under this Subscription Agreement.</w:t>
      </w:r>
    </w:p>
    <w:p>
      <w:pPr>
        <w:spacing w:after="0" w:line="144" w:lineRule="exact"/>
        <w:rPr>
          <w:rFonts w:ascii="Times New Roman" w:cs="Times New Roman" w:eastAsia="Times New Roman" w:hAnsi="Times New Roman"/>
          <w:sz w:val="16"/>
          <w:szCs w:val="16"/>
          <w:color w:val="auto"/>
        </w:rPr>
      </w:pPr>
    </w:p>
    <w:p>
      <w:pPr>
        <w:jc w:val="both"/>
        <w:ind w:right="20" w:firstLine="760"/>
        <w:spacing w:after="0" w:line="259" w:lineRule="auto"/>
        <w:tabs>
          <w:tab w:leader="none" w:pos="926" w:val="left"/>
        </w:tabs>
        <w:numPr>
          <w:ilvl w:val="1"/>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Subscription Agreement has been duly executed and delivered by Subscriber, and assuming the due authorization, execution and delivery of the same by the Company, this Subscription Agreement shall constitute the valid and legally binding obligation of Subscriber, enforceable against Subscriber in accordance with its terms, except as such enforceability may be limited by bankruptcy, insolvency, reorganization, moratorium and similar laws affecting creditors generally and by the availability of equitable remedies.</w:t>
      </w:r>
    </w:p>
    <w:p>
      <w:pPr>
        <w:spacing w:after="0" w:line="161" w:lineRule="exact"/>
        <w:rPr>
          <w:rFonts w:ascii="Times New Roman" w:cs="Times New Roman" w:eastAsia="Times New Roman" w:hAnsi="Times New Roman"/>
          <w:sz w:val="16"/>
          <w:szCs w:val="16"/>
          <w:color w:val="auto"/>
        </w:rPr>
      </w:pPr>
    </w:p>
    <w:p>
      <w:pPr>
        <w:jc w:val="both"/>
        <w:ind w:firstLine="760"/>
        <w:spacing w:after="0" w:line="253" w:lineRule="auto"/>
        <w:tabs>
          <w:tab w:leader="none" w:pos="917" w:val="left"/>
        </w:tabs>
        <w:numPr>
          <w:ilvl w:val="1"/>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execution and delivery of this Subscription Agreement, the purchase of the Subscribed Securities and the compliance by Subscriber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Subscriber pursuant to the terms of (i) any indenture, mortgage, deed of trust, loan agreement, lease, license or other agreement or instrument to which Subscriber is a party or by which Subscriber is bound or to which any of the property or assets of Subscriber is subject; (ii) the organizational documents of Subscriber; or (iii) any statute or any judgment, order, rule or regulation of any court or governmental agency or body, domestic or foreign, having jurisdiction over Subscriber or any of its properties that, in the case of clauses (i) and (iii), would reasonably be expected to have a Subscriber Material Adverse Effect. For purposes of this Subscription Agreement, a “</w:t>
      </w:r>
      <w:r>
        <w:rPr>
          <w:rFonts w:ascii="Times New Roman" w:cs="Times New Roman" w:eastAsia="Times New Roman" w:hAnsi="Times New Roman"/>
          <w:sz w:val="16"/>
          <w:szCs w:val="16"/>
          <w:u w:val="single" w:color="auto"/>
          <w:color w:val="auto"/>
        </w:rPr>
        <w:t>Subscriber Material Adverse Effect</w:t>
      </w:r>
      <w:r>
        <w:rPr>
          <w:rFonts w:ascii="Times New Roman" w:cs="Times New Roman" w:eastAsia="Times New Roman" w:hAnsi="Times New Roman"/>
          <w:sz w:val="16"/>
          <w:szCs w:val="16"/>
          <w:color w:val="auto"/>
        </w:rPr>
        <w:t>” means an event, change, development, occurrence, condition or effect with respect to Subscriber that would reasonably be expected to have a material adverse effect on Subscriber’s ability to consummate the transactions contemplated hereby, including the purchase of the Subscribed Securities.</w:t>
      </w:r>
    </w:p>
    <w:p>
      <w:pPr>
        <w:spacing w:after="0" w:line="166" w:lineRule="exact"/>
        <w:rPr>
          <w:rFonts w:ascii="Times New Roman" w:cs="Times New Roman" w:eastAsia="Times New Roman" w:hAnsi="Times New Roman"/>
          <w:sz w:val="16"/>
          <w:szCs w:val="16"/>
          <w:color w:val="auto"/>
        </w:rPr>
      </w:pPr>
    </w:p>
    <w:p>
      <w:pPr>
        <w:jc w:val="both"/>
        <w:ind w:firstLine="760"/>
        <w:spacing w:after="0" w:line="253" w:lineRule="auto"/>
        <w:tabs>
          <w:tab w:leader="none" w:pos="929" w:val="left"/>
        </w:tabs>
        <w:numPr>
          <w:ilvl w:val="1"/>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(i) is a “qualified institutional buyer” (as defined in Rule 144A under the Securities Act) or an institutional “accredited investor” (within the meaning of Rule 501(a)(1), (2), (3), (7), (8), (9), (12) or (13) under the Securities Act) satisfying the applicable requirements set forth on Annex A; (ii) is acquiring the Subscribed Securities only for its own account and not for the account of others, or if Subscriber is subscribing for the Subscribed Securities as a fiduciary or agent for one or more investor accounts, each owner of such account is a “qualified institutional buyer” (as defined in Rule 144A under the Securities Act) or an institutional “accredited investor” (within the meaning of Rule 501(a)(1), (2), (3), (7), (8), (9), (12) or (13) under the Securities Act) and Subscriber has full investment discretion with respect to each such account, and the full power and authority to make the acknowledgements, representations and agreements herein on behalf of each owner of each such account, and (iii) is not acquiring the Subscribed Securities with a view to, or for offer or sale in connection with, any distribution thereof in violation of the Securities Act (and has provided the Company with the requested information on Annex A following the signature page hereto). Subscriber is not an entity formed for the specific purpose of acquiring the Subscribed Securities and is an “institutional account” as defined by FINRA Rule 4512(e).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25" w:name="page126"/>
    <w:bookmarkEnd w:id="125"/>
    <w:p>
      <w:pPr>
        <w:jc w:val="both"/>
        <w:ind w:left="4" w:firstLine="765"/>
        <w:spacing w:after="0" w:line="253" w:lineRule="auto"/>
        <w:rPr>
          <w:sz w:val="20"/>
          <w:szCs w:val="20"/>
          <w:color w:val="auto"/>
        </w:rPr>
      </w:pPr>
      <w:r>
        <w:rPr>
          <w:rFonts w:ascii="Times New Roman" w:cs="Times New Roman" w:eastAsia="Times New Roman" w:hAnsi="Times New Roman"/>
          <w:sz w:val="16"/>
          <w:szCs w:val="16"/>
          <w:color w:val="auto"/>
        </w:rPr>
        <w:t>e. Subscriber understands that the Subscribed Securities are being offered in a transaction not involving any public offering within the meaning of the Securities Act and that the Subscribed Securities have not been registered under the Securities Act. Subscriber understands that the Subscribed Securities may not be offered, resold, transferred, pledged or otherwise disposed of by Subscriber absent an effective registration statement under the Securities Act, except (i) to the Company or a subsidiary thereof, or (ii) pursuant to an applicable exemption from the registration requirements of the Securities Act, and, in each of cases (i) and (ii), in accordance with any applicable securities laws of the applicable states and other jurisdictions of the United States, and as a result of these transfer restrictions, Subscriber may not be able to readily resell the Subscribed Securities and the Underlying Shares and may be required to bear the financial risk of an investment in the Subscribed Securities for an indefinite period of time. Subscriber acknowledges and agrees that the Subscribed Securities will not be eligible for offer, resale, transfer, pledge or disposition pursuant to Rule 144 promulgated under the Securities Act (“</w:t>
      </w:r>
      <w:r>
        <w:rPr>
          <w:rFonts w:ascii="Times New Roman" w:cs="Times New Roman" w:eastAsia="Times New Roman" w:hAnsi="Times New Roman"/>
          <w:sz w:val="16"/>
          <w:szCs w:val="16"/>
          <w:u w:val="single" w:color="auto"/>
          <w:color w:val="auto"/>
        </w:rPr>
        <w:t>Rule 144</w:t>
      </w:r>
      <w:r>
        <w:rPr>
          <w:rFonts w:ascii="Times New Roman" w:cs="Times New Roman" w:eastAsia="Times New Roman" w:hAnsi="Times New Roman"/>
          <w:sz w:val="16"/>
          <w:szCs w:val="16"/>
          <w:color w:val="auto"/>
        </w:rPr>
        <w:t>”) until at least one year from the Closing Date. Subscriber understands that it has been advised to consult legal counsel prior to making any offer, resale, pledge or transfer of any of the Subscribed Securities and the Underlying Shares.</w:t>
      </w:r>
    </w:p>
    <w:p>
      <w:pPr>
        <w:spacing w:after="0" w:line="166" w:lineRule="exact"/>
        <w:rPr>
          <w:sz w:val="20"/>
          <w:szCs w:val="20"/>
          <w:color w:val="auto"/>
        </w:rPr>
      </w:pPr>
    </w:p>
    <w:p>
      <w:pPr>
        <w:ind w:left="4" w:right="20" w:firstLine="760"/>
        <w:spacing w:after="0" w:line="280" w:lineRule="auto"/>
        <w:tabs>
          <w:tab w:leader="none" w:pos="972"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book entry for the Subscribed Securities shall contain a notation, and each certificate (if any) evidencing the Subscribed Securities shall be stamped or otherwise imprinted with a legend, in substantially the following form:</w:t>
      </w:r>
    </w:p>
    <w:p>
      <w:pPr>
        <w:spacing w:after="0" w:line="144" w:lineRule="exact"/>
        <w:rPr>
          <w:sz w:val="20"/>
          <w:szCs w:val="20"/>
          <w:color w:val="auto"/>
        </w:rPr>
      </w:pPr>
    </w:p>
    <w:p>
      <w:pPr>
        <w:jc w:val="both"/>
        <w:ind w:left="4"/>
        <w:spacing w:after="0" w:line="259" w:lineRule="auto"/>
        <w:rPr>
          <w:sz w:val="20"/>
          <w:szCs w:val="20"/>
          <w:color w:val="auto"/>
        </w:rPr>
      </w:pPr>
      <w:r>
        <w:rPr>
          <w:rFonts w:ascii="Times New Roman" w:cs="Times New Roman" w:eastAsia="Times New Roman" w:hAnsi="Times New Roman"/>
          <w:sz w:val="16"/>
          <w:szCs w:val="16"/>
          <w:color w:val="auto"/>
        </w:rPr>
        <w:t>THIS SECURITY AND THE COMMON STOCK, IF ANY, ISSUABLE UPON CONVERSION OR EXERCISE OF THIS SECURITY, HAVE NOT BEEN REGISTERED UNDER THE SECURITIES ACT OF 1933, AS AMENDED (THE “</w:t>
      </w:r>
      <w:r>
        <w:rPr>
          <w:rFonts w:ascii="Times New Roman" w:cs="Times New Roman" w:eastAsia="Times New Roman" w:hAnsi="Times New Roman"/>
          <w:sz w:val="16"/>
          <w:szCs w:val="16"/>
          <w:b w:val="1"/>
          <w:bCs w:val="1"/>
          <w:color w:val="auto"/>
        </w:rPr>
        <w:t>SECURITIES ACT</w:t>
      </w:r>
      <w:r>
        <w:rPr>
          <w:rFonts w:ascii="Times New Roman" w:cs="Times New Roman" w:eastAsia="Times New Roman" w:hAnsi="Times New Roman"/>
          <w:sz w:val="16"/>
          <w:szCs w:val="16"/>
          <w:color w:val="auto"/>
        </w:rPr>
        <w:t>”), AND MAY NOT BE OFFERED, SOLD, PLEDGED OR OTHERWISE TRANSFERRED EXCEPT IN ACCORDANCE WITH THE FOLLOWING SENTENCE. BY ITS ACQUISITION HEREOF OR OF A BENEFICIAL INTEREST HEREIN, THE ACQUIRER:</w:t>
      </w:r>
    </w:p>
    <w:p>
      <w:pPr>
        <w:spacing w:after="0" w:line="162" w:lineRule="exact"/>
        <w:rPr>
          <w:sz w:val="20"/>
          <w:szCs w:val="20"/>
          <w:color w:val="auto"/>
        </w:rPr>
      </w:pPr>
    </w:p>
    <w:p>
      <w:pPr>
        <w:jc w:val="both"/>
        <w:ind w:left="4" w:hanging="4"/>
        <w:spacing w:after="0" w:line="273" w:lineRule="auto"/>
        <w:tabs>
          <w:tab w:leader="none" w:pos="236"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THAT EITHER (A) IT AND ANY ACCOUNT FOR WHICH IT IS ACTING IS A “QUALIFIED INSTITUTIONAL BUYER” (AS DEFINED IN RULE 144A UNDER THE SECURITIES ACT) AND THAT IT EXERCISES SOLE INVESTMENT DISCRETION WITH RESPECT TO EACH SUCH ACCOUNT OR (B) IT IS AN INSTITUTIONAL “ACCREDITED INVESTOR” (WITHIN THE MEANING OF RULE 501(A)(1), (2), (3), (7), (8), (9), (12) OR (13) UNDER THE SECURITIES ACT)</w:t>
      </w:r>
    </w:p>
    <w:p>
      <w:pPr>
        <w:spacing w:after="0" w:line="1" w:lineRule="exact"/>
        <w:rPr>
          <w:rFonts w:ascii="Times New Roman" w:cs="Times New Roman" w:eastAsia="Times New Roman" w:hAnsi="Times New Roman"/>
          <w:sz w:val="15"/>
          <w:szCs w:val="15"/>
          <w:color w:val="auto"/>
        </w:rPr>
      </w:pPr>
    </w:p>
    <w:p>
      <w:pPr>
        <w:jc w:val="both"/>
        <w:ind w:left="4" w:right="20"/>
        <w:spacing w:after="0" w:line="25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AND (2) AGREES FOR THE BENEFIT OF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THAT IT WILL NOT OFFER, SELL, PLEDGE OR OTHERWISE TRANSFER THIS SECURITY OR ANY BENEFICIAL INTEREST 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spacing w:after="0" w:line="167" w:lineRule="exact"/>
        <w:rPr>
          <w:sz w:val="20"/>
          <w:szCs w:val="20"/>
          <w:color w:val="auto"/>
        </w:rPr>
      </w:pPr>
    </w:p>
    <w:p>
      <w:pPr>
        <w:ind w:left="264" w:hanging="264"/>
        <w:spacing w:after="0"/>
        <w:tabs>
          <w:tab w:leader="none" w:pos="264"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COMPANY OR ANY SUBSIDIARY THEREOF, OR</w:t>
      </w:r>
    </w:p>
    <w:p>
      <w:pPr>
        <w:spacing w:after="0" w:line="198" w:lineRule="exact"/>
        <w:rPr>
          <w:rFonts w:ascii="Times New Roman" w:cs="Times New Roman" w:eastAsia="Times New Roman" w:hAnsi="Times New Roman"/>
          <w:sz w:val="16"/>
          <w:szCs w:val="16"/>
          <w:color w:val="auto"/>
        </w:rPr>
      </w:pPr>
    </w:p>
    <w:p>
      <w:pPr>
        <w:ind w:left="4" w:right="20" w:hanging="4"/>
        <w:spacing w:after="0" w:line="280" w:lineRule="auto"/>
        <w:tabs>
          <w:tab w:leader="none" w:pos="271"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A REGISTRATION STATEMENT THAT HAS BECOME EFFECTIVE UNDER THE SECURITIES ACT AND IS EFFECTIVE AT THE TIME OF SUCH TRANSFER, OR</w:t>
      </w:r>
    </w:p>
    <w:p>
      <w:pPr>
        <w:spacing w:after="0" w:line="144" w:lineRule="exact"/>
        <w:rPr>
          <w:rFonts w:ascii="Times New Roman" w:cs="Times New Roman" w:eastAsia="Times New Roman" w:hAnsi="Times New Roman"/>
          <w:sz w:val="16"/>
          <w:szCs w:val="16"/>
          <w:color w:val="auto"/>
        </w:rPr>
      </w:pPr>
    </w:p>
    <w:p>
      <w:pPr>
        <w:ind w:left="4" w:right="20" w:hanging="4"/>
        <w:spacing w:after="0" w:line="280" w:lineRule="auto"/>
        <w:tabs>
          <w:tab w:leader="none" w:pos="280"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 PERSON THAT YOU REASONABLY BELIEVE TO BE A QUALIFIED INSTITUTIONAL BUYER IN COMPLIANCE WITH RULE 144A UNDER THE SECURITIES ACT, OR</w:t>
      </w:r>
    </w:p>
    <w:p>
      <w:pPr>
        <w:spacing w:after="0" w:line="144" w:lineRule="exact"/>
        <w:rPr>
          <w:rFonts w:ascii="Times New Roman" w:cs="Times New Roman" w:eastAsia="Times New Roman" w:hAnsi="Times New Roman"/>
          <w:sz w:val="16"/>
          <w:szCs w:val="16"/>
          <w:color w:val="auto"/>
        </w:rPr>
      </w:pPr>
    </w:p>
    <w:p>
      <w:pPr>
        <w:ind w:left="4" w:right="20" w:hanging="4"/>
        <w:spacing w:after="0" w:line="280" w:lineRule="auto"/>
        <w:tabs>
          <w:tab w:leader="none" w:pos="309"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AN EXEMPTION FROM REGISTRATION PROVIDED BY RULE 144 UNDER THE SECURITIES ACT OR ANY OTHER AVAILABLE EXEMPTION FROM THE REGISTRATION REQUIREMENTS OF THE SECURITIES ACT.</w:t>
      </w:r>
    </w:p>
    <w:p>
      <w:pPr>
        <w:spacing w:after="0" w:line="144" w:lineRule="exact"/>
        <w:rPr>
          <w:sz w:val="20"/>
          <w:szCs w:val="20"/>
          <w:color w:val="auto"/>
        </w:rPr>
      </w:pPr>
    </w:p>
    <w:p>
      <w:pPr>
        <w:jc w:val="both"/>
        <w:ind w:left="4" w:right="20"/>
        <w:spacing w:after="0" w:line="257" w:lineRule="auto"/>
        <w:rPr>
          <w:sz w:val="20"/>
          <w:szCs w:val="20"/>
          <w:color w:val="auto"/>
        </w:rPr>
      </w:pPr>
      <w:r>
        <w:rPr>
          <w:rFonts w:ascii="Times New Roman" w:cs="Times New Roman" w:eastAsia="Times New Roman" w:hAnsi="Times New Roman"/>
          <w:sz w:val="16"/>
          <w:szCs w:val="16"/>
          <w:color w:val="auto"/>
        </w:rPr>
        <w:t>PRIOR TO THE REGISTRATION OF ANY TRANSFER IN ACCORDANCE WITH CLAUSE (2)(D) ABOVE, THE COMPANY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26" w:name="page127"/>
    <w:bookmarkEnd w:id="126"/>
    <w:p>
      <w:pPr>
        <w:jc w:val="both"/>
        <w:ind w:right="20" w:firstLine="765"/>
        <w:spacing w:after="0" w:line="255" w:lineRule="auto"/>
        <w:rPr>
          <w:sz w:val="20"/>
          <w:szCs w:val="20"/>
          <w:color w:val="auto"/>
        </w:rPr>
      </w:pPr>
      <w:r>
        <w:rPr>
          <w:rFonts w:ascii="Times New Roman" w:cs="Times New Roman" w:eastAsia="Times New Roman" w:hAnsi="Times New Roman"/>
          <w:sz w:val="16"/>
          <w:szCs w:val="16"/>
          <w:color w:val="auto"/>
        </w:rPr>
        <w:t>g. Subscriber understands and agrees that Subscriber is purchasing the Subscribed Securities directly from the Company. Subscriber further acknowledges that there have not been, and Subscriber hereby agrees that it is not relying on, any representations, warranties, covenants or agreements made to Subscriber by the Company, any other party to the Transaction or any other person or entity, expressly or by implication, other than those representations, warranties, covenants and agreements of the Company set forth in this Subscription Agreement. Subscriber acknowledges that certain information provided by the Company was based on projections, and such projections were prepared based on assumptions and estimates that are inherently uncertain and are subject to a wide variety of significant business, economic and competitive risks and uncertainties that could cause actual results to differ materially from those contained in the projections.</w:t>
      </w:r>
    </w:p>
    <w:p>
      <w:pPr>
        <w:spacing w:after="0" w:line="165" w:lineRule="exact"/>
        <w:rPr>
          <w:sz w:val="20"/>
          <w:szCs w:val="20"/>
          <w:color w:val="auto"/>
        </w:rPr>
      </w:pPr>
    </w:p>
    <w:p>
      <w:pPr>
        <w:jc w:val="both"/>
        <w:ind w:firstLine="765"/>
        <w:spacing w:after="0" w:line="257" w:lineRule="auto"/>
        <w:rPr>
          <w:sz w:val="20"/>
          <w:szCs w:val="20"/>
          <w:color w:val="auto"/>
        </w:rPr>
      </w:pPr>
      <w:r>
        <w:rPr>
          <w:rFonts w:ascii="Times New Roman" w:cs="Times New Roman" w:eastAsia="Times New Roman" w:hAnsi="Times New Roman"/>
          <w:sz w:val="16"/>
          <w:szCs w:val="16"/>
          <w:color w:val="auto"/>
        </w:rPr>
        <w:t>h. Subscriber agrees that none of the Placement Agents, nor any of their respective affiliates or any of their or their respective affiliates’ control persons, officers, directors or employees, shall be liable to Subscriber pursuant to this Subscription Agreement for any action heretofore or hereafter taken or omitted to be taken by any of them in connection with the purchase of the Subscribed Securities. On behalf of itself and its affiliates, Subscriber releases each of the Placement Agents in respect of any losses, claims, damages, obligations, penalties, judgments, awards, liabilities, costs, expenses or disbursements related to this Subscription Agreement or the transactions contemplated hereby.</w:t>
      </w:r>
    </w:p>
    <w:p>
      <w:pPr>
        <w:spacing w:after="0" w:line="162" w:lineRule="exact"/>
        <w:rPr>
          <w:sz w:val="20"/>
          <w:szCs w:val="20"/>
          <w:color w:val="auto"/>
        </w:rPr>
      </w:pPr>
    </w:p>
    <w:p>
      <w:pPr>
        <w:jc w:val="both"/>
        <w:ind w:firstLine="760"/>
        <w:spacing w:after="0" w:line="251" w:lineRule="auto"/>
        <w:tabs>
          <w:tab w:leader="none" w:pos="968"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making its decision to purchase the Subscribed Securities, Subscriber has relied solely upon independent investigation made by Subscriber and upon the representations, warranties and covenants set forth herein. Subscriber acknowledges and agrees that Subscriber has received such information as Subscriber deems necessary in order to make an investment decision with respect to the Subscribed Securities, including with respect to the Company and the Transaction (including Presto and their respective subsidiaries (collectively, the “</w:t>
      </w:r>
      <w:r>
        <w:rPr>
          <w:rFonts w:ascii="Times New Roman" w:cs="Times New Roman" w:eastAsia="Times New Roman" w:hAnsi="Times New Roman"/>
          <w:sz w:val="16"/>
          <w:szCs w:val="16"/>
          <w:u w:val="single" w:color="auto"/>
          <w:color w:val="auto"/>
        </w:rPr>
        <w:t>Acquired Companies</w:t>
      </w:r>
      <w:r>
        <w:rPr>
          <w:rFonts w:ascii="Times New Roman" w:cs="Times New Roman" w:eastAsia="Times New Roman" w:hAnsi="Times New Roman"/>
          <w:sz w:val="16"/>
          <w:szCs w:val="16"/>
          <w:color w:val="auto"/>
        </w:rPr>
        <w:t>”)). Subscriber represents and agrees that Subscriber and Subscriber’s professional advisor(s), if any, have had the full opportunity to ask such questions, receive such answers and obtain such information as Subscriber and such undersigned’s professional advisor(s), if any, have deemed necessary to make an investment decision with respect to the Subscribed Securities. Subscriber acknowledges and agrees that none of the Placement Agents, nor any respective affiliates of the Placement Agents have provided Subscriber with any information or advice with respect to the Subscribed Securities nor is such information or advice necessary or desired. None of the Placement Agents nor any of their respective affiliates have made or make any representation as to the Company or the Acquired Companies or the quality or value of the Subscribed Securities and the Placement Agents and any of their respective affiliates may have acquired non-public information with respect to the Company or the Acquired Companies which Subscriber agrees need not be provided to it. In connection with the issuance of the Subscribed Securities to Subscriber, none of the Placement Agents nor any of their respective affiliates have acted as a financial advisor or fiduciary to Subscriber. Each of the Placement Agents is acting solely as placement agent to the Company and is not acting as an underwriter or in any other capacity or as a fiduciary for the Company or any other person or entity in connection with the Transaction and none of the Placement Agents or any of their respective affiliates has prepared any disclosure or offering document in connection with the offer and sale of the Subscribed Securities. Subscriber acknowledges that the Placement Agents and their respective directors, officers, employees, representatives and controlling persons have made no independent investigation with respect to the Company or the Subscribed Securities or the accuracy, completeness or adequacy of any information supplied to Subscriber by the Company.</w:t>
      </w:r>
    </w:p>
    <w:p>
      <w:pPr>
        <w:spacing w:after="0" w:line="171" w:lineRule="exact"/>
        <w:rPr>
          <w:rFonts w:ascii="Times New Roman" w:cs="Times New Roman" w:eastAsia="Times New Roman" w:hAnsi="Times New Roman"/>
          <w:sz w:val="16"/>
          <w:szCs w:val="16"/>
          <w:color w:val="auto"/>
        </w:rPr>
      </w:pPr>
    </w:p>
    <w:p>
      <w:pPr>
        <w:jc w:val="both"/>
        <w:ind w:firstLine="760"/>
        <w:spacing w:after="0" w:line="257" w:lineRule="auto"/>
        <w:tabs>
          <w:tab w:leader="none" w:pos="937"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acknowledges and agrees that (i) the Placement Agents have not made and will not make any representation or warranty, whether express or implied, of any kind or character and have not provided any advice or recommendation in connection with the Transactions, and (ii) the Placement Agents will have no responsibility with respect to (A) any representations, warranties or agreements made by any person or entity under or in connection with the Transactions or any of the documents furnished pursuant thereto or in connection therewith, or the execution, legality, validity or enforceability (with respect to any person) or any thereof, or (B) the business, affairs, financial condition, operations, properties or prospects of, or any other matter concerning the Company or the Transactions.</w:t>
      </w:r>
    </w:p>
    <w:p>
      <w:pPr>
        <w:spacing w:after="0" w:line="162" w:lineRule="exact"/>
        <w:rPr>
          <w:rFonts w:ascii="Times New Roman" w:cs="Times New Roman" w:eastAsia="Times New Roman" w:hAnsi="Times New Roman"/>
          <w:sz w:val="16"/>
          <w:szCs w:val="16"/>
          <w:color w:val="auto"/>
        </w:rPr>
      </w:pPr>
    </w:p>
    <w:p>
      <w:pPr>
        <w:jc w:val="both"/>
        <w:ind w:right="20" w:firstLine="760"/>
        <w:spacing w:after="0" w:line="257" w:lineRule="auto"/>
        <w:tabs>
          <w:tab w:leader="none" w:pos="926"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became aware of this offering of the Subscribed Securities solely by means of direct contact between Subscriber and the Company and the Subscribed Securities were offered to Subscriber solely by direct contact between Subscriber and the Company. Subscriber did not become aware of this offering of the Subscribed Securities, nor were the Subscribed Securities offered to Subscriber, by any other means. Subscriber acknowledges that the Company represents and warrants that the Subscribed Securities (i) were not offered by any form of general solicitation or general advertising and (ii) are not being offered in a manner involving a public offering under, or in a distribution in violation of, the Securities Act, or any state securities laws.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27" w:name="page128"/>
    <w:bookmarkEnd w:id="127"/>
    <w:p>
      <w:pPr>
        <w:jc w:val="both"/>
        <w:ind w:right="20" w:firstLine="760"/>
        <w:spacing w:after="0" w:line="259" w:lineRule="auto"/>
        <w:tabs>
          <w:tab w:leader="none" w:pos="942"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acknowledges that it is aware that there are substantial risks incident to the purchase and ownership of the Subscribed Securities and the Underlying Shares. Subscriber has such knowledge and experience in financial and business matters as to be capable of evaluating the merits and risks of an investment in the Subscribed Securities and the Underlying Shares, and Subscriber has had an opportunity to seek, and has sought, such accounting, legal, business and tax advice as Subscriber has considered necessary to make an informed investment decision.</w:t>
      </w:r>
    </w:p>
    <w:p>
      <w:pPr>
        <w:spacing w:after="0" w:line="161" w:lineRule="exact"/>
        <w:rPr>
          <w:rFonts w:ascii="Times New Roman" w:cs="Times New Roman" w:eastAsia="Times New Roman" w:hAnsi="Times New Roman"/>
          <w:sz w:val="16"/>
          <w:szCs w:val="16"/>
          <w:color w:val="auto"/>
        </w:rPr>
      </w:pPr>
    </w:p>
    <w:p>
      <w:pPr>
        <w:jc w:val="both"/>
        <w:ind w:right="20" w:firstLine="760"/>
        <w:spacing w:after="0" w:line="265" w:lineRule="auto"/>
        <w:tabs>
          <w:tab w:leader="none" w:pos="975"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has adequately analyzed and fully considered the risks of an investment in the Subscribed Securities and the Underlying Shares and determined that the Subscribed Securities and the Underlying Shares are a suitable investment for Subscriber and that Subscriber is able at this time and in the foreseeable future to bear the economic risk of a total loss of Subscriber’s investment in the Company. Subscriber acknowledges specifically that a possibility of total loss exists.</w:t>
      </w:r>
    </w:p>
    <w:p>
      <w:pPr>
        <w:spacing w:after="0" w:line="155" w:lineRule="exact"/>
        <w:rPr>
          <w:rFonts w:ascii="Times New Roman" w:cs="Times New Roman" w:eastAsia="Times New Roman" w:hAnsi="Times New Roman"/>
          <w:sz w:val="16"/>
          <w:szCs w:val="16"/>
          <w:color w:val="auto"/>
        </w:rPr>
      </w:pPr>
    </w:p>
    <w:p>
      <w:pPr>
        <w:ind w:right="20" w:firstLine="760"/>
        <w:spacing w:after="0" w:line="280" w:lineRule="auto"/>
        <w:tabs>
          <w:tab w:leader="none" w:pos="942"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understands and agrees that no federal or state agency has passed upon or endorsed the merits of the offering of the Subscribed Securities or the Underlying Shares or made any findings or determination as to the fairness of this investment.</w:t>
      </w:r>
    </w:p>
    <w:p>
      <w:pPr>
        <w:spacing w:after="0" w:line="144" w:lineRule="exact"/>
        <w:rPr>
          <w:rFonts w:ascii="Times New Roman" w:cs="Times New Roman" w:eastAsia="Times New Roman" w:hAnsi="Times New Roman"/>
          <w:sz w:val="16"/>
          <w:szCs w:val="16"/>
          <w:color w:val="auto"/>
        </w:rPr>
      </w:pPr>
    </w:p>
    <w:p>
      <w:pPr>
        <w:jc w:val="both"/>
        <w:ind w:firstLine="760"/>
        <w:spacing w:after="0" w:line="252" w:lineRule="auto"/>
        <w:tabs>
          <w:tab w:leader="none" w:pos="925"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is not (i) a person or entity named on the List of Specially Designated Nationals and Blocked Persons administered by the U.S. Treasury Department’s Office of Foreign Assets Control (“</w:t>
      </w:r>
      <w:r>
        <w:rPr>
          <w:rFonts w:ascii="Times New Roman" w:cs="Times New Roman" w:eastAsia="Times New Roman" w:hAnsi="Times New Roman"/>
          <w:sz w:val="16"/>
          <w:szCs w:val="16"/>
          <w:u w:val="single" w:color="auto"/>
          <w:color w:val="auto"/>
        </w:rPr>
        <w:t>OFAC</w:t>
      </w:r>
      <w:r>
        <w:rPr>
          <w:rFonts w:ascii="Times New Roman" w:cs="Times New Roman" w:eastAsia="Times New Roman" w:hAnsi="Times New Roman"/>
          <w:sz w:val="16"/>
          <w:szCs w:val="16"/>
          <w:color w:val="auto"/>
        </w:rPr>
        <w:t>”) or in any Executive Order issued by the President of the United States and administered by OFAC (“</w:t>
      </w:r>
      <w:r>
        <w:rPr>
          <w:rFonts w:ascii="Times New Roman" w:cs="Times New Roman" w:eastAsia="Times New Roman" w:hAnsi="Times New Roman"/>
          <w:sz w:val="16"/>
          <w:szCs w:val="16"/>
          <w:u w:val="single" w:color="auto"/>
          <w:color w:val="auto"/>
        </w:rPr>
        <w:t>OFAC List</w:t>
      </w:r>
      <w:r>
        <w:rPr>
          <w:rFonts w:ascii="Times New Roman" w:cs="Times New Roman" w:eastAsia="Times New Roman" w:hAnsi="Times New Roman"/>
          <w:sz w:val="16"/>
          <w:szCs w:val="16"/>
          <w:color w:val="auto"/>
        </w:rPr>
        <w:t>”), or a person or entity prohibited by any OFAC sanctions program; (ii) a Designated National as defined in the Cuban Assets Control Regulations, 31 C.F.R. Part 515; or (iii) a non-U.S. shell bank or providing banking services indirectly to a non-U.S. shell bank (collectively, a “</w:t>
      </w:r>
      <w:r>
        <w:rPr>
          <w:rFonts w:ascii="Times New Roman" w:cs="Times New Roman" w:eastAsia="Times New Roman" w:hAnsi="Times New Roman"/>
          <w:sz w:val="16"/>
          <w:szCs w:val="16"/>
          <w:u w:val="single" w:color="auto"/>
          <w:color w:val="auto"/>
        </w:rPr>
        <w:t>Prohibited Investor</w:t>
      </w:r>
      <w:r>
        <w:rPr>
          <w:rFonts w:ascii="Times New Roman" w:cs="Times New Roman" w:eastAsia="Times New Roman" w:hAnsi="Times New Roman"/>
          <w:sz w:val="16"/>
          <w:szCs w:val="16"/>
          <w:color w:val="auto"/>
        </w:rPr>
        <w:t xml:space="preserve">”). Subscriber agrees to provide law enforcement agencies, if requested thereby, such records as required by applicable law,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Subscriber is permitted to do so under applicable law. Subscriber represents that if it is a financial institution subject to the Bank Secrecy Act (31 U.S.C. Section 5311 et seq.), as amended by the USA PATRIOT Act of 2001 and its implementing regulations (collectively, the “</w:t>
      </w:r>
      <w:r>
        <w:rPr>
          <w:rFonts w:ascii="Times New Roman" w:cs="Times New Roman" w:eastAsia="Times New Roman" w:hAnsi="Times New Roman"/>
          <w:sz w:val="16"/>
          <w:szCs w:val="16"/>
          <w:u w:val="single" w:color="auto"/>
          <w:color w:val="auto"/>
        </w:rPr>
        <w:t>BSA/PATRIOT Act</w:t>
      </w:r>
      <w:r>
        <w:rPr>
          <w:rFonts w:ascii="Times New Roman" w:cs="Times New Roman" w:eastAsia="Times New Roman" w:hAnsi="Times New Roman"/>
          <w:sz w:val="16"/>
          <w:szCs w:val="16"/>
          <w:color w:val="auto"/>
        </w:rPr>
        <w:t>”), that Subscriber maintains policies and procedures reasonably designed to comply with applicable obligations under the BSA/PATRIOT Act. Subscriber also represents that, to the extent required, it maintains policies and procedures reasonably designed for the screening of its investors against the OFAC sanctions programs, including the OFAC List. Subscriber further represents and warrants that, to the extent required, it maintains policies and procedures reasonably designed to ensure that the funds held by Subscriber and used to purchase the Subscribed Securities were legally derived.</w:t>
      </w:r>
    </w:p>
    <w:p>
      <w:pPr>
        <w:spacing w:after="0" w:line="171" w:lineRule="exact"/>
        <w:rPr>
          <w:rFonts w:ascii="Times New Roman" w:cs="Times New Roman" w:eastAsia="Times New Roman" w:hAnsi="Times New Roman"/>
          <w:sz w:val="16"/>
          <w:szCs w:val="16"/>
          <w:color w:val="auto"/>
        </w:rPr>
      </w:pPr>
    </w:p>
    <w:p>
      <w:pPr>
        <w:jc w:val="both"/>
        <w:ind w:firstLine="760"/>
        <w:spacing w:after="0" w:line="255" w:lineRule="auto"/>
        <w:tabs>
          <w:tab w:leader="none" w:pos="945"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Amendment Date, and during the 30-day period immediately prior to the Amendment Date, Subscriber has not entered into, any “put equivalent position” as such term is defined in Rule 16a-1 under the Exchange Act or short sale positions with respect to the securities of the Company. Notwithstanding the foregoing, in the case of a Subscriber that is a multi-managed investment vehicle whereby separate portfolio managers manage separate portions of such Subscriber’s assets and the portfolio managers have no direct knowledge of the investment decisions made by the portfolio managers managing other portions of such Subscriber’s assets, the representation set forth above shall only apply with respect to the portion of assets managed by the portfolio manager that made the investment decision to purchase the Subscribed Securities covered by this Subscription Agreement.</w:t>
      </w:r>
    </w:p>
    <w:p>
      <w:pPr>
        <w:spacing w:after="0" w:line="165" w:lineRule="exact"/>
        <w:rPr>
          <w:rFonts w:ascii="Times New Roman" w:cs="Times New Roman" w:eastAsia="Times New Roman" w:hAnsi="Times New Roman"/>
          <w:sz w:val="16"/>
          <w:szCs w:val="16"/>
          <w:color w:val="auto"/>
        </w:rPr>
      </w:pPr>
    </w:p>
    <w:p>
      <w:pPr>
        <w:jc w:val="both"/>
        <w:ind w:firstLine="760"/>
        <w:spacing w:after="0" w:line="252" w:lineRule="auto"/>
        <w:tabs>
          <w:tab w:leader="none" w:pos="941"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Subscriber is an employee benefit plan that is subject to Title I of ERISA, a plan, an individual retirement account or other arrangement that is subject to section 4975 of the Code or an employee benefit plan that is a governmental plan (as defined in section 3(32) of ERISA), a church plan (as defined in section 3(33) of ERISA), a non-U.S. plan (as described in section 4(b)(4) of ERISA) or other plan that is not subject to the foregoing but may be subject to provisions under any other federal, state, local, non-U.S. or other laws or regulations that are similar to such provisions of ERISA or the Internal Revenue Code of 1986, as amended, or an entity whose underlying assets are considered to include “plan assets” of any such plan, account or arrangement (each, a “Plan”) subject to the fiduciary or prohibited transaction provisions of ERISA or section 4975 of the Code, Subscriber represents and warrants that neither the Company, nor any of its respective affiliates (the “</w:t>
      </w:r>
      <w:r>
        <w:rPr>
          <w:rFonts w:ascii="Times New Roman" w:cs="Times New Roman" w:eastAsia="Times New Roman" w:hAnsi="Times New Roman"/>
          <w:sz w:val="16"/>
          <w:szCs w:val="16"/>
          <w:u w:val="single" w:color="auto"/>
          <w:color w:val="auto"/>
        </w:rPr>
        <w:t>Transaction Parties</w:t>
      </w:r>
      <w:r>
        <w:rPr>
          <w:rFonts w:ascii="Times New Roman" w:cs="Times New Roman" w:eastAsia="Times New Roman" w:hAnsi="Times New Roman"/>
          <w:sz w:val="16"/>
          <w:szCs w:val="16"/>
          <w:color w:val="auto"/>
        </w:rPr>
        <w:t>”) has acted as the Plan’s fiduciary, or has been relied on for advice, with respect to its decision to acquire and hold the Subscribed Securities, and none of the Transaction Parties shall at any time be relied upon as the Plan’s fiduciary with respect to any decision to acquire, continue to hold or transfer the Subscribed Securities and the Underlying Shares and none of the acquisition, holding and/or transfer or disposition of the Subscribed Securities and the Underlying Shares will result in a non-exempt prohibited Transactions under ERISA or Section 4975 of the Code or any similar law or regulation.</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28" w:name="page129"/>
    <w:bookmarkEnd w:id="128"/>
    <w:p>
      <w:pPr>
        <w:ind w:left="764"/>
        <w:spacing w:after="0"/>
        <w:rPr>
          <w:sz w:val="20"/>
          <w:szCs w:val="20"/>
          <w:color w:val="auto"/>
        </w:rPr>
      </w:pPr>
      <w:r>
        <w:rPr>
          <w:rFonts w:ascii="Times New Roman" w:cs="Times New Roman" w:eastAsia="Times New Roman" w:hAnsi="Times New Roman"/>
          <w:sz w:val="16"/>
          <w:szCs w:val="16"/>
          <w:color w:val="auto"/>
        </w:rPr>
        <w:t xml:space="preserve">r. Subscriber at the Closing will have sufficient funds to pay the Purchase Price pursuant to </w:t>
      </w:r>
      <w:r>
        <w:rPr>
          <w:rFonts w:ascii="Times New Roman" w:cs="Times New Roman" w:eastAsia="Times New Roman" w:hAnsi="Times New Roman"/>
          <w:sz w:val="16"/>
          <w:szCs w:val="16"/>
          <w:u w:val="single" w:color="auto"/>
          <w:color w:val="auto"/>
        </w:rPr>
        <w:t>Section 2(a)</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4" w:right="20" w:firstLine="765"/>
        <w:spacing w:after="0" w:line="280" w:lineRule="auto"/>
        <w:rPr>
          <w:sz w:val="20"/>
          <w:szCs w:val="20"/>
          <w:color w:val="auto"/>
        </w:rPr>
      </w:pPr>
      <w:r>
        <w:rPr>
          <w:rFonts w:ascii="Times New Roman" w:cs="Times New Roman" w:eastAsia="Times New Roman" w:hAnsi="Times New Roman"/>
          <w:sz w:val="16"/>
          <w:szCs w:val="16"/>
          <w:color w:val="auto"/>
        </w:rPr>
        <w:t xml:space="preserve">s. Subscriber agrees that, notwithstanding </w:t>
      </w:r>
      <w:r>
        <w:rPr>
          <w:rFonts w:ascii="Times New Roman" w:cs="Times New Roman" w:eastAsia="Times New Roman" w:hAnsi="Times New Roman"/>
          <w:sz w:val="16"/>
          <w:szCs w:val="16"/>
          <w:u w:val="single" w:color="auto"/>
          <w:color w:val="auto"/>
        </w:rPr>
        <w:t>Section 8(i)</w:t>
      </w:r>
      <w:r>
        <w:rPr>
          <w:rFonts w:ascii="Times New Roman" w:cs="Times New Roman" w:eastAsia="Times New Roman" w:hAnsi="Times New Roman"/>
          <w:sz w:val="16"/>
          <w:szCs w:val="16"/>
          <w:color w:val="auto"/>
        </w:rPr>
        <w:t>, the Placement Agent may rely upon the representations and warranties made by Subscriber to the Company in this Subscription Agreement.</w:t>
      </w:r>
    </w:p>
    <w:p>
      <w:pPr>
        <w:spacing w:after="0" w:line="144" w:lineRule="exact"/>
        <w:rPr>
          <w:sz w:val="20"/>
          <w:szCs w:val="20"/>
          <w:color w:val="auto"/>
        </w:rPr>
      </w:pPr>
    </w:p>
    <w:p>
      <w:pPr>
        <w:jc w:val="both"/>
        <w:ind w:left="4" w:firstLine="378"/>
        <w:spacing w:after="0" w:line="254" w:lineRule="auto"/>
        <w:tabs>
          <w:tab w:leader="none" w:pos="558" w:val="left"/>
        </w:tabs>
        <w:numPr>
          <w:ilvl w:val="1"/>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Registration of Subscribed Securities</w:t>
      </w:r>
      <w:r>
        <w:rPr>
          <w:rFonts w:ascii="Times New Roman" w:cs="Times New Roman" w:eastAsia="Times New Roman" w:hAnsi="Times New Roman"/>
          <w:sz w:val="16"/>
          <w:szCs w:val="16"/>
          <w:color w:val="auto"/>
        </w:rPr>
        <w:t>. On the Closing Date, the Company and Subscriber shall execute the registration rights agreement, in substantially the form attached as Exhibit F to the Transaction Agreement (the “</w:t>
      </w:r>
      <w:r>
        <w:rPr>
          <w:rFonts w:ascii="Times New Roman" w:cs="Times New Roman" w:eastAsia="Times New Roman" w:hAnsi="Times New Roman"/>
          <w:sz w:val="16"/>
          <w:szCs w:val="16"/>
          <w:u w:val="single" w:color="auto"/>
          <w:color w:val="auto"/>
        </w:rPr>
        <w:t>Registration Rights Agreement</w:t>
      </w:r>
      <w:r>
        <w:rPr>
          <w:rFonts w:ascii="Times New Roman" w:cs="Times New Roman" w:eastAsia="Times New Roman" w:hAnsi="Times New Roman"/>
          <w:sz w:val="16"/>
          <w:szCs w:val="16"/>
          <w:color w:val="auto"/>
        </w:rPr>
        <w:t>”), pursuant to which the Company shall agree to register the resale of the (i) the Subscribed Notes, (ii) shares of Common Stock issuable upon (x) conversion of the Subscribed Notes and (y) exercise of the Subscribed Warrants, (iii) the Warrants in accordance with the terms provided therein and (iv) any shares of Common Stock then held by Subscriber that have not been registered for resale. Upon execution and delivery of the Registration Rights Agreement by Subscriber, Subscriber and each permitted transferee of a Subscribed Security that receives Subscribed Securities in compliance with the restrictions on transfer contained in and pursuant to the Registration Right Agreement shall have the rights of a “Holder” therein, and all of the Subscribed Securities shall constitute “Registrable Securities” under the Registration Rights Agreement.</w:t>
      </w:r>
    </w:p>
    <w:p>
      <w:pPr>
        <w:spacing w:after="0" w:line="166" w:lineRule="exact"/>
        <w:rPr>
          <w:rFonts w:ascii="Times New Roman" w:cs="Times New Roman" w:eastAsia="Times New Roman" w:hAnsi="Times New Roman"/>
          <w:sz w:val="16"/>
          <w:szCs w:val="16"/>
          <w:color w:val="auto"/>
        </w:rPr>
      </w:pPr>
    </w:p>
    <w:p>
      <w:pPr>
        <w:jc w:val="both"/>
        <w:ind w:left="4" w:firstLine="378"/>
        <w:spacing w:after="0" w:line="253" w:lineRule="auto"/>
        <w:tabs>
          <w:tab w:leader="none" w:pos="546" w:val="left"/>
        </w:tabs>
        <w:numPr>
          <w:ilvl w:val="1"/>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This Subscription Agreement shall terminate and be void and of no further force and effect, and all rights and obligations of the parties hereunder shall terminate without any further liability on the part of any party in respect thereof, upon the date (the “</w:t>
      </w:r>
      <w:r>
        <w:rPr>
          <w:rFonts w:ascii="Times New Roman" w:cs="Times New Roman" w:eastAsia="Times New Roman" w:hAnsi="Times New Roman"/>
          <w:sz w:val="16"/>
          <w:szCs w:val="16"/>
          <w:u w:val="single" w:color="auto"/>
          <w:color w:val="auto"/>
        </w:rPr>
        <w:t>Termination Date</w:t>
      </w:r>
      <w:r>
        <w:rPr>
          <w:rFonts w:ascii="Times New Roman" w:cs="Times New Roman" w:eastAsia="Times New Roman" w:hAnsi="Times New Roman"/>
          <w:sz w:val="16"/>
          <w:szCs w:val="16"/>
          <w:color w:val="auto"/>
        </w:rPr>
        <w:t xml:space="preserve">”) that is the earlier to occur of (a)September 30, 2022, (b) such date and time as the Transaction Agreement is terminated in accordance with its terms, (c) the mutual written agreement of the Company and Subscriber to terminate this Subscription Agreement or (d) if, on the Closing Date of the Transaction, any of the conditions to Closing set forth in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of this Subscription Agreement have not been satisfied as of the time required hereunder to be so satisfied or waived (to the extent a valid waiver is capable of being issued) by the party entitled to grant such waiver and, as a result thereof, the transactions contemplated by this Subscription Agreement are not consummated;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nothing herein will relieve any party from liability for any willful breach hereof prior to the time of termination, and each party will be entitled to any remedies at law or in equity to recover losses, liabilities or damages arising from such breach. The Company shall notify Subscriber of the termination of the Transaction Agreement promptly after the termination thereof.</w:t>
      </w:r>
    </w:p>
    <w:p>
      <w:pPr>
        <w:spacing w:after="0" w:line="169" w:lineRule="exact"/>
        <w:rPr>
          <w:rFonts w:ascii="Times New Roman" w:cs="Times New Roman" w:eastAsia="Times New Roman" w:hAnsi="Times New Roman"/>
          <w:sz w:val="16"/>
          <w:szCs w:val="16"/>
          <w:color w:val="auto"/>
        </w:rPr>
      </w:pPr>
    </w:p>
    <w:p>
      <w:pPr>
        <w:jc w:val="both"/>
        <w:ind w:left="4" w:firstLine="378"/>
        <w:spacing w:after="0" w:line="268" w:lineRule="auto"/>
        <w:tabs>
          <w:tab w:leader="none" w:pos="546" w:val="left"/>
        </w:tabs>
        <w:numPr>
          <w:ilvl w:val="1"/>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Trust Account Waiver</w:t>
      </w:r>
      <w:r>
        <w:rPr>
          <w:rFonts w:ascii="Times New Roman" w:cs="Times New Roman" w:eastAsia="Times New Roman" w:hAnsi="Times New Roman"/>
          <w:sz w:val="15"/>
          <w:szCs w:val="15"/>
          <w:color w:val="auto"/>
        </w:rPr>
        <w:t>. Subscriber hereby acknowledges that the Company has established a trust account (the “</w:t>
      </w:r>
      <w:r>
        <w:rPr>
          <w:rFonts w:ascii="Times New Roman" w:cs="Times New Roman" w:eastAsia="Times New Roman" w:hAnsi="Times New Roman"/>
          <w:sz w:val="15"/>
          <w:szCs w:val="15"/>
          <w:u w:val="single" w:color="auto"/>
          <w:color w:val="auto"/>
        </w:rPr>
        <w:t>Trust Account</w:t>
      </w:r>
      <w:r>
        <w:rPr>
          <w:rFonts w:ascii="Times New Roman" w:cs="Times New Roman" w:eastAsia="Times New Roman" w:hAnsi="Times New Roman"/>
          <w:sz w:val="15"/>
          <w:szCs w:val="15"/>
          <w:color w:val="auto"/>
        </w:rPr>
        <w:t>”) containing the proceeds of its initial public offering (the “</w:t>
      </w:r>
      <w:r>
        <w:rPr>
          <w:rFonts w:ascii="Times New Roman" w:cs="Times New Roman" w:eastAsia="Times New Roman" w:hAnsi="Times New Roman"/>
          <w:sz w:val="15"/>
          <w:szCs w:val="15"/>
          <w:u w:val="single" w:color="auto"/>
          <w:color w:val="auto"/>
        </w:rPr>
        <w:t>IPO</w:t>
      </w:r>
      <w:r>
        <w:rPr>
          <w:rFonts w:ascii="Times New Roman" w:cs="Times New Roman" w:eastAsia="Times New Roman" w:hAnsi="Times New Roman"/>
          <w:sz w:val="15"/>
          <w:szCs w:val="15"/>
          <w:color w:val="auto"/>
        </w:rPr>
        <w:t>”) and from certain private placements occurring simultaneously with the IPO (including interest accrued from time to time thereon) for the benefit of the Company’s public stockholders and certain other parties (including the underwriters of the IPO). For and in consideration of the Company entering into this Subscription Agreement, and for other good and valuable consideration, the receipt and sufficiency of which are hereby acknowledged, Subscriber hereby (i) agrees that it does not now and shall not at any time hereafter have any right, title, interest or claim of any kind in or to any assets held in the Trust Account, and shall not make any claim against the Trust Account, regardless of whether such claim arises as a result of, in connection with or relating in any way to this Subscription Agreement or any other matter, and regardless of whether such claim arises based on contract, tort, equity or any other theory of legal liability (any and all such claims are collectively referred to hereafter as the “</w:t>
      </w:r>
      <w:r>
        <w:rPr>
          <w:rFonts w:ascii="Times New Roman" w:cs="Times New Roman" w:eastAsia="Times New Roman" w:hAnsi="Times New Roman"/>
          <w:sz w:val="15"/>
          <w:szCs w:val="15"/>
          <w:u w:val="single" w:color="auto"/>
          <w:color w:val="auto"/>
        </w:rPr>
        <w:t>Released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Claims</w:t>
      </w:r>
      <w:r>
        <w:rPr>
          <w:rFonts w:ascii="Times New Roman" w:cs="Times New Roman" w:eastAsia="Times New Roman" w:hAnsi="Times New Roman"/>
          <w:sz w:val="15"/>
          <w:szCs w:val="15"/>
          <w:color w:val="auto"/>
        </w:rPr>
        <w:t xml:space="preserve">”); (ii) irrevocably waives any Released Claims that it may have against the Trust Account now or in the future as a result of, or arising out of, any negotiations, contracts or agreements with the Company; and (iii) will not seek recourse against the Trust Account for any reason whatsoever;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xml:space="preserve">, that nothing in this </w:t>
      </w:r>
      <w:r>
        <w:rPr>
          <w:rFonts w:ascii="Times New Roman" w:cs="Times New Roman" w:eastAsia="Times New Roman" w:hAnsi="Times New Roman"/>
          <w:sz w:val="15"/>
          <w:szCs w:val="15"/>
          <w:u w:val="single" w:color="auto"/>
          <w:color w:val="auto"/>
        </w:rPr>
        <w:t>Section 7</w:t>
      </w:r>
      <w:r>
        <w:rPr>
          <w:rFonts w:ascii="Times New Roman" w:cs="Times New Roman" w:eastAsia="Times New Roman" w:hAnsi="Times New Roman"/>
          <w:sz w:val="15"/>
          <w:szCs w:val="15"/>
          <w:color w:val="auto"/>
        </w:rPr>
        <w:t xml:space="preserve"> shall be deemed to limit (x) any Subscriber’s right to distributions from the Trust Account in accordance with the Company’s amended and restated certificate of incorporation in respect of any redemptions by Subscriber of its shares of public Common Stock of the Company acquired by any means other than pursuant to this Subscription Agreement or</w:t>
      </w:r>
    </w:p>
    <w:p>
      <w:pPr>
        <w:spacing w:after="0" w:line="1" w:lineRule="exact"/>
        <w:rPr>
          <w:rFonts w:ascii="Times New Roman" w:cs="Times New Roman" w:eastAsia="Times New Roman" w:hAnsi="Times New Roman"/>
          <w:sz w:val="15"/>
          <w:szCs w:val="15"/>
          <w:color w:val="auto"/>
        </w:rPr>
      </w:pPr>
    </w:p>
    <w:p>
      <w:pPr>
        <w:jc w:val="both"/>
        <w:ind w:left="4" w:right="20" w:hanging="4"/>
        <w:spacing w:after="0" w:line="254" w:lineRule="auto"/>
        <w:tabs>
          <w:tab w:leader="none" w:pos="241"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Subscriber’s recourse against assets held outside of the Trust Account or held by the post-Closing combined entity. Each Subscriber acknowledges and agrees that it shall not have any redemption rights with respect to the Subscribed Securities pursuant to the Company’s organizational documents in connection with the Transaction or any other business combination, any subsequent liquidation of the Trust Account, the Company or otherwise, except as set forth in the Indenture.</w:t>
      </w:r>
    </w:p>
    <w:p>
      <w:pPr>
        <w:spacing w:after="0" w:line="35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29" w:name="page130"/>
    <w:bookmarkEnd w:id="129"/>
    <w:p>
      <w:pPr>
        <w:ind w:left="164" w:hanging="164"/>
        <w:spacing w:after="0"/>
        <w:tabs>
          <w:tab w:leader="none" w:pos="164"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jc w:val="both"/>
        <w:ind w:left="4" w:right="20" w:firstLine="760"/>
        <w:spacing w:after="0" w:line="255" w:lineRule="auto"/>
        <w:tabs>
          <w:tab w:leader="none" w:pos="934" w:val="left"/>
        </w:tabs>
        <w:numPr>
          <w:ilvl w:val="1"/>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All notices, requests, demands, claims, and other communications hereunder shall be in writing. Any notice, request, demand, claim, or other communication hereunder shall be deemed duly given (i) when delivered personally to the recipient; (ii) when sent by electronic mail, on the date of transmission to such recipient;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notice, request, demand, claim or other communication is also sent to the recipient pursuant to clauses (i), (iii) or (iv) of this </w:t>
      </w:r>
      <w:r>
        <w:rPr>
          <w:rFonts w:ascii="Times New Roman" w:cs="Times New Roman" w:eastAsia="Times New Roman" w:hAnsi="Times New Roman"/>
          <w:sz w:val="16"/>
          <w:szCs w:val="16"/>
          <w:u w:val="single" w:color="auto"/>
          <w:color w:val="auto"/>
        </w:rPr>
        <w:t>Section 8(a)</w:t>
      </w:r>
      <w:r>
        <w:rPr>
          <w:rFonts w:ascii="Times New Roman" w:cs="Times New Roman" w:eastAsia="Times New Roman" w:hAnsi="Times New Roman"/>
          <w:sz w:val="16"/>
          <w:szCs w:val="16"/>
          <w:color w:val="auto"/>
        </w:rPr>
        <w:t xml:space="preserve">; (iii) one Business Day after being sent to the recipient by reputable overnight courier service (charges prepaid), or (iv) four (4) Business Days after being mailed to the recipient by certified or registered mail, return receipt requested and postage prepaid, and, in each case, addressed to the intended recipient at its address specified on the signature page hereof or to such electronic mail address or address as subsequently modified by written notice given in accordance with this </w:t>
      </w:r>
      <w:r>
        <w:rPr>
          <w:rFonts w:ascii="Times New Roman" w:cs="Times New Roman" w:eastAsia="Times New Roman" w:hAnsi="Times New Roman"/>
          <w:sz w:val="16"/>
          <w:szCs w:val="16"/>
          <w:u w:val="single" w:color="auto"/>
          <w:color w:val="auto"/>
        </w:rPr>
        <w:t>Section 8(a)</w:t>
      </w:r>
      <w:r>
        <w:rPr>
          <w:rFonts w:ascii="Times New Roman" w:cs="Times New Roman" w:eastAsia="Times New Roman" w:hAnsi="Times New Roman"/>
          <w:sz w:val="16"/>
          <w:szCs w:val="16"/>
          <w:color w:val="auto"/>
        </w:rPr>
        <w:t>.</w:t>
      </w:r>
    </w:p>
    <w:p>
      <w:pPr>
        <w:spacing w:after="0" w:line="165" w:lineRule="exact"/>
        <w:rPr>
          <w:rFonts w:ascii="Times New Roman" w:cs="Times New Roman" w:eastAsia="Times New Roman" w:hAnsi="Times New Roman"/>
          <w:sz w:val="16"/>
          <w:szCs w:val="16"/>
          <w:color w:val="auto"/>
        </w:rPr>
      </w:pPr>
    </w:p>
    <w:p>
      <w:pPr>
        <w:jc w:val="both"/>
        <w:ind w:left="4" w:right="20" w:firstLine="760"/>
        <w:spacing w:after="0" w:line="255" w:lineRule="auto"/>
        <w:tabs>
          <w:tab w:leader="none" w:pos="934" w:val="left"/>
        </w:tabs>
        <w:numPr>
          <w:ilvl w:val="1"/>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acknowledges that the Company and others will rely on the acknowledgments, understandings, agreements, representations and warranties contained in this Subscription Agreement. Prior to the Closing, Subscriber agrees to promptly notify the Company if it becomes aware that any of the acknowledgments, understandings, agreements, representations and warranties of Subscriber set forth herein are no longer accurate in all material respects. The Company acknowledges that Subscriber and others will rely on the acknowledgments, understandings, agreements, representations and warranties contained in this Subscription Agreement. Prior to the Closing, the Company agrees to promptly notify Subscriber if it becomes aware that any of the acknowledgments, understandings, agreements, representations and warranties of the Company set forth herein are no longer accurate in all material respects.</w:t>
      </w:r>
    </w:p>
    <w:p>
      <w:pPr>
        <w:spacing w:after="0" w:line="165" w:lineRule="exact"/>
        <w:rPr>
          <w:rFonts w:ascii="Times New Roman" w:cs="Times New Roman" w:eastAsia="Times New Roman" w:hAnsi="Times New Roman"/>
          <w:sz w:val="16"/>
          <w:szCs w:val="16"/>
          <w:color w:val="auto"/>
        </w:rPr>
      </w:pPr>
    </w:p>
    <w:p>
      <w:pPr>
        <w:ind w:left="4" w:right="20" w:firstLine="760"/>
        <w:spacing w:after="0" w:line="280" w:lineRule="auto"/>
        <w:tabs>
          <w:tab w:leader="none" w:pos="952" w:val="left"/>
        </w:tabs>
        <w:numPr>
          <w:ilvl w:val="1"/>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Company and Subscriber is irrevocably authorized to produce this Subscription Agreement or a copy hereof to any interested party in any administrative or legal proceeding or official inquiry with respect to the matters covered hereby.</w:t>
      </w:r>
    </w:p>
    <w:p>
      <w:pPr>
        <w:spacing w:after="0" w:line="144" w:lineRule="exact"/>
        <w:rPr>
          <w:rFonts w:ascii="Times New Roman" w:cs="Times New Roman" w:eastAsia="Times New Roman" w:hAnsi="Times New Roman"/>
          <w:sz w:val="16"/>
          <w:szCs w:val="16"/>
          <w:color w:val="auto"/>
        </w:rPr>
      </w:pPr>
    </w:p>
    <w:p>
      <w:pPr>
        <w:jc w:val="both"/>
        <w:ind w:left="4" w:firstLine="760"/>
        <w:spacing w:after="0" w:line="252" w:lineRule="auto"/>
        <w:tabs>
          <w:tab w:leader="none" w:pos="958" w:val="left"/>
        </w:tabs>
        <w:numPr>
          <w:ilvl w:val="1"/>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be solely responsible for and shall bear all of costs and expenses incurred by or on behalf of the Company in connection with this Subscription Agreement. If the transaction is consummated, the Company shall reimburse Subscriber on the Closing Date for all reasonable and documented out-of-pocket legal, accounting and diligence fees and expenses of Subscriber incurred in connection with this Subscription Agreement, the Indenture and the other documents relating thereto, including the reasonable and documented fees and expenses of Milbank LLP, as counsel to Subscriber, such fees and expenses not to exceed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in the aggregate, to the extent invoiced at least one (1) Business Day prior to the Closing Date. In the event the Transaction is not consummated, unless Subscriber has materially breached its obligations hereunder, Presto shall reimburse Subscriber within 10 Business Days from the Subscriber’s request for reimbursement for all reasonable and documented out-of-pocket legal, accounting and diligence fees and expenses of Subscriber incurred in connection with this Subscription Agreement, the Indenture and the other documents relating thereto, including the reasonable and documented fees and expenses of Milbank LLP, as counsel to Subscriber, such fees and expenses not to exceed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in the aggregate. This </w:t>
      </w:r>
      <w:r>
        <w:rPr>
          <w:rFonts w:ascii="Times New Roman" w:cs="Times New Roman" w:eastAsia="Times New Roman" w:hAnsi="Times New Roman"/>
          <w:sz w:val="16"/>
          <w:szCs w:val="16"/>
          <w:u w:val="single" w:color="auto"/>
          <w:color w:val="auto"/>
        </w:rPr>
        <w:t>Section 8(d)</w:t>
      </w:r>
      <w:r>
        <w:rPr>
          <w:rFonts w:ascii="Times New Roman" w:cs="Times New Roman" w:eastAsia="Times New Roman" w:hAnsi="Times New Roman"/>
          <w:sz w:val="16"/>
          <w:szCs w:val="16"/>
          <w:color w:val="auto"/>
        </w:rPr>
        <w:t xml:space="preserve"> shall survive the termination of this Subscription Agreement. Neither this Subscription Agreement nor any rights that may accrue to Subscriber hereunder (other than the Subscribed Securities acquired hereunder, if any) may be transferred or assigned.</w:t>
      </w:r>
    </w:p>
    <w:p>
      <w:pPr>
        <w:spacing w:after="0" w:line="171" w:lineRule="exact"/>
        <w:rPr>
          <w:rFonts w:ascii="Times New Roman" w:cs="Times New Roman" w:eastAsia="Times New Roman" w:hAnsi="Times New Roman"/>
          <w:sz w:val="16"/>
          <w:szCs w:val="16"/>
          <w:color w:val="auto"/>
        </w:rPr>
      </w:pPr>
    </w:p>
    <w:p>
      <w:pPr>
        <w:jc w:val="both"/>
        <w:ind w:left="4" w:right="20" w:firstLine="760"/>
        <w:spacing w:after="0" w:line="255" w:lineRule="auto"/>
        <w:tabs>
          <w:tab w:leader="none" w:pos="920" w:val="left"/>
        </w:tabs>
        <w:numPr>
          <w:ilvl w:val="1"/>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this Subscription Agreement nor any rights that may accrue to the Company hereunder may be transferred or assigned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for the avoidance of doubt, the Company may transfer the Subscription Agreement and its rights hereunder solely in connection with the consummation of the Transaction and exclusively to another entity under the control of, or under common control with, the Company). Notwithstanding the foregoing, Subscriber may assign its rights and obligations under this Subscription Agreement to one or more of its affiliates (including other investment funds or accounts managed or advised by the investment manager who acts on behalf of Subscriber) or, with the Company’s prior written consent, to another person,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 such assignment shall relieve Subscriber of its obligations hereunder if any such assignee fails to perform such obligations, unless the Company has given its prior written consent to such relief.</w:t>
      </w:r>
    </w:p>
    <w:p>
      <w:pPr>
        <w:spacing w:after="0" w:line="165" w:lineRule="exact"/>
        <w:rPr>
          <w:rFonts w:ascii="Times New Roman" w:cs="Times New Roman" w:eastAsia="Times New Roman" w:hAnsi="Times New Roman"/>
          <w:sz w:val="16"/>
          <w:szCs w:val="16"/>
          <w:color w:val="auto"/>
        </w:rPr>
      </w:pPr>
    </w:p>
    <w:p>
      <w:pPr>
        <w:ind w:left="904" w:hanging="140"/>
        <w:spacing w:after="0"/>
        <w:tabs>
          <w:tab w:leader="none" w:pos="904" w:val="left"/>
        </w:tabs>
        <w:numPr>
          <w:ilvl w:val="1"/>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the agreements, representations and warranties made by each party hereto in this Subscription Agreement shall survive the Closing.</w:t>
      </w:r>
    </w:p>
    <w:p>
      <w:pPr>
        <w:spacing w:after="0" w:line="3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30" w:name="page131"/>
    <w:bookmarkEnd w:id="130"/>
    <w:p>
      <w:pPr>
        <w:jc w:val="both"/>
        <w:ind w:left="4" w:right="20" w:firstLine="765"/>
        <w:spacing w:after="0" w:line="265" w:lineRule="auto"/>
        <w:rPr>
          <w:sz w:val="20"/>
          <w:szCs w:val="20"/>
          <w:color w:val="auto"/>
        </w:rPr>
      </w:pPr>
      <w:r>
        <w:rPr>
          <w:rFonts w:ascii="Times New Roman" w:cs="Times New Roman" w:eastAsia="Times New Roman" w:hAnsi="Times New Roman"/>
          <w:sz w:val="16"/>
          <w:szCs w:val="16"/>
          <w:color w:val="auto"/>
        </w:rPr>
        <w:t>g. The Company may request from Subscriber such additional information as the Company may deem necessary to evaluate the eligibility of Subscriber to acquire the Subscribed Securities, and Subscriber shall provide such information as may be reasonably requested, to the extent readily available and to the extent consistent with its internal policies and procedures.</w:t>
      </w:r>
    </w:p>
    <w:p>
      <w:pPr>
        <w:spacing w:after="0" w:line="155" w:lineRule="exact"/>
        <w:rPr>
          <w:sz w:val="20"/>
          <w:szCs w:val="20"/>
          <w:color w:val="auto"/>
        </w:rPr>
      </w:pPr>
    </w:p>
    <w:p>
      <w:pPr>
        <w:jc w:val="both"/>
        <w:ind w:left="4" w:firstLine="765"/>
        <w:spacing w:after="0" w:line="268" w:lineRule="auto"/>
        <w:rPr>
          <w:sz w:val="20"/>
          <w:szCs w:val="20"/>
          <w:color w:val="auto"/>
        </w:rPr>
      </w:pPr>
      <w:r>
        <w:rPr>
          <w:rFonts w:ascii="Times New Roman" w:cs="Times New Roman" w:eastAsia="Times New Roman" w:hAnsi="Times New Roman"/>
          <w:sz w:val="15"/>
          <w:szCs w:val="15"/>
          <w:color w:val="auto"/>
        </w:rPr>
        <w:t xml:space="preserve">h. This Subscription Agreement may not be amended, modified, waived or terminated except by an instrument in writing, signed by the party against whom enforcement of such modification, waiver, or termination is sought;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this Subscription Agreement may be amended, modified, waived or terminated with the written consent of the Company and Subscribers then holding a majority of the Aggregate Subscribed Securities then committed to be purchased at the Closing by (or, if after the Closing, then held by) all Subscribers (the “</w:t>
      </w:r>
      <w:r>
        <w:rPr>
          <w:rFonts w:ascii="Times New Roman" w:cs="Times New Roman" w:eastAsia="Times New Roman" w:hAnsi="Times New Roman"/>
          <w:sz w:val="15"/>
          <w:szCs w:val="15"/>
          <w:u w:val="single" w:color="auto"/>
          <w:color w:val="auto"/>
        </w:rPr>
        <w:t>Required Subscribers</w:t>
      </w:r>
      <w:r>
        <w:rPr>
          <w:rFonts w:ascii="Times New Roman" w:cs="Times New Roman" w:eastAsia="Times New Roman" w:hAnsi="Times New Roman"/>
          <w:sz w:val="15"/>
          <w:szCs w:val="15"/>
          <w:color w:val="auto"/>
        </w:rPr>
        <w:t xml:space="preserve">”). Upon the effectuation of such waiver, modification, amendment or termination with the consent of the Required Subscribers in conformance with this </w:t>
      </w:r>
      <w:r>
        <w:rPr>
          <w:rFonts w:ascii="Times New Roman" w:cs="Times New Roman" w:eastAsia="Times New Roman" w:hAnsi="Times New Roman"/>
          <w:sz w:val="15"/>
          <w:szCs w:val="15"/>
          <w:u w:val="single" w:color="auto"/>
          <w:color w:val="auto"/>
        </w:rPr>
        <w:t>Section 8(h)</w:t>
      </w:r>
      <w:r>
        <w:rPr>
          <w:rFonts w:ascii="Times New Roman" w:cs="Times New Roman" w:eastAsia="Times New Roman" w:hAnsi="Times New Roman"/>
          <w:sz w:val="15"/>
          <w:szCs w:val="15"/>
          <w:color w:val="auto"/>
        </w:rPr>
        <w:t xml:space="preserve">, such amendment, modification, waiver or termination shall be binding on all Subscribers and effective as to all of the Subscription Agreements. The Company shall promptly give written notice thereof to Subscriber if Subscriber has not previously consented to such amendment, modification, waiver or termination in writing;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failure to give such notice shall not affect the validity of such amendment, modification, waiver or termination. Notwithstanding anything to the contrary herein, (i) no amendment, modification or waiver shall be effective against any Subscriber unless such amendment, modification or waiver applies to all Subscribers equally; (ii) any amendment, modification or waiver that has a disproportionate effect on a Subscriber (considered apart from any disproportionate effect owing to the number of Subscribed Securities held by such Subscriber), shall require the consent of such Subscriber; (iii) any amendment to </w:t>
      </w:r>
      <w:r>
        <w:rPr>
          <w:rFonts w:ascii="Times New Roman" w:cs="Times New Roman" w:eastAsia="Times New Roman" w:hAnsi="Times New Roman"/>
          <w:sz w:val="15"/>
          <w:szCs w:val="15"/>
          <w:u w:val="single" w:color="auto"/>
          <w:color w:val="auto"/>
        </w:rPr>
        <w:t>Section 2(e)</w:t>
      </w:r>
    </w:p>
    <w:p>
      <w:pPr>
        <w:spacing w:after="0" w:line="3" w:lineRule="exact"/>
        <w:rPr>
          <w:sz w:val="20"/>
          <w:szCs w:val="20"/>
          <w:color w:val="auto"/>
        </w:rPr>
      </w:pPr>
    </w:p>
    <w:p>
      <w:pPr>
        <w:ind w:left="4" w:right="20" w:hanging="4"/>
        <w:spacing w:after="0" w:line="258" w:lineRule="auto"/>
        <w:tabs>
          <w:tab w:leader="none" w:pos="318" w:val="left"/>
        </w:tabs>
        <w:numPr>
          <w:ilvl w:val="0"/>
          <w:numId w:val="159"/>
        </w:numPr>
        <w:rPr>
          <w:rFonts w:ascii="Times New Roman" w:cs="Times New Roman" w:eastAsia="Times New Roman" w:hAnsi="Times New Roman"/>
          <w:sz w:val="16"/>
          <w:szCs w:val="16"/>
          <w:u w:val="single" w:color="auto"/>
          <w:color w:val="auto"/>
        </w:rPr>
      </w:pPr>
      <w:r>
        <w:rPr>
          <w:rFonts w:ascii="Times New Roman" w:cs="Times New Roman" w:eastAsia="Times New Roman" w:hAnsi="Times New Roman"/>
          <w:sz w:val="16"/>
          <w:szCs w:val="16"/>
          <w:color w:val="auto"/>
        </w:rPr>
        <w:t xml:space="preserve">and </w:t>
      </w:r>
      <w:r>
        <w:rPr>
          <w:rFonts w:ascii="Times New Roman" w:cs="Times New Roman" w:eastAsia="Times New Roman" w:hAnsi="Times New Roman"/>
          <w:sz w:val="16"/>
          <w:szCs w:val="16"/>
          <w:u w:val="single" w:color="auto"/>
          <w:color w:val="auto"/>
        </w:rPr>
        <w:t>(viii)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3(g)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5</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(to amend the definition of Termination Date) or this </w:t>
      </w:r>
      <w:r>
        <w:rPr>
          <w:rFonts w:ascii="Times New Roman" w:cs="Times New Roman" w:eastAsia="Times New Roman" w:hAnsi="Times New Roman"/>
          <w:sz w:val="16"/>
          <w:szCs w:val="16"/>
          <w:u w:val="single" w:color="auto"/>
          <w:color w:val="auto"/>
        </w:rPr>
        <w:t>Section 8(h)</w:t>
      </w:r>
      <w:r>
        <w:rPr>
          <w:rFonts w:ascii="Times New Roman" w:cs="Times New Roman" w:eastAsia="Times New Roman" w:hAnsi="Times New Roman"/>
          <w:sz w:val="16"/>
          <w:szCs w:val="16"/>
          <w:color w:val="auto"/>
        </w:rPr>
        <w:t xml:space="preserve"> of this Subscription Agreement; and (iv) any amendment, modification or other change that alters the Purchase Price, or the number of Subscribed Securities shall require the consent of the undersigned Subscriber.</w:t>
      </w:r>
    </w:p>
    <w:p>
      <w:pPr>
        <w:spacing w:after="0" w:line="161" w:lineRule="exact"/>
        <w:rPr>
          <w:rFonts w:ascii="Times New Roman" w:cs="Times New Roman" w:eastAsia="Times New Roman" w:hAnsi="Times New Roman"/>
          <w:sz w:val="16"/>
          <w:szCs w:val="16"/>
          <w:u w:val="single" w:color="auto"/>
          <w:color w:val="auto"/>
        </w:rPr>
      </w:pPr>
    </w:p>
    <w:p>
      <w:pPr>
        <w:ind w:left="4" w:right="20" w:firstLine="760"/>
        <w:spacing w:after="0" w:line="280" w:lineRule="auto"/>
        <w:tabs>
          <w:tab w:leader="none" w:pos="909" w:val="left"/>
        </w:tabs>
        <w:numPr>
          <w:ilvl w:val="1"/>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Subscription Agreement constitutes the entire agreement, and supersedes all other prior agreements, understandings, representations and warranties, both written and oral, among the parties, with respect to the subject matter hereof.</w:t>
      </w:r>
    </w:p>
    <w:p>
      <w:pPr>
        <w:spacing w:after="0" w:line="144" w:lineRule="exact"/>
        <w:rPr>
          <w:rFonts w:ascii="Times New Roman" w:cs="Times New Roman" w:eastAsia="Times New Roman" w:hAnsi="Times New Roman"/>
          <w:sz w:val="16"/>
          <w:szCs w:val="16"/>
          <w:color w:val="auto"/>
        </w:rPr>
      </w:pPr>
    </w:p>
    <w:p>
      <w:pPr>
        <w:jc w:val="both"/>
        <w:ind w:left="4" w:right="20" w:firstLine="760"/>
        <w:spacing w:after="0" w:line="265" w:lineRule="auto"/>
        <w:tabs>
          <w:tab w:leader="none" w:pos="900" w:val="left"/>
        </w:tabs>
        <w:numPr>
          <w:ilvl w:val="1"/>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55" w:lineRule="exact"/>
        <w:rPr>
          <w:rFonts w:ascii="Times New Roman" w:cs="Times New Roman" w:eastAsia="Times New Roman" w:hAnsi="Times New Roman"/>
          <w:sz w:val="16"/>
          <w:szCs w:val="16"/>
          <w:color w:val="auto"/>
        </w:rPr>
      </w:pPr>
    </w:p>
    <w:p>
      <w:pPr>
        <w:ind w:left="4" w:firstLine="760"/>
        <w:spacing w:after="0" w:line="280" w:lineRule="auto"/>
        <w:tabs>
          <w:tab w:leader="none" w:pos="940" w:val="left"/>
        </w:tabs>
        <w:numPr>
          <w:ilvl w:val="1"/>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w:t>
      </w:r>
    </w:p>
    <w:p>
      <w:pPr>
        <w:spacing w:after="0" w:line="144" w:lineRule="exact"/>
        <w:rPr>
          <w:rFonts w:ascii="Times New Roman" w:cs="Times New Roman" w:eastAsia="Times New Roman" w:hAnsi="Times New Roman"/>
          <w:sz w:val="16"/>
          <w:szCs w:val="16"/>
          <w:color w:val="auto"/>
        </w:rPr>
      </w:pPr>
    </w:p>
    <w:p>
      <w:pPr>
        <w:jc w:val="both"/>
        <w:ind w:left="4" w:right="20" w:firstLine="760"/>
        <w:spacing w:after="0" w:line="265" w:lineRule="auto"/>
        <w:tabs>
          <w:tab w:leader="none" w:pos="904" w:val="left"/>
        </w:tabs>
        <w:numPr>
          <w:ilvl w:val="1"/>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Subscription Agreement may be executed and delivered in one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155" w:lineRule="exact"/>
        <w:rPr>
          <w:rFonts w:ascii="Times New Roman" w:cs="Times New Roman" w:eastAsia="Times New Roman" w:hAnsi="Times New Roman"/>
          <w:sz w:val="16"/>
          <w:szCs w:val="16"/>
          <w:color w:val="auto"/>
        </w:rPr>
      </w:pPr>
    </w:p>
    <w:p>
      <w:pPr>
        <w:jc w:val="both"/>
        <w:ind w:left="4" w:firstLine="760"/>
        <w:spacing w:after="0" w:line="265" w:lineRule="auto"/>
        <w:tabs>
          <w:tab w:leader="none" w:pos="1022" w:val="left"/>
        </w:tabs>
        <w:numPr>
          <w:ilvl w:val="1"/>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This Subscription Agreement is intended for the benefit of the parties hereto and their respective successors and permitted assigns and is not for the benefit of, nor may any provision hereof be enforced by, any other person;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the Placement Agent shall be an intended third-party beneficiary of the representations and warranties of the Company in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hereof and of Subscriber in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hereof.</w:t>
      </w:r>
    </w:p>
    <w:p>
      <w:pPr>
        <w:spacing w:after="0" w:line="155" w:lineRule="exact"/>
        <w:rPr>
          <w:rFonts w:ascii="Times New Roman" w:cs="Times New Roman" w:eastAsia="Times New Roman" w:hAnsi="Times New Roman"/>
          <w:sz w:val="16"/>
          <w:szCs w:val="16"/>
          <w:color w:val="auto"/>
        </w:rPr>
      </w:pPr>
    </w:p>
    <w:p>
      <w:pPr>
        <w:jc w:val="both"/>
        <w:ind w:left="4" w:right="20" w:firstLine="760"/>
        <w:spacing w:after="0" w:line="259" w:lineRule="auto"/>
        <w:tabs>
          <w:tab w:leader="none" w:pos="948" w:val="left"/>
        </w:tabs>
        <w:numPr>
          <w:ilvl w:val="1"/>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parties hereto agree that irreparable damage would occur in the event that any of the provisions of this Subscription Agreement were not performed in accordance with their specific terms or were otherwise breached. It is accordingly agreed that the parties shall be entitled to seek an injunction or injunctions to prevent breaches of this Subscription Agreement and to enforce specifically the terms and provisions of this Subscription Agreement, this being in addition to any other remedy to which such party is entitled at law, in equity, in contract, in tort or otherwise.</w:t>
      </w:r>
    </w:p>
    <w:p>
      <w:pPr>
        <w:spacing w:after="0" w:line="35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31" w:name="page132"/>
    <w:bookmarkEnd w:id="131"/>
    <w:p>
      <w:pPr>
        <w:jc w:val="both"/>
        <w:ind w:right="20" w:firstLine="765"/>
        <w:spacing w:after="0" w:line="280" w:lineRule="auto"/>
        <w:rPr>
          <w:sz w:val="20"/>
          <w:szCs w:val="20"/>
          <w:color w:val="auto"/>
        </w:rPr>
      </w:pPr>
      <w:r>
        <w:rPr>
          <w:rFonts w:ascii="Times New Roman" w:cs="Times New Roman" w:eastAsia="Times New Roman" w:hAnsi="Times New Roman"/>
          <w:sz w:val="16"/>
          <w:szCs w:val="16"/>
          <w:color w:val="auto"/>
        </w:rPr>
        <w:t>o. This Subscription Agreement shall be governed by, and construed in accordance with, the laws of the State of Delaware, without regard to the principles of conflicts of laws that would otherwise require the application of the law of any other state.</w:t>
      </w:r>
    </w:p>
    <w:p>
      <w:pPr>
        <w:spacing w:after="0" w:line="142" w:lineRule="exact"/>
        <w:rPr>
          <w:sz w:val="20"/>
          <w:szCs w:val="20"/>
          <w:color w:val="auto"/>
        </w:rPr>
      </w:pPr>
    </w:p>
    <w:p>
      <w:pPr>
        <w:jc w:val="both"/>
        <w:ind w:firstLine="765"/>
        <w:spacing w:after="0" w:line="253" w:lineRule="auto"/>
        <w:rPr>
          <w:sz w:val="20"/>
          <w:szCs w:val="20"/>
          <w:color w:val="auto"/>
        </w:rPr>
      </w:pPr>
      <w:r>
        <w:rPr>
          <w:rFonts w:ascii="Times New Roman" w:cs="Times New Roman" w:eastAsia="Times New Roman" w:hAnsi="Times New Roman"/>
          <w:sz w:val="16"/>
          <w:szCs w:val="16"/>
          <w:color w:val="auto"/>
        </w:rPr>
        <w:t xml:space="preserve">p. </w:t>
      </w:r>
      <w:r>
        <w:rPr>
          <w:rFonts w:ascii="Times New Roman" w:cs="Times New Roman" w:eastAsia="Times New Roman" w:hAnsi="Times New Roman"/>
          <w:sz w:val="16"/>
          <w:szCs w:val="16"/>
          <w:b w:val="1"/>
          <w:bCs w:val="1"/>
          <w:color w:val="auto"/>
        </w:rPr>
        <w:t>EACH PARTY HEREBY WAIVES ITS RESPECTIVE RIGHTS TO A TRIAL BY JURY OF ANY CLAIM OR CAUSE OF ACTION BASED UPON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OR ARISING OUT OR RELATED TO THIS SUBSCRIPTION AGREEMENT OR THE TRANSACTIONS CONTEMPLATED HEREBY IN ANY ACTION, PROCEEDING OR OTHER LITIGATION OF ANY TYPE BROUGHT BY ANY PARTY AGAINST ANY OTHER PARTY OR ANY AFFILIATE OF ANY OTHER SUCH PARTY, WHETHER WITH RESPECT TO CONTRACT CLAIMS, TORT CLAIMS OR OTHERWISE. THE PARTIES AGREE THAT ANY SUCH CLAIM OR CAUSE OF ACTION SHALL BE TRIED BY A COURT TRIAL WITHOUT A JURY. WITHOUT LIMITING THE FOREGOING, THE PARTIES FURTHER AGREE THAT THEIR RESPECTIVE RIGHT TO A TRIAL BY JURY IS WAIVED BY OPERATION OF THIS SECTION AS TO ANY ACTION, COUNTERCLAIM OR OTHER PROCEEDING WHICH SEEKS, IN WHOLE OR IN PART, TO CHALLENGE THE VALIDITY OR ENFORCEABILITY OF THIS SUBSCRIPTION AGREEMENT OR ANY PROVISION HEREOF. THIS WAIVER SHALL APPLY TO ANY SUBSEQUENT AMENDMENTS, RENEWALS, SUPPLEMENTS OR MODIFICATIONS TO THIS SUBSCRIPTION AGREEMENT.</w:t>
      </w:r>
    </w:p>
    <w:p>
      <w:pPr>
        <w:spacing w:after="0" w:line="168" w:lineRule="exact"/>
        <w:rPr>
          <w:sz w:val="20"/>
          <w:szCs w:val="20"/>
          <w:color w:val="auto"/>
        </w:rPr>
      </w:pPr>
    </w:p>
    <w:p>
      <w:pPr>
        <w:jc w:val="both"/>
        <w:ind w:firstLine="765"/>
        <w:spacing w:after="0" w:line="270" w:lineRule="auto"/>
        <w:rPr>
          <w:sz w:val="20"/>
          <w:szCs w:val="20"/>
          <w:color w:val="auto"/>
        </w:rPr>
      </w:pPr>
      <w:r>
        <w:rPr>
          <w:rFonts w:ascii="Times New Roman" w:cs="Times New Roman" w:eastAsia="Times New Roman" w:hAnsi="Times New Roman"/>
          <w:sz w:val="15"/>
          <w:szCs w:val="15"/>
          <w:color w:val="auto"/>
        </w:rPr>
        <w:t>q. The parties agree that all disputes, legal actions, suits and proceedings arising out of or relating to this Subscription Agreement must be brought exclusively in the Court of Chancery of the State of Delaware and any state appellate court therefrom within the State of Delaware (or, if the Court of Chancery of the State of Delaware declines to accept jurisdiction over a particular matter, any federal court within the State of Delaware or, in the event each federal court within the State of Delaware declines to accept jurisdiction over a particular matter, any state court within the State of Delaware) (collectively the “</w:t>
      </w:r>
      <w:r>
        <w:rPr>
          <w:rFonts w:ascii="Times New Roman" w:cs="Times New Roman" w:eastAsia="Times New Roman" w:hAnsi="Times New Roman"/>
          <w:sz w:val="15"/>
          <w:szCs w:val="15"/>
          <w:u w:val="single" w:color="auto"/>
          <w:color w:val="auto"/>
        </w:rPr>
        <w:t>Designated Courts</w:t>
      </w:r>
      <w:r>
        <w:rPr>
          <w:rFonts w:ascii="Times New Roman" w:cs="Times New Roman" w:eastAsia="Times New Roman" w:hAnsi="Times New Roman"/>
          <w:sz w:val="15"/>
          <w:szCs w:val="15"/>
          <w:color w:val="auto"/>
        </w:rPr>
        <w:t xml:space="preserve">”). Each party hereby consents and submits to the exclusive jurisdiction of the Designated Courts. No legal action, suit or proceeding with respect to this subscription agreement may be brought in any other forum. Each party hereby irrevocably waives all claims of immunity from jurisdiction and any objection which such party may now or hereafter have to the laying of venue of any suit, action or proceeding in any Designated Court, including any right to object on the basis that any dispute, action, suit or proceeding brought in the Designated Courts has been brought in an improper or inconvenient forum or venue. Each of the parties also agrees that delivery of any process, summons, notice or document to a party hereof in compliance with </w:t>
      </w:r>
      <w:r>
        <w:rPr>
          <w:rFonts w:ascii="Times New Roman" w:cs="Times New Roman" w:eastAsia="Times New Roman" w:hAnsi="Times New Roman"/>
          <w:sz w:val="15"/>
          <w:szCs w:val="15"/>
          <w:u w:val="single" w:color="auto"/>
          <w:color w:val="auto"/>
        </w:rPr>
        <w:t>Section 8(a)</w:t>
      </w:r>
      <w:r>
        <w:rPr>
          <w:rFonts w:ascii="Times New Roman" w:cs="Times New Roman" w:eastAsia="Times New Roman" w:hAnsi="Times New Roman"/>
          <w:sz w:val="15"/>
          <w:szCs w:val="15"/>
          <w:color w:val="auto"/>
        </w:rPr>
        <w:t xml:space="preserve"> of this Subscription Agreement shall be effective service of process for any action, suit or proceeding in a Designated Court with respect to any matters to which the parties have submitted to jurisdiction as set forth above. For the avoidance of doubt, in accordance with </w:t>
      </w:r>
      <w:r>
        <w:rPr>
          <w:rFonts w:ascii="Times New Roman" w:cs="Times New Roman" w:eastAsia="Times New Roman" w:hAnsi="Times New Roman"/>
          <w:sz w:val="15"/>
          <w:szCs w:val="15"/>
          <w:u w:val="single" w:color="auto"/>
          <w:color w:val="auto"/>
        </w:rPr>
        <w:t>Section 6</w:t>
      </w:r>
      <w:r>
        <w:rPr>
          <w:rFonts w:ascii="Times New Roman" w:cs="Times New Roman" w:eastAsia="Times New Roman" w:hAnsi="Times New Roman"/>
          <w:sz w:val="15"/>
          <w:szCs w:val="15"/>
          <w:color w:val="auto"/>
        </w:rPr>
        <w:t>, all rights and obligations of the parties hereunder shall terminate without any further liability on the part of any party in respect thereof by September 30, 2022 (if this Subscription Agreement has not been terminated earlier, in which case all rights and obligations of the parties hereunder shall terminate without any further liability on the part of any party in respect thereof on such termination date).</w:t>
      </w:r>
    </w:p>
    <w:p>
      <w:pPr>
        <w:spacing w:after="0" w:line="157" w:lineRule="exact"/>
        <w:rPr>
          <w:sz w:val="20"/>
          <w:szCs w:val="20"/>
          <w:color w:val="auto"/>
        </w:rPr>
      </w:pPr>
    </w:p>
    <w:p>
      <w:pPr>
        <w:jc w:val="both"/>
        <w:ind w:right="20" w:firstLine="765"/>
        <w:spacing w:after="0" w:line="253" w:lineRule="auto"/>
        <w:rPr>
          <w:sz w:val="20"/>
          <w:szCs w:val="20"/>
          <w:color w:val="auto"/>
        </w:rPr>
      </w:pPr>
      <w:r>
        <w:rPr>
          <w:rFonts w:ascii="Times New Roman" w:cs="Times New Roman" w:eastAsia="Times New Roman" w:hAnsi="Times New Roman"/>
          <w:sz w:val="16"/>
          <w:szCs w:val="16"/>
          <w:color w:val="auto"/>
        </w:rPr>
        <w:t xml:space="preserve">r. This Subscription Agreement may only be enforced against, and any claim, action, suit or other legal proceeding based upon, arising out of, or related to this Subscription Agreement, or the negotiation, execution or performance of this Subscription Agreement, may only be brought against the entities that are expressly named as parties hereto and then only with respect to the specific obligations set forth herein with respect to such party. No past, present or future director, officer, employee, incorporator, manager, member, partner, stockholder, affiliate, agent, attorney or other representative of any party hereto or of any affiliate of any party hereto, or any of their successors or permitted assigns, shall have any liability for any obligations or liabilities of any party hereto under this Subscription Agreement or for any claim, action, suit or other legal proceeding based on, in respect of or by reason of the transactions contemplated hereby. For the avoidance of doubt, in accordance with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all rights and obligations of the parties hereunder shall terminate without any further liability on the part of any party in respect thereof by September 30, 2022 (if this Subscription Agreement has not been terminated earlier, in which case all rights and obligations of the parties hereunder shall terminate without any further liability on the part of any party in respect thereof on such termination date).</w:t>
      </w:r>
    </w:p>
    <w:p>
      <w:pPr>
        <w:spacing w:after="0" w:line="170" w:lineRule="exact"/>
        <w:rPr>
          <w:sz w:val="20"/>
          <w:szCs w:val="20"/>
          <w:color w:val="auto"/>
        </w:rPr>
      </w:pPr>
    </w:p>
    <w:p>
      <w:pPr>
        <w:jc w:val="both"/>
        <w:ind w:firstLine="765"/>
        <w:spacing w:after="0"/>
        <w:rPr>
          <w:sz w:val="20"/>
          <w:szCs w:val="20"/>
          <w:color w:val="auto"/>
        </w:rPr>
      </w:pPr>
      <w:r>
        <w:rPr>
          <w:rFonts w:ascii="Times New Roman" w:cs="Times New Roman" w:eastAsia="Times New Roman" w:hAnsi="Times New Roman"/>
          <w:sz w:val="16"/>
          <w:szCs w:val="16"/>
          <w:color w:val="auto"/>
        </w:rPr>
        <w:t>s. The Company shall, by 9:00 a.m., New York City time, on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6"/>
          <w:szCs w:val="16"/>
          <w:color w:val="auto"/>
        </w:rPr>
        <w:t>) business day immediately following the Amendment Date, issue one or more press releases or file with the Commission a Current Report on Form 8-K (collectively, the “</w:t>
      </w:r>
      <w:r>
        <w:rPr>
          <w:rFonts w:ascii="Times New Roman" w:cs="Times New Roman" w:eastAsia="Times New Roman" w:hAnsi="Times New Roman"/>
          <w:sz w:val="16"/>
          <w:szCs w:val="16"/>
          <w:u w:val="single" w:color="auto"/>
          <w:color w:val="auto"/>
        </w:rPr>
        <w:t>Disclosure Document</w:t>
      </w:r>
      <w:r>
        <w:rPr>
          <w:rFonts w:ascii="Times New Roman" w:cs="Times New Roman" w:eastAsia="Times New Roman" w:hAnsi="Times New Roman"/>
          <w:sz w:val="16"/>
          <w:szCs w:val="16"/>
          <w:color w:val="auto"/>
        </w:rPr>
        <w:t>”) disclosing, to the extent not previously publicly disclosed, all material terms of the transactions contemplated hereby, the Transaction and any other material, nonpublic information that the Company has provided to Subscriber at any time prior to the filing of the Disclosure Document. From and after the issuance of the Disclosure Document, Subscriber shall not be in possession of any material, non-public information received from the Company or any of its officers, directors or employees or the Placement Agent. Notwithstanding the foregoing, the Company shall not publicly disclose the name of Subscriber or any affiliate or investment adviser of Subscriber, or include the name of Subscriber or any affiliate or investment adviser of Subscriber in any press release or in any filing with the Commission or any regulatory agency or trading market, without the prior written consent (including by e-mail) of Subscriber, except as required by the federal securities laws, rules or regulations and to the extent such disclosure is required by other laws, rules or regulations, at the request of the staff of the Commission or regulatory agency or under Nasdaq Stock Market regulations, in which case the Company shall provide Subscriber with prior written notice (including by e-mail) of such permitted disclosure, and shall reasonably consult with Subscriber regarding such disclosure.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32" w:name="page133"/>
    <w:bookmarkEnd w:id="132"/>
    <w:p>
      <w:pPr>
        <w:jc w:val="both"/>
        <w:ind w:firstLine="765"/>
        <w:spacing w:after="0" w:line="251" w:lineRule="auto"/>
        <w:rPr>
          <w:sz w:val="20"/>
          <w:szCs w:val="20"/>
          <w:color w:val="auto"/>
        </w:rPr>
      </w:pPr>
      <w:r>
        <w:rPr>
          <w:rFonts w:ascii="Times New Roman" w:cs="Times New Roman" w:eastAsia="Times New Roman" w:hAnsi="Times New Roman"/>
          <w:sz w:val="16"/>
          <w:szCs w:val="16"/>
          <w:color w:val="auto"/>
        </w:rPr>
        <w:t>t. The obligations of Subscriber under this Subscription Agreement are several and not joint with the obligations of any Other Subscriber or any other investor under the Other Subscription Agreements, and Subscriber shall not be responsible in any way for the performance of the obligations of any Other Subscriber under this Subscription Agreement or any other investor under the Other Subscription Agreements. The decision of Subscriber to purchase Subscribed Securities pursuant to this Subscription Agreement has been made by Subscriber independently of any Other Subscriber or any other investor and independently of any information, materials, statements or opinions as to the business, affairs, operations, assets, properties, liabilities, results of operations, condition (financial or otherwise) or prospects of the Company or any of its subsidiaries which may have been made or given by any Other Subscriber or investor or by any agent or employee of any Other Subscriber or investor, and neither Subscriber nor any of its agents or employees shall have any liability to any Other Subscriber or investor (or any other person) relating to or arising from any such information, materials, statements or opinions. Nothing contained herein or in any Other Subscription Agreement, and no action taken by Subscriber or investor pursuant hereto or thereto, shall be deemed to constitute Subscriber and other investors as a partnership, an association, a joint venture or any other kind of entity, or create a presumption that Subscriber and other investors are in any way acting in concert or as a group with respect to such obligations or the transactions contemplated by this Subscription Agreement and the Other Subscription Agreements. Subscriber acknowledges that no Other Subscriber has acted as agent for Subscriber in connection with making its investment hereunder and no Other Subscriber will be acting as agent of Subscriber in connection with monitoring its investment in the Subscribed Securities or enforcing its rights under this Subscription Agreement. Subscriber shall be entitled to independently protect and enforce its rights, including without limitation the rights arising out of this Subscription Agreement, and it shall not be necessary for any Other Subscriber or investor to be joined as an additional party in any proceeding for such purpose.</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u. Following the Closing Date, Company shall hold regular quarterly conference calls to discuss the Company’s financial results during the previous quarter.</w:t>
      </w:r>
    </w:p>
    <w:p>
      <w:pPr>
        <w:spacing w:after="0" w:line="198" w:lineRule="exact"/>
        <w:rPr>
          <w:sz w:val="20"/>
          <w:szCs w:val="20"/>
          <w:color w:val="auto"/>
        </w:rPr>
      </w:pPr>
    </w:p>
    <w:p>
      <w:pPr>
        <w:jc w:val="both"/>
        <w:ind w:firstLine="765"/>
        <w:spacing w:after="0" w:line="268" w:lineRule="auto"/>
        <w:rPr>
          <w:sz w:val="20"/>
          <w:szCs w:val="20"/>
          <w:color w:val="auto"/>
        </w:rPr>
      </w:pPr>
      <w:r>
        <w:rPr>
          <w:rFonts w:ascii="Times New Roman" w:cs="Times New Roman" w:eastAsia="Times New Roman" w:hAnsi="Times New Roman"/>
          <w:sz w:val="15"/>
          <w:szCs w:val="15"/>
          <w:color w:val="auto"/>
        </w:rPr>
        <w:t>v. Following the Closing Date, for so long as Subscriber holds no less than 50.0% of the Subscribed Notes (or shares issued in conversion thereof) purchased on the Closing Date, Subscriber shall be entitled to designate one natural person from time to time to serve as an observer of the board of directors of the Company (the “</w:t>
      </w:r>
      <w:r>
        <w:rPr>
          <w:rFonts w:ascii="Times New Roman" w:cs="Times New Roman" w:eastAsia="Times New Roman" w:hAnsi="Times New Roman"/>
          <w:sz w:val="15"/>
          <w:szCs w:val="15"/>
          <w:u w:val="single" w:color="auto"/>
          <w:color w:val="auto"/>
        </w:rPr>
        <w:t>Board</w:t>
      </w:r>
      <w:r>
        <w:rPr>
          <w:rFonts w:ascii="Times New Roman" w:cs="Times New Roman" w:eastAsia="Times New Roman" w:hAnsi="Times New Roman"/>
          <w:sz w:val="15"/>
          <w:szCs w:val="15"/>
          <w:color w:val="auto"/>
        </w:rPr>
        <w:t>”) (a “</w:t>
      </w:r>
      <w:r>
        <w:rPr>
          <w:rFonts w:ascii="Times New Roman" w:cs="Times New Roman" w:eastAsia="Times New Roman" w:hAnsi="Times New Roman"/>
          <w:sz w:val="15"/>
          <w:szCs w:val="15"/>
          <w:u w:val="single" w:color="auto"/>
          <w:color w:val="auto"/>
        </w:rPr>
        <w:t>Board Observer</w:t>
      </w:r>
      <w:r>
        <w:rPr>
          <w:rFonts w:ascii="Times New Roman" w:cs="Times New Roman" w:eastAsia="Times New Roman" w:hAnsi="Times New Roman"/>
          <w:sz w:val="15"/>
          <w:szCs w:val="15"/>
          <w:color w:val="auto"/>
        </w:rPr>
        <w:t>”). Each of the Company and Subscriber shall take commercially reasonable efforts to negotiate in good faith a customary non-disclosure agreement between the Company and Subscriber in a customary form provided by the Company and to be agreed between the parties including a “cleansing protocol” (the “</w:t>
      </w:r>
      <w:r>
        <w:rPr>
          <w:rFonts w:ascii="Times New Roman" w:cs="Times New Roman" w:eastAsia="Times New Roman" w:hAnsi="Times New Roman"/>
          <w:sz w:val="15"/>
          <w:szCs w:val="15"/>
          <w:u w:val="single" w:color="auto"/>
          <w:color w:val="auto"/>
        </w:rPr>
        <w:t>Confidentiality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Agreement</w:t>
      </w:r>
      <w:r>
        <w:rPr>
          <w:rFonts w:ascii="Times New Roman" w:cs="Times New Roman" w:eastAsia="Times New Roman" w:hAnsi="Times New Roman"/>
          <w:sz w:val="15"/>
          <w:szCs w:val="15"/>
          <w:color w:val="auto"/>
        </w:rPr>
        <w:t xml:space="preserve">”). Subject to entry into the Confidentiality Agreement, the Board Observer may attend and participate in any meeting of the Board or any committee thereof as a non-voting observer (for the avoidance of doubt, the Board Observer shall not be obligated to attend and participate in meetings of the Board or any committee thereof). The Board Observer shall not (i) be deemed to be a member of the Board, (ii) have the right to vote on any matter presented to the Board or committee thereof, (iii) be considered or required for purposes of establishing quorum, and (iv) have the right to propose or offer any motions or resolutions to the Board. The Board Observer shall, subject to execution of the Confidentiality Agreement, have the right to (i) receive the same materials distributed to the Board and any committee thereof, (ii) receive notice of all meetings of the Board and any committee thereof and (iii) otherwise fully participate in meetings and discussions of the Board and any committee thereof (whether in person or by telephone), except for the right to vote;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xml:space="preserve">, the Board Observer shall adhere and be subject to, and act consistently with, the policies of the Board. Notwithstanding the foregoing, Subscriber agrees that the Board Observer may be excluded from access to any material or meeting or portion thereof if the Board or committee of the Board determines in good faith that (A) such exclusion is reasonably necessary to preserve the attorney-client privilege between the Company or its subsidiaries and counsel, or any privilege under any common interest or joint defense doctrine, (B) such materials or discussion relates to items in which Subscriber or its Affiliates have a conflict of interest or otherwise relate to any potential transactions (including but not limited to transactions relating to the convertible notes or common stock issuable upon conversion) between or among the Company or its Affiliates and such persons, or (C) such exclusion is necessary to avoid disclosure that is restricted by any agreement to which the Company or its Affiliates is a party or otherwise bound and (iii) nothing herein shall prevent the Board or any committee of the Board from taking any action by written consent;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the Company shall provide notice to the Board Observer of (a) any meeting of the Board or any committee thereof from which the Board Observer was excluded and (b) any action taken by written consent of the Board or any committee of the Board within 24 hours after such meet has been held or such action has been taken. At any time and from time to time, Subscriber may revoke such Board Observer designation, for any period of time, by providing notice to the Company.</w:t>
      </w:r>
    </w:p>
    <w:p>
      <w:pPr>
        <w:spacing w:after="0" w:line="355" w:lineRule="exact"/>
        <w:rPr>
          <w:sz w:val="20"/>
          <w:szCs w:val="20"/>
          <w:color w:val="auto"/>
        </w:rPr>
      </w:pPr>
    </w:p>
    <w:p>
      <w:pPr>
        <w:jc w:val="both"/>
        <w:ind w:right="20" w:firstLine="765"/>
        <w:spacing w:after="0" w:line="265" w:lineRule="auto"/>
        <w:rPr>
          <w:sz w:val="20"/>
          <w:szCs w:val="20"/>
          <w:color w:val="auto"/>
        </w:rPr>
      </w:pPr>
      <w:r>
        <w:rPr>
          <w:rFonts w:ascii="Times New Roman" w:cs="Times New Roman" w:eastAsia="Times New Roman" w:hAnsi="Times New Roman"/>
          <w:sz w:val="16"/>
          <w:szCs w:val="16"/>
          <w:color w:val="auto"/>
        </w:rPr>
        <w:t>w. This Subscription Agreement amends and restates the Original Subscription Agreement in its entirety. All amendments to the Original Subscription Agreement effected by this Subscription Agreement, and all other covenants, agreements, terms and provisions of this Subscription Agreement, shall have effect as of the date hereof unless expressly stated otherwise.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pages follow.]</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33" w:name="page134"/>
    <w:bookmarkEnd w:id="133"/>
    <w:p>
      <w:pPr>
        <w:ind w:firstLine="382"/>
        <w:spacing w:after="0" w:line="283" w:lineRule="auto"/>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each of the Company, Subscriber and Presto has executed or caused this Subscription Agreement to be executed by its duly authorized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representative as of the date first set forth above.</w:t>
      </w:r>
    </w:p>
    <w:p>
      <w:pPr>
        <w:spacing w:after="0" w:line="14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VENTOUX CCM ACQUISITION CORP.</w:t>
      </w:r>
    </w:p>
    <w:p>
      <w:pPr>
        <w:spacing w:after="0" w:line="198"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6"/>
          <w:szCs w:val="16"/>
          <w:color w:val="auto"/>
        </w:rPr>
        <w:t>By:</w:t>
        <w:tab/>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15240</wp:posOffset>
            </wp:positionV>
            <wp:extent cx="2572385" cy="152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6"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Name:</w:t>
        <w:tab/>
        <w:t>Edward Scheetz</w:t>
      </w:r>
    </w:p>
    <w:p>
      <w:pPr>
        <w:spacing w:after="0" w:line="19"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Title:</w:t>
        <w:tab/>
        <w:t>Chairman and Chief Executive Officer</w:t>
      </w:r>
    </w:p>
    <w:p>
      <w:pPr>
        <w:spacing w:after="0" w:line="18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Address for Notices:</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1 East Putnam Avenue, Floor 4</w:t>
      </w:r>
    </w:p>
    <w:p>
      <w:pPr>
        <w:spacing w:after="0" w:line="2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Greenwich, CT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Ventoux CCM Acquisition Corp Subscription Agreement]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08"/>
        </w:trPr>
        <w:tc>
          <w:tcPr>
            <w:tcW w:w="10540" w:type="dxa"/>
            <w:vAlign w:val="bottom"/>
            <w:gridSpan w:val="4"/>
          </w:tcPr>
          <w:p>
            <w:pPr>
              <w:ind w:left="6760"/>
              <w:spacing w:after="0"/>
              <w:rPr>
                <w:sz w:val="20"/>
                <w:szCs w:val="20"/>
                <w:color w:val="auto"/>
              </w:rPr>
            </w:pPr>
            <w:r>
              <w:rPr>
                <w:rFonts w:ascii="Times New Roman" w:cs="Times New Roman" w:eastAsia="Times New Roman" w:hAnsi="Times New Roman"/>
                <w:sz w:val="16"/>
                <w:szCs w:val="16"/>
                <w:color w:val="auto"/>
              </w:rPr>
              <w:t>SUBSCRIBER:</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82"/>
        </w:trPr>
        <w:tc>
          <w:tcPr>
            <w:tcW w:w="10540" w:type="dxa"/>
            <w:vAlign w:val="bottom"/>
            <w:gridSpan w:val="4"/>
          </w:tcPr>
          <w:p>
            <w:pPr>
              <w:ind w:left="6760"/>
              <w:spacing w:after="0"/>
              <w:rPr>
                <w:sz w:val="20"/>
                <w:szCs w:val="20"/>
                <w:color w:val="auto"/>
              </w:rPr>
            </w:pPr>
            <w:r>
              <w:rPr>
                <w:rFonts w:ascii="Times New Roman" w:cs="Times New Roman" w:eastAsia="Times New Roman" w:hAnsi="Times New Roman"/>
                <w:sz w:val="16"/>
                <w:szCs w:val="16"/>
                <w:b w:val="1"/>
                <w:bCs w:val="1"/>
                <w:color w:val="auto"/>
              </w:rPr>
              <w:t>Lake Vineyard Fund LP</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2"/>
        </w:trPr>
        <w:tc>
          <w:tcPr>
            <w:tcW w:w="10540" w:type="dxa"/>
            <w:vAlign w:val="bottom"/>
            <w:gridSpan w:val="4"/>
          </w:tcPr>
          <w:p>
            <w:pPr>
              <w:ind w:left="6760"/>
              <w:spacing w:after="0"/>
              <w:rPr>
                <w:sz w:val="20"/>
                <w:szCs w:val="20"/>
                <w:color w:val="auto"/>
              </w:rPr>
            </w:pPr>
            <w:r>
              <w:rPr>
                <w:rFonts w:ascii="Times New Roman" w:cs="Times New Roman" w:eastAsia="Times New Roman" w:hAnsi="Times New Roman"/>
                <w:sz w:val="16"/>
                <w:szCs w:val="16"/>
                <w:color w:val="auto"/>
              </w:rPr>
              <w:t>By: Silver Rock Capital Partners LP, its trading adviser</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6"/>
        </w:trPr>
        <w:tc>
          <w:tcPr>
            <w:tcW w:w="7320" w:type="dxa"/>
            <w:vAlign w:val="bottom"/>
            <w:gridSpan w:val="2"/>
          </w:tcPr>
          <w:p>
            <w:pPr>
              <w:ind w:left="6760"/>
              <w:spacing w:after="0"/>
              <w:rPr>
                <w:sz w:val="20"/>
                <w:szCs w:val="20"/>
                <w:color w:val="auto"/>
              </w:rPr>
            </w:pPr>
            <w:r>
              <w:rPr>
                <w:rFonts w:ascii="Times New Roman" w:cs="Times New Roman" w:eastAsia="Times New Roman" w:hAnsi="Times New Roman"/>
                <w:sz w:val="16"/>
                <w:szCs w:val="16"/>
                <w:color w:val="auto"/>
              </w:rPr>
              <w:t>By:</w:t>
            </w:r>
          </w:p>
        </w:tc>
        <w:tc>
          <w:tcPr>
            <w:tcW w:w="3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/s/ Patrick Hunnius</w:t>
            </w: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175"/>
        </w:trPr>
        <w:tc>
          <w:tcPr>
            <w:tcW w:w="7320" w:type="dxa"/>
            <w:vAlign w:val="bottom"/>
            <w:gridSpan w:val="2"/>
          </w:tcPr>
          <w:p>
            <w:pPr>
              <w:ind w:left="6760"/>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2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Patrick Hunnius</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8"/>
        </w:trPr>
        <w:tc>
          <w:tcPr>
            <w:tcW w:w="7320" w:type="dxa"/>
            <w:vAlign w:val="bottom"/>
            <w:gridSpan w:val="2"/>
          </w:tcPr>
          <w:p>
            <w:pPr>
              <w:ind w:left="6760"/>
              <w:spacing w:after="0"/>
              <w:rPr>
                <w:sz w:val="20"/>
                <w:szCs w:val="20"/>
                <w:color w:val="auto"/>
              </w:rPr>
            </w:pPr>
            <w:r>
              <w:rPr>
                <w:rFonts w:ascii="Times New Roman" w:cs="Times New Roman" w:eastAsia="Times New Roman" w:hAnsi="Times New Roman"/>
                <w:sz w:val="16"/>
                <w:szCs w:val="16"/>
                <w:color w:val="auto"/>
              </w:rPr>
              <w:t>Title:</w:t>
            </w:r>
          </w:p>
        </w:tc>
        <w:tc>
          <w:tcPr>
            <w:tcW w:w="3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General Counsel and CCO</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82"/>
        </w:trPr>
        <w:tc>
          <w:tcPr>
            <w:tcW w:w="10540" w:type="dxa"/>
            <w:vAlign w:val="bottom"/>
            <w:gridSpan w:val="4"/>
          </w:tcPr>
          <w:p>
            <w:pPr>
              <w:ind w:left="6760"/>
              <w:spacing w:after="0"/>
              <w:rPr>
                <w:sz w:val="20"/>
                <w:szCs w:val="20"/>
                <w:color w:val="auto"/>
              </w:rPr>
            </w:pPr>
            <w:r>
              <w:rPr>
                <w:rFonts w:ascii="Times New Roman" w:cs="Times New Roman" w:eastAsia="Times New Roman" w:hAnsi="Times New Roman"/>
                <w:sz w:val="16"/>
                <w:szCs w:val="16"/>
                <w:color w:val="auto"/>
              </w:rPr>
              <w:t>Address for Notices:</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6"/>
        </w:trPr>
        <w:tc>
          <w:tcPr>
            <w:tcW w:w="10540" w:type="dxa"/>
            <w:vAlign w:val="bottom"/>
            <w:gridSpan w:val="4"/>
          </w:tcPr>
          <w:p>
            <w:pPr>
              <w:ind w:left="6760"/>
              <w:spacing w:after="0"/>
              <w:rPr>
                <w:sz w:val="20"/>
                <w:szCs w:val="20"/>
                <w:color w:val="auto"/>
              </w:rPr>
            </w:pPr>
            <w:r>
              <w:rPr>
                <w:rFonts w:ascii="Times New Roman" w:cs="Times New Roman" w:eastAsia="Times New Roman" w:hAnsi="Times New Roman"/>
                <w:sz w:val="16"/>
                <w:szCs w:val="16"/>
                <w:color w:val="auto"/>
              </w:rPr>
              <w:t>12100 Wilshire Blvd., Suite 1000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8"/>
        </w:trPr>
        <w:tc>
          <w:tcPr>
            <w:tcW w:w="10540" w:type="dxa"/>
            <w:vAlign w:val="bottom"/>
            <w:gridSpan w:val="4"/>
          </w:tcPr>
          <w:p>
            <w:pPr>
              <w:ind w:left="6760"/>
              <w:spacing w:after="0"/>
              <w:rPr>
                <w:sz w:val="20"/>
                <w:szCs w:val="20"/>
                <w:color w:val="auto"/>
              </w:rPr>
            </w:pPr>
            <w:r>
              <w:rPr>
                <w:rFonts w:ascii="Times New Roman" w:cs="Times New Roman" w:eastAsia="Times New Roman" w:hAnsi="Times New Roman"/>
                <w:sz w:val="16"/>
                <w:szCs w:val="16"/>
                <w:color w:val="auto"/>
              </w:rPr>
              <w:t>Los Angeles, California 90025</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66"/>
        </w:trPr>
        <w:tc>
          <w:tcPr>
            <w:tcW w:w="10540" w:type="dxa"/>
            <w:vAlign w:val="bottom"/>
            <w:gridSpan w:val="4"/>
          </w:tcPr>
          <w:p>
            <w:pPr>
              <w:ind w:left="6760"/>
              <w:spacing w:after="0"/>
              <w:rPr>
                <w:sz w:val="20"/>
                <w:szCs w:val="20"/>
                <w:color w:val="auto"/>
              </w:rPr>
            </w:pPr>
            <w:r>
              <w:rPr>
                <w:rFonts w:ascii="Times New Roman" w:cs="Times New Roman" w:eastAsia="Times New Roman" w:hAnsi="Times New Roman"/>
                <w:sz w:val="16"/>
                <w:szCs w:val="16"/>
                <w:color w:val="auto"/>
              </w:rPr>
              <w:t>Name in which shares are to be registered:</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2"/>
        </w:trPr>
        <w:tc>
          <w:tcPr>
            <w:tcW w:w="7320" w:type="dxa"/>
            <w:vAlign w:val="bottom"/>
            <w:gridSpan w:val="2"/>
          </w:tcPr>
          <w:p>
            <w:pPr>
              <w:ind w:left="6760"/>
              <w:spacing w:after="0"/>
              <w:rPr>
                <w:sz w:val="20"/>
                <w:szCs w:val="20"/>
                <w:color w:val="auto"/>
              </w:rPr>
            </w:pPr>
            <w:r>
              <w:rPr>
                <w:rFonts w:ascii="Times New Roman" w:cs="Times New Roman" w:eastAsia="Times New Roman" w:hAnsi="Times New Roman"/>
                <w:sz w:val="16"/>
                <w:szCs w:val="16"/>
                <w:color w:val="auto"/>
              </w:rPr>
              <w:t>[***]</w:t>
            </w:r>
          </w:p>
        </w:tc>
        <w:tc>
          <w:tcPr>
            <w:tcW w:w="2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1"/>
        </w:trPr>
        <w:tc>
          <w:tcPr>
            <w:tcW w:w="676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7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r>
      <w:tr>
        <w:trPr>
          <w:trHeight w:val="22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Aggregate Principal Amount of Subscribed Notes subscribed for:</w:t>
            </w:r>
          </w:p>
        </w:tc>
        <w:tc>
          <w:tcPr>
            <w:tcW w:w="3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r>
      <w:tr>
        <w:trPr>
          <w:trHeight w:val="179"/>
        </w:trPr>
        <w:tc>
          <w:tcPr>
            <w:tcW w:w="7320" w:type="dxa"/>
            <w:vAlign w:val="bottom"/>
            <w:tcBorders>
              <w:top w:val="single" w:sz="8" w:color="CCEEFF"/>
              <w:bottom w:val="single" w:sz="8" w:color="CCEEFF"/>
            </w:tcBorders>
            <w:gridSpan w:val="2"/>
          </w:tcPr>
          <w:p>
            <w:pPr>
              <w:spacing w:after="0" w:line="175" w:lineRule="exact"/>
              <w:rPr>
                <w:sz w:val="20"/>
                <w:szCs w:val="20"/>
                <w:color w:val="auto"/>
              </w:rPr>
            </w:pPr>
            <w:r>
              <w:rPr>
                <w:rFonts w:ascii="Times New Roman" w:cs="Times New Roman" w:eastAsia="Times New Roman" w:hAnsi="Times New Roman"/>
                <w:sz w:val="16"/>
                <w:szCs w:val="16"/>
                <w:color w:val="auto"/>
              </w:rPr>
              <w:t>Aggregate Number of Subscribed Warrants subscribed for:</w:t>
            </w:r>
          </w:p>
        </w:tc>
        <w:tc>
          <w:tcPr>
            <w:tcW w:w="2700" w:type="dxa"/>
            <w:vAlign w:val="bottom"/>
            <w:tcBorders>
              <w:top w:val="single" w:sz="8" w:color="CCEEFF"/>
              <w:bottom w:val="single" w:sz="8" w:color="CCEEFF"/>
            </w:tcBorders>
          </w:tcPr>
          <w:p>
            <w:pPr>
              <w:spacing w:after="0"/>
              <w:rPr>
                <w:sz w:val="15"/>
                <w:szCs w:val="15"/>
                <w:color w:val="auto"/>
              </w:rPr>
            </w:pPr>
          </w:p>
        </w:tc>
        <w:tc>
          <w:tcPr>
            <w:tcW w:w="52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tcPr>
          <w:p>
            <w:pPr>
              <w:spacing w:after="0"/>
              <w:rPr>
                <w:sz w:val="15"/>
                <w:szCs w:val="15"/>
                <w:color w:val="auto"/>
              </w:rPr>
            </w:pPr>
          </w:p>
        </w:tc>
      </w:tr>
      <w:tr>
        <w:trPr>
          <w:trHeight w:val="195"/>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Aggregate Purchase Price:</w:t>
            </w:r>
          </w:p>
        </w:tc>
        <w:tc>
          <w:tcPr>
            <w:tcW w:w="27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6"/>
                <w:szCs w:val="16"/>
                <w:color w:val="auto"/>
              </w:rPr>
            </w:pPr>
          </w:p>
        </w:tc>
      </w:tr>
    </w:tbl>
    <w:p>
      <w:pPr>
        <w:spacing w:after="0" w:line="175"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You must pay the Purchase Price by wire transfer of United States dollars in immediately available funds to the account of the Company specified by the Company in the Closing Notice.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Ventoux CCM Acquisition Corp Subscription Agreement]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08"/>
        </w:trPr>
        <w:tc>
          <w:tcPr>
            <w:tcW w:w="10660" w:type="dxa"/>
            <w:vAlign w:val="bottom"/>
            <w:gridSpan w:val="4"/>
          </w:tcPr>
          <w:p>
            <w:pPr>
              <w:ind w:left="6760"/>
              <w:spacing w:after="0"/>
              <w:rPr>
                <w:sz w:val="20"/>
                <w:szCs w:val="20"/>
                <w:color w:val="auto"/>
              </w:rPr>
            </w:pPr>
            <w:r>
              <w:rPr>
                <w:rFonts w:ascii="Times New Roman" w:cs="Times New Roman" w:eastAsia="Times New Roman" w:hAnsi="Times New Roman"/>
                <w:sz w:val="16"/>
                <w:szCs w:val="16"/>
                <w:color w:val="auto"/>
              </w:rPr>
              <w:t>SUBSCRIBER:</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82"/>
        </w:trPr>
        <w:tc>
          <w:tcPr>
            <w:tcW w:w="10660" w:type="dxa"/>
            <w:vAlign w:val="bottom"/>
            <w:gridSpan w:val="4"/>
          </w:tcPr>
          <w:p>
            <w:pPr>
              <w:ind w:left="6760"/>
              <w:spacing w:after="0"/>
              <w:rPr>
                <w:sz w:val="20"/>
                <w:szCs w:val="20"/>
                <w:color w:val="auto"/>
              </w:rPr>
            </w:pPr>
            <w:r>
              <w:rPr>
                <w:rFonts w:ascii="Times New Roman" w:cs="Times New Roman" w:eastAsia="Times New Roman" w:hAnsi="Times New Roman"/>
                <w:sz w:val="16"/>
                <w:szCs w:val="16"/>
                <w:b w:val="1"/>
                <w:bCs w:val="1"/>
                <w:color w:val="auto"/>
              </w:rPr>
              <w:t>Silver Rock Empire Fund LP — Series 2022</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2"/>
        </w:trPr>
        <w:tc>
          <w:tcPr>
            <w:tcW w:w="10660" w:type="dxa"/>
            <w:vAlign w:val="bottom"/>
            <w:gridSpan w:val="4"/>
          </w:tcPr>
          <w:p>
            <w:pPr>
              <w:ind w:left="6760"/>
              <w:spacing w:after="0"/>
              <w:rPr>
                <w:sz w:val="20"/>
                <w:szCs w:val="20"/>
                <w:color w:val="auto"/>
              </w:rPr>
            </w:pPr>
            <w:r>
              <w:rPr>
                <w:rFonts w:ascii="Times New Roman" w:cs="Times New Roman" w:eastAsia="Times New Roman" w:hAnsi="Times New Roman"/>
                <w:sz w:val="16"/>
                <w:szCs w:val="16"/>
                <w:color w:val="auto"/>
              </w:rPr>
              <w:t>By: Silver Rock Capital Partners LP, its investment adviser</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6"/>
        </w:trPr>
        <w:tc>
          <w:tcPr>
            <w:tcW w:w="7320" w:type="dxa"/>
            <w:vAlign w:val="bottom"/>
            <w:gridSpan w:val="2"/>
          </w:tcPr>
          <w:p>
            <w:pPr>
              <w:ind w:left="6760"/>
              <w:spacing w:after="0"/>
              <w:rPr>
                <w:sz w:val="20"/>
                <w:szCs w:val="20"/>
                <w:color w:val="auto"/>
              </w:rPr>
            </w:pPr>
            <w:r>
              <w:rPr>
                <w:rFonts w:ascii="Times New Roman" w:cs="Times New Roman" w:eastAsia="Times New Roman" w:hAnsi="Times New Roman"/>
                <w:sz w:val="16"/>
                <w:szCs w:val="16"/>
                <w:color w:val="auto"/>
              </w:rPr>
              <w:t>By:</w:t>
            </w:r>
          </w:p>
        </w:tc>
        <w:tc>
          <w:tcPr>
            <w:tcW w:w="3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/s/ Patrick Hunnius</w:t>
            </w: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175"/>
        </w:trPr>
        <w:tc>
          <w:tcPr>
            <w:tcW w:w="7320" w:type="dxa"/>
            <w:vAlign w:val="bottom"/>
            <w:gridSpan w:val="2"/>
          </w:tcPr>
          <w:p>
            <w:pPr>
              <w:ind w:left="6760"/>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34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Patrick Hunnius</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8"/>
        </w:trPr>
        <w:tc>
          <w:tcPr>
            <w:tcW w:w="7320" w:type="dxa"/>
            <w:vAlign w:val="bottom"/>
            <w:gridSpan w:val="2"/>
          </w:tcPr>
          <w:p>
            <w:pPr>
              <w:ind w:left="6760"/>
              <w:spacing w:after="0"/>
              <w:rPr>
                <w:sz w:val="20"/>
                <w:szCs w:val="20"/>
                <w:color w:val="auto"/>
              </w:rPr>
            </w:pPr>
            <w:r>
              <w:rPr>
                <w:rFonts w:ascii="Times New Roman" w:cs="Times New Roman" w:eastAsia="Times New Roman" w:hAnsi="Times New Roman"/>
                <w:sz w:val="16"/>
                <w:szCs w:val="16"/>
                <w:color w:val="auto"/>
              </w:rPr>
              <w:t>Title:</w:t>
            </w:r>
          </w:p>
        </w:tc>
        <w:tc>
          <w:tcPr>
            <w:tcW w:w="3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General Counsel and CCO</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82"/>
        </w:trPr>
        <w:tc>
          <w:tcPr>
            <w:tcW w:w="10660" w:type="dxa"/>
            <w:vAlign w:val="bottom"/>
            <w:gridSpan w:val="4"/>
          </w:tcPr>
          <w:p>
            <w:pPr>
              <w:ind w:left="6760"/>
              <w:spacing w:after="0"/>
              <w:rPr>
                <w:sz w:val="20"/>
                <w:szCs w:val="20"/>
                <w:color w:val="auto"/>
              </w:rPr>
            </w:pPr>
            <w:r>
              <w:rPr>
                <w:rFonts w:ascii="Times New Roman" w:cs="Times New Roman" w:eastAsia="Times New Roman" w:hAnsi="Times New Roman"/>
                <w:sz w:val="16"/>
                <w:szCs w:val="16"/>
                <w:color w:val="auto"/>
              </w:rPr>
              <w:t>Address for Notices:</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6"/>
        </w:trPr>
        <w:tc>
          <w:tcPr>
            <w:tcW w:w="10660" w:type="dxa"/>
            <w:vAlign w:val="bottom"/>
            <w:gridSpan w:val="4"/>
          </w:tcPr>
          <w:p>
            <w:pPr>
              <w:ind w:left="6760"/>
              <w:spacing w:after="0"/>
              <w:rPr>
                <w:sz w:val="20"/>
                <w:szCs w:val="20"/>
                <w:color w:val="auto"/>
              </w:rPr>
            </w:pPr>
            <w:r>
              <w:rPr>
                <w:rFonts w:ascii="Times New Roman" w:cs="Times New Roman" w:eastAsia="Times New Roman" w:hAnsi="Times New Roman"/>
                <w:sz w:val="16"/>
                <w:szCs w:val="16"/>
                <w:color w:val="auto"/>
              </w:rPr>
              <w:t>12100 Wilshire Blvd., Suite 1000</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8"/>
        </w:trPr>
        <w:tc>
          <w:tcPr>
            <w:tcW w:w="10660" w:type="dxa"/>
            <w:vAlign w:val="bottom"/>
            <w:gridSpan w:val="4"/>
          </w:tcPr>
          <w:p>
            <w:pPr>
              <w:ind w:left="6760"/>
              <w:spacing w:after="0"/>
              <w:rPr>
                <w:sz w:val="20"/>
                <w:szCs w:val="20"/>
                <w:color w:val="auto"/>
              </w:rPr>
            </w:pPr>
            <w:r>
              <w:rPr>
                <w:rFonts w:ascii="Times New Roman" w:cs="Times New Roman" w:eastAsia="Times New Roman" w:hAnsi="Times New Roman"/>
                <w:sz w:val="16"/>
                <w:szCs w:val="16"/>
                <w:color w:val="auto"/>
              </w:rPr>
              <w:t>Los Angeles, California 90025</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66"/>
        </w:trPr>
        <w:tc>
          <w:tcPr>
            <w:tcW w:w="10660" w:type="dxa"/>
            <w:vAlign w:val="bottom"/>
            <w:gridSpan w:val="4"/>
          </w:tcPr>
          <w:p>
            <w:pPr>
              <w:ind w:left="6760"/>
              <w:spacing w:after="0"/>
              <w:rPr>
                <w:sz w:val="20"/>
                <w:szCs w:val="20"/>
                <w:color w:val="auto"/>
              </w:rPr>
            </w:pPr>
            <w:r>
              <w:rPr>
                <w:rFonts w:ascii="Times New Roman" w:cs="Times New Roman" w:eastAsia="Times New Roman" w:hAnsi="Times New Roman"/>
                <w:sz w:val="16"/>
                <w:szCs w:val="16"/>
                <w:color w:val="auto"/>
              </w:rPr>
              <w:t>Name in which shares are to be registered:</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2"/>
        </w:trPr>
        <w:tc>
          <w:tcPr>
            <w:tcW w:w="7320" w:type="dxa"/>
            <w:vAlign w:val="bottom"/>
            <w:gridSpan w:val="2"/>
          </w:tcPr>
          <w:p>
            <w:pPr>
              <w:ind w:left="6760"/>
              <w:spacing w:after="0"/>
              <w:rPr>
                <w:sz w:val="20"/>
                <w:szCs w:val="20"/>
                <w:color w:val="auto"/>
              </w:rPr>
            </w:pPr>
            <w:r>
              <w:rPr>
                <w:rFonts w:ascii="Times New Roman" w:cs="Times New Roman" w:eastAsia="Times New Roman" w:hAnsi="Times New Roman"/>
                <w:sz w:val="16"/>
                <w:szCs w:val="16"/>
                <w:color w:val="auto"/>
              </w:rPr>
              <w:t>[***]</w:t>
            </w:r>
          </w:p>
        </w:tc>
        <w:tc>
          <w:tcPr>
            <w:tcW w:w="2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1"/>
        </w:trPr>
        <w:tc>
          <w:tcPr>
            <w:tcW w:w="676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7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r>
      <w:tr>
        <w:trPr>
          <w:trHeight w:val="22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Aggregate Principal Amount of Subscribed Notes subscribed for:</w:t>
            </w:r>
          </w:p>
        </w:tc>
        <w:tc>
          <w:tcPr>
            <w:tcW w:w="3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r>
      <w:tr>
        <w:trPr>
          <w:trHeight w:val="179"/>
        </w:trPr>
        <w:tc>
          <w:tcPr>
            <w:tcW w:w="7320" w:type="dxa"/>
            <w:vAlign w:val="bottom"/>
            <w:tcBorders>
              <w:top w:val="single" w:sz="8" w:color="CCEEFF"/>
              <w:bottom w:val="single" w:sz="8" w:color="CCEEFF"/>
            </w:tcBorders>
            <w:gridSpan w:val="2"/>
          </w:tcPr>
          <w:p>
            <w:pPr>
              <w:spacing w:after="0" w:line="175" w:lineRule="exact"/>
              <w:rPr>
                <w:sz w:val="20"/>
                <w:szCs w:val="20"/>
                <w:color w:val="auto"/>
              </w:rPr>
            </w:pPr>
            <w:r>
              <w:rPr>
                <w:rFonts w:ascii="Times New Roman" w:cs="Times New Roman" w:eastAsia="Times New Roman" w:hAnsi="Times New Roman"/>
                <w:sz w:val="16"/>
                <w:szCs w:val="16"/>
                <w:color w:val="auto"/>
              </w:rPr>
              <w:t>Aggregate Number of Subscribed Warrants subscribed for:</w:t>
            </w:r>
          </w:p>
        </w:tc>
        <w:tc>
          <w:tcPr>
            <w:tcW w:w="2700" w:type="dxa"/>
            <w:vAlign w:val="bottom"/>
            <w:tcBorders>
              <w:top w:val="single" w:sz="8" w:color="CCEEFF"/>
              <w:bottom w:val="single" w:sz="8" w:color="CCEEFF"/>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tcPr>
          <w:p>
            <w:pPr>
              <w:spacing w:after="0"/>
              <w:rPr>
                <w:sz w:val="15"/>
                <w:szCs w:val="15"/>
                <w:color w:val="auto"/>
              </w:rPr>
            </w:pPr>
          </w:p>
        </w:tc>
      </w:tr>
      <w:tr>
        <w:trPr>
          <w:trHeight w:val="195"/>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Aggregate Purchase Price:</w:t>
            </w:r>
          </w:p>
        </w:tc>
        <w:tc>
          <w:tcPr>
            <w:tcW w:w="27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6"/>
                <w:szCs w:val="16"/>
                <w:color w:val="auto"/>
              </w:rPr>
            </w:pPr>
          </w:p>
        </w:tc>
      </w:tr>
    </w:tbl>
    <w:p>
      <w:pPr>
        <w:spacing w:after="0" w:line="175"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You must pay the Purchase Price by wire transfer of United States dollars in immediately available funds to the account of the Company specified by the Company in the Closing Notice.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Ventoux CCM Acquisition Corp Subscription Agreement]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36" w:name="page137"/>
    <w:bookmarkEnd w:id="136"/>
    <w:p>
      <w:pPr>
        <w:ind w:left="5640"/>
        <w:spacing w:after="0"/>
        <w:rPr>
          <w:sz w:val="20"/>
          <w:szCs w:val="20"/>
          <w:color w:val="auto"/>
        </w:rPr>
      </w:pPr>
      <w:r>
        <w:rPr>
          <w:rFonts w:ascii="Times New Roman" w:cs="Times New Roman" w:eastAsia="Times New Roman" w:hAnsi="Times New Roman"/>
          <w:sz w:val="16"/>
          <w:szCs w:val="16"/>
          <w:color w:val="auto"/>
        </w:rPr>
        <w:t>PRESTO</w:t>
      </w:r>
    </w:p>
    <w:p>
      <w:pPr>
        <w:spacing w:after="0" w:line="19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E la Carte, Inc.</w:t>
      </w:r>
    </w:p>
    <w:p>
      <w:pPr>
        <w:spacing w:after="0" w:line="200" w:lineRule="exact"/>
        <w:rPr>
          <w:sz w:val="20"/>
          <w:szCs w:val="20"/>
          <w:color w:val="auto"/>
        </w:rPr>
      </w:pPr>
    </w:p>
    <w:tbl>
      <w:tblPr>
        <w:tblLayout w:type="fixed"/>
        <w:tblInd w:w="5640" w:type="dxa"/>
        <w:tblCellMar>
          <w:top w:w="0" w:type="dxa"/>
          <w:left w:w="0" w:type="dxa"/>
          <w:bottom w:w="0" w:type="dxa"/>
          <w:right w:w="0" w:type="dxa"/>
        </w:tblCellMar>
      </w:tblPr>
      <w:tr>
        <w:trPr>
          <w:trHeight w:val="212"/>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Rajat Suri</w:t>
            </w:r>
          </w:p>
        </w:tc>
      </w:tr>
      <w:tr>
        <w:trPr>
          <w:trHeight w:val="175"/>
        </w:trPr>
        <w:tc>
          <w:tcPr>
            <w:tcW w:w="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Rajat Suri</w:t>
            </w:r>
          </w:p>
        </w:tc>
      </w:t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bl>
    <w:p>
      <w:pPr>
        <w:spacing w:after="0" w:line="17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6"/>
          <w:szCs w:val="16"/>
          <w:color w:val="auto"/>
        </w:rPr>
        <w:t>[Signature Page to Ventoux CCM Acquisition Corp Subscription Agreement]</w:t>
      </w:r>
    </w:p>
    <w:p>
      <w:pPr>
        <w:spacing w:after="0" w:line="39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816" w:right="319" w:bottom="1440" w:gutter="0" w:footer="0" w:header="0"/>
        </w:sectPr>
      </w:pPr>
    </w:p>
    <w:bookmarkStart w:id="137" w:name="page138"/>
    <w:bookmarkEnd w:id="137"/>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ANNEX A</w:t>
      </w:r>
    </w:p>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ELIGIBILITY REPRESENTATIONS OF SUBSCRIBER</w:t>
      </w:r>
    </w:p>
    <w:p>
      <w:pPr>
        <w:spacing w:after="0" w:line="2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This Annex A should be completed and signed by Subscriber</w:t>
      </w:r>
    </w:p>
    <w:p>
      <w:pPr>
        <w:spacing w:after="0" w:line="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and constitutes a part of the Subscription Agreement.</w:t>
      </w:r>
    </w:p>
    <w:p>
      <w:pPr>
        <w:spacing w:after="0" w:line="1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 QUALIFIED INSTITUTIONAL BUYER STATUS (Please check the box, if applicable)</w:t>
      </w:r>
    </w:p>
    <w:p>
      <w:pPr>
        <w:spacing w:after="0" w:line="198" w:lineRule="exact"/>
        <w:rPr>
          <w:sz w:val="20"/>
          <w:szCs w:val="20"/>
          <w:color w:val="auto"/>
        </w:rPr>
      </w:pPr>
    </w:p>
    <w:p>
      <w:pPr>
        <w:ind w:left="4" w:right="4780" w:hanging="4"/>
        <w:spacing w:after="0" w:line="481" w:lineRule="auto"/>
        <w:tabs>
          <w:tab w:leader="none" w:pos="291" w:val="left"/>
        </w:tabs>
        <w:numPr>
          <w:ilvl w:val="0"/>
          <w:numId w:val="160"/>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Subscriber is a “qualified institutional buyer” (as defined in Rule 144A under the Securities Act). B. ACCREDITED INVESTOR STATUS (Please check the box)</w:t>
      </w:r>
    </w:p>
    <w:p>
      <w:pPr>
        <w:spacing w:after="0" w:line="27" w:lineRule="exact"/>
        <w:rPr>
          <w:rFonts w:ascii="MS PGothic" w:cs="MS PGothic" w:eastAsia="MS PGothic" w:hAnsi="MS PGothic"/>
          <w:sz w:val="16"/>
          <w:szCs w:val="16"/>
          <w:color w:val="auto"/>
        </w:rPr>
      </w:pPr>
    </w:p>
    <w:p>
      <w:pPr>
        <w:ind w:left="284" w:hanging="284"/>
        <w:spacing w:after="0" w:line="280" w:lineRule="auto"/>
        <w:tabs>
          <w:tab w:leader="none" w:pos="284" w:val="left"/>
        </w:tabs>
        <w:numPr>
          <w:ilvl w:val="0"/>
          <w:numId w:val="160"/>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Subscriber is an “accredited investor” (within the meaning of Rule 501(a) under the Securities Act) and has marked and initialed the appropriate box below indicating the provision under which it qualifies as an “accredited investor.”</w:t>
      </w:r>
    </w:p>
    <w:p>
      <w:pPr>
        <w:spacing w:after="0" w:line="1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C. AFFILIATE STATUS</w:t>
      </w:r>
    </w:p>
    <w:p>
      <w:pPr>
        <w:spacing w:after="0" w:line="24"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(Please check the applicable box)</w:t>
      </w:r>
    </w:p>
    <w:p>
      <w:pPr>
        <w:spacing w:after="0" w:line="182"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SUBSCRIBER:</w:t>
      </w:r>
    </w:p>
    <w:p>
      <w:pPr>
        <w:spacing w:after="0" w:line="198" w:lineRule="exact"/>
        <w:rPr>
          <w:sz w:val="20"/>
          <w:szCs w:val="20"/>
          <w:color w:val="auto"/>
        </w:rPr>
      </w:pPr>
    </w:p>
    <w:p>
      <w:pPr>
        <w:ind w:left="284" w:hanging="284"/>
        <w:spacing w:after="0"/>
        <w:tabs>
          <w:tab w:leader="none" w:pos="284" w:val="left"/>
        </w:tabs>
        <w:numPr>
          <w:ilvl w:val="0"/>
          <w:numId w:val="16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is:</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16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is not:</w:t>
      </w:r>
    </w:p>
    <w:p>
      <w:pPr>
        <w:spacing w:after="0" w:line="198" w:lineRule="exact"/>
        <w:rPr>
          <w:rFonts w:ascii="MS PGothic" w:cs="MS PGothic" w:eastAsia="MS PGothic" w:hAnsi="MS PGothic"/>
          <w:sz w:val="16"/>
          <w:szCs w:val="16"/>
          <w:color w:val="auto"/>
        </w:rPr>
      </w:pPr>
    </w:p>
    <w:p>
      <w:pPr>
        <w:ind w:left="284"/>
        <w:spacing w:after="0"/>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 “affiliate” (as defined in Rule 144 under the Securities Act) of the Company or acting on behalf of an affiliate of the Company.</w:t>
      </w:r>
    </w:p>
    <w:p>
      <w:pPr>
        <w:spacing w:after="0" w:line="198" w:lineRule="exact"/>
        <w:rPr>
          <w:sz w:val="20"/>
          <w:szCs w:val="20"/>
          <w:color w:val="auto"/>
        </w:rPr>
      </w:pPr>
    </w:p>
    <w:p>
      <w:pPr>
        <w:jc w:val="both"/>
        <w:ind w:left="4" w:right="20" w:firstLine="287"/>
        <w:spacing w:after="0" w:line="265" w:lineRule="auto"/>
        <w:rPr>
          <w:sz w:val="20"/>
          <w:szCs w:val="20"/>
          <w:color w:val="auto"/>
        </w:rPr>
      </w:pPr>
      <w:r>
        <w:rPr>
          <w:rFonts w:ascii="Times New Roman" w:cs="Times New Roman" w:eastAsia="Times New Roman" w:hAnsi="Times New Roman"/>
          <w:sz w:val="16"/>
          <w:szCs w:val="16"/>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Subscriber has indicated, by marking and initialing the appropriate box below, the provision(s) below which apply to Subscriber and under which Subscriber accordingly qualifies as an “accredited investor.”</w:t>
      </w:r>
    </w:p>
    <w:p>
      <w:pPr>
        <w:spacing w:after="0" w:line="155" w:lineRule="exact"/>
        <w:rPr>
          <w:sz w:val="20"/>
          <w:szCs w:val="20"/>
          <w:color w:val="auto"/>
        </w:rPr>
      </w:pPr>
    </w:p>
    <w:p>
      <w:pPr>
        <w:ind w:left="284" w:hanging="284"/>
        <w:spacing w:after="0"/>
        <w:tabs>
          <w:tab w:leader="none" w:pos="284" w:val="left"/>
        </w:tabs>
        <w:numPr>
          <w:ilvl w:val="0"/>
          <w:numId w:val="16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bank, registered broker or dealer, insurance company, registered investment company, business development company, or small business investment company;</w:t>
      </w:r>
    </w:p>
    <w:p>
      <w:pPr>
        <w:spacing w:after="0" w:line="198" w:lineRule="exact"/>
        <w:rPr>
          <w:rFonts w:ascii="MS PGothic" w:cs="MS PGothic" w:eastAsia="MS PGothic" w:hAnsi="MS PGothic"/>
          <w:sz w:val="16"/>
          <w:szCs w:val="16"/>
          <w:color w:val="auto"/>
        </w:rPr>
      </w:pPr>
    </w:p>
    <w:p>
      <w:pPr>
        <w:ind w:left="284" w:right="20" w:hanging="284"/>
        <w:spacing w:after="0" w:line="280" w:lineRule="auto"/>
        <w:tabs>
          <w:tab w:leader="none" w:pos="284" w:val="left"/>
        </w:tabs>
        <w:numPr>
          <w:ilvl w:val="0"/>
          <w:numId w:val="16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plan established and maintained by a state, its political subdivisions, or any agency or instrumentality of a state or its political subdivisions for the benefit of its employees, if such plan has total assets in excess of $5,000,000, or, if a self-directed plan, with investment decisions made solely by persons that are accredited investors;</w:t>
      </w:r>
    </w:p>
    <w:p>
      <w:pPr>
        <w:spacing w:after="0" w:line="144" w:lineRule="exact"/>
        <w:rPr>
          <w:rFonts w:ascii="MS PGothic" w:cs="MS PGothic" w:eastAsia="MS PGothic" w:hAnsi="MS PGothic"/>
          <w:sz w:val="16"/>
          <w:szCs w:val="16"/>
          <w:color w:val="auto"/>
        </w:rPr>
      </w:pPr>
    </w:p>
    <w:p>
      <w:pPr>
        <w:ind w:left="284" w:hanging="284"/>
        <w:spacing w:after="0" w:line="280" w:lineRule="auto"/>
        <w:tabs>
          <w:tab w:leader="none" w:pos="284" w:val="left"/>
        </w:tabs>
        <w:numPr>
          <w:ilvl w:val="0"/>
          <w:numId w:val="16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144" w:lineRule="exact"/>
        <w:rPr>
          <w:rFonts w:ascii="MS PGothic" w:cs="MS PGothic" w:eastAsia="MS PGothic" w:hAnsi="MS PGothic"/>
          <w:sz w:val="16"/>
          <w:szCs w:val="16"/>
          <w:color w:val="auto"/>
        </w:rPr>
      </w:pPr>
    </w:p>
    <w:p>
      <w:pPr>
        <w:ind w:left="284" w:hanging="284"/>
        <w:spacing w:after="0"/>
        <w:tabs>
          <w:tab w:leader="none" w:pos="284" w:val="left"/>
        </w:tabs>
        <w:numPr>
          <w:ilvl w:val="0"/>
          <w:numId w:val="16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private business development company as defined in section 202(a)(22) of the Investment Advisers Act of 1940;</w:t>
      </w:r>
    </w:p>
    <w:p>
      <w:pPr>
        <w:spacing w:after="0" w:line="198" w:lineRule="exact"/>
        <w:rPr>
          <w:rFonts w:ascii="MS PGothic" w:cs="MS PGothic" w:eastAsia="MS PGothic" w:hAnsi="MS PGothic"/>
          <w:sz w:val="16"/>
          <w:szCs w:val="16"/>
          <w:color w:val="auto"/>
        </w:rPr>
      </w:pPr>
    </w:p>
    <w:p>
      <w:pPr>
        <w:ind w:left="284" w:right="20" w:hanging="284"/>
        <w:spacing w:after="0" w:line="280" w:lineRule="auto"/>
        <w:tabs>
          <w:tab w:leader="none" w:pos="284" w:val="left"/>
        </w:tabs>
        <w:numPr>
          <w:ilvl w:val="0"/>
          <w:numId w:val="16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organization described in section 501(c)(3) of the Internal Revenue Code, corporation, Massachusetts or similar business trust, partnership, or limited liability company, not formed for the specific purpose of acquiring the securities offered, with total assets in excess of $5,000,000;</w:t>
      </w:r>
    </w:p>
    <w:p>
      <w:pPr>
        <w:spacing w:after="0" w:line="144" w:lineRule="exact"/>
        <w:rPr>
          <w:rFonts w:ascii="MS PGothic" w:cs="MS PGothic" w:eastAsia="MS PGothic" w:hAnsi="MS PGothic"/>
          <w:sz w:val="16"/>
          <w:szCs w:val="16"/>
          <w:color w:val="auto"/>
        </w:rPr>
      </w:pPr>
    </w:p>
    <w:p>
      <w:pPr>
        <w:ind w:left="284" w:right="20" w:hanging="284"/>
        <w:spacing w:after="0" w:line="280" w:lineRule="auto"/>
        <w:tabs>
          <w:tab w:leader="none" w:pos="284" w:val="left"/>
        </w:tabs>
        <w:numPr>
          <w:ilvl w:val="0"/>
          <w:numId w:val="16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director, executive officer, or general partner of the issuer of the securities being offered or sold, or any director, executive officer, or general partner of a general partner of that issuer;</w:t>
      </w:r>
    </w:p>
    <w:p>
      <w:pPr>
        <w:spacing w:after="0" w:line="144" w:lineRule="exact"/>
        <w:rPr>
          <w:rFonts w:ascii="MS PGothic" w:cs="MS PGothic" w:eastAsia="MS PGothic" w:hAnsi="MS PGothic"/>
          <w:sz w:val="16"/>
          <w:szCs w:val="16"/>
          <w:color w:val="auto"/>
        </w:rPr>
      </w:pPr>
    </w:p>
    <w:p>
      <w:pPr>
        <w:ind w:left="284" w:hanging="284"/>
        <w:spacing w:after="0"/>
        <w:tabs>
          <w:tab w:leader="none" w:pos="284" w:val="left"/>
        </w:tabs>
        <w:numPr>
          <w:ilvl w:val="0"/>
          <w:numId w:val="16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natural person whose individual net worth, or joint net worth with that person’s spouse or spousal equivalent, exceeds $1,000,000;</w:t>
      </w:r>
    </w:p>
    <w:p>
      <w:pPr>
        <w:spacing w:after="0" w:line="3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138" w:name="page139"/>
    <w:bookmarkEnd w:id="138"/>
    <w:p>
      <w:pPr>
        <w:ind w:left="284" w:right="20" w:hanging="284"/>
        <w:spacing w:after="0" w:line="280" w:lineRule="auto"/>
        <w:tabs>
          <w:tab w:leader="none" w:pos="284" w:val="left"/>
        </w:tabs>
        <w:numPr>
          <w:ilvl w:val="0"/>
          <w:numId w:val="16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natural person who had an individual income in excess of $200,000 in each of the two most recent years or joint income with that person’s spouse or spousal equivalent in excess of $300,000 in each of those years and has a reasonable expectation of reaching the same income level in the current year;</w:t>
      </w:r>
    </w:p>
    <w:p>
      <w:pPr>
        <w:spacing w:after="0" w:line="144" w:lineRule="exact"/>
        <w:rPr>
          <w:rFonts w:ascii="MS PGothic" w:cs="MS PGothic" w:eastAsia="MS PGothic" w:hAnsi="MS PGothic"/>
          <w:sz w:val="16"/>
          <w:szCs w:val="16"/>
          <w:color w:val="auto"/>
        </w:rPr>
      </w:pPr>
    </w:p>
    <w:p>
      <w:pPr>
        <w:ind w:left="284" w:right="20" w:hanging="284"/>
        <w:spacing w:after="0" w:line="280" w:lineRule="auto"/>
        <w:tabs>
          <w:tab w:leader="none" w:pos="284" w:val="left"/>
        </w:tabs>
        <w:numPr>
          <w:ilvl w:val="0"/>
          <w:numId w:val="16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trust, with total assets in excess of $5,000,000, not formed for the specific purpose of acquiring the securities offered, whose purchase is directed by a sophisticated person as described in § 230.506(b)(2)(ii);</w:t>
      </w:r>
    </w:p>
    <w:p>
      <w:pPr>
        <w:spacing w:after="0" w:line="144" w:lineRule="exact"/>
        <w:rPr>
          <w:rFonts w:ascii="MS PGothic" w:cs="MS PGothic" w:eastAsia="MS PGothic" w:hAnsi="MS PGothic"/>
          <w:sz w:val="16"/>
          <w:szCs w:val="16"/>
          <w:color w:val="auto"/>
        </w:rPr>
      </w:pPr>
    </w:p>
    <w:p>
      <w:pPr>
        <w:ind w:left="284" w:hanging="284"/>
        <w:spacing w:after="0"/>
        <w:tabs>
          <w:tab w:leader="none" w:pos="284" w:val="left"/>
        </w:tabs>
        <w:numPr>
          <w:ilvl w:val="0"/>
          <w:numId w:val="16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entity in which all of the equity owners are accredited investors;</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16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entity, of a type not listed above, not formed for the specific purpose of acquiring the securities offered, owning investments in excess of $5,000,000;</w:t>
      </w:r>
    </w:p>
    <w:p>
      <w:pPr>
        <w:spacing w:after="0" w:line="198" w:lineRule="exact"/>
        <w:rPr>
          <w:rFonts w:ascii="MS PGothic" w:cs="MS PGothic" w:eastAsia="MS PGothic" w:hAnsi="MS PGothic"/>
          <w:sz w:val="16"/>
          <w:szCs w:val="16"/>
          <w:color w:val="auto"/>
        </w:rPr>
      </w:pPr>
    </w:p>
    <w:p>
      <w:pPr>
        <w:ind w:left="284" w:right="20" w:hanging="284"/>
        <w:spacing w:after="0" w:line="280" w:lineRule="auto"/>
        <w:tabs>
          <w:tab w:leader="none" w:pos="284" w:val="left"/>
        </w:tabs>
        <w:numPr>
          <w:ilvl w:val="0"/>
          <w:numId w:val="16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natural person holding in good standing one or more professional certifications or designations or credentials from an accredited educational institution that the Commission has designated as qualifying an individual for accredited investor status;</w:t>
      </w:r>
    </w:p>
    <w:p>
      <w:pPr>
        <w:spacing w:after="0" w:line="144" w:lineRule="exact"/>
        <w:rPr>
          <w:rFonts w:ascii="MS PGothic" w:cs="MS PGothic" w:eastAsia="MS PGothic" w:hAnsi="MS PGothic"/>
          <w:sz w:val="16"/>
          <w:szCs w:val="16"/>
          <w:color w:val="auto"/>
        </w:rPr>
      </w:pPr>
    </w:p>
    <w:p>
      <w:pPr>
        <w:jc w:val="both"/>
        <w:ind w:left="284" w:right="20" w:hanging="284"/>
        <w:spacing w:after="0" w:line="265" w:lineRule="auto"/>
        <w:tabs>
          <w:tab w:leader="none" w:pos="284" w:val="left"/>
        </w:tabs>
        <w:numPr>
          <w:ilvl w:val="0"/>
          <w:numId w:val="16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natural person who is a “knowledgeable employee,” as defined in rule 3c-5(a)(4) under the Investment Company Act of 1940 (17 CFR 270.3c-5(a)(4)), of the issuer of the securities being offered or sold where the issuer would be an investment company, as defined in section 3 of such act, but for the exclusion provided by either section 3(c)(1) or section 3(c)(7) of such Act;</w:t>
      </w:r>
    </w:p>
    <w:p>
      <w:pPr>
        <w:spacing w:after="0" w:line="155" w:lineRule="exact"/>
        <w:rPr>
          <w:rFonts w:ascii="MS PGothic" w:cs="MS PGothic" w:eastAsia="MS PGothic" w:hAnsi="MS PGothic"/>
          <w:sz w:val="16"/>
          <w:szCs w:val="16"/>
          <w:color w:val="auto"/>
        </w:rPr>
      </w:pPr>
    </w:p>
    <w:p>
      <w:pPr>
        <w:jc w:val="both"/>
        <w:ind w:left="284" w:hanging="284"/>
        <w:spacing w:after="0" w:line="290" w:lineRule="auto"/>
        <w:tabs>
          <w:tab w:leader="none" w:pos="284" w:val="left"/>
        </w:tabs>
        <w:numPr>
          <w:ilvl w:val="0"/>
          <w:numId w:val="163"/>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Any “family office,” as defined in rule 202(a)(11)(G)–1 under the Investment Advisers Act of 1940 (17 CFR 275.202(a)(11)(G)–1): (i) With assets under management in excess of $5,000,000, (ii) That is not formed for the specific purpose of acquiring the securities offered, and (iii) Whose prospective investment is directed by a person who has such knowledge and experience in financial and business matters that such family office is capable of evaluating the merits and risks of the prospective investment; and</w:t>
      </w:r>
    </w:p>
    <w:p>
      <w:pPr>
        <w:spacing w:after="0" w:line="139" w:lineRule="exact"/>
        <w:rPr>
          <w:rFonts w:ascii="MS PGothic" w:cs="MS PGothic" w:eastAsia="MS PGothic" w:hAnsi="MS PGothic"/>
          <w:sz w:val="15"/>
          <w:szCs w:val="15"/>
          <w:color w:val="auto"/>
        </w:rPr>
      </w:pPr>
    </w:p>
    <w:p>
      <w:pPr>
        <w:ind w:left="284" w:right="20" w:hanging="284"/>
        <w:spacing w:after="0" w:line="280" w:lineRule="auto"/>
        <w:tabs>
          <w:tab w:leader="none" w:pos="284" w:val="left"/>
        </w:tabs>
        <w:numPr>
          <w:ilvl w:val="0"/>
          <w:numId w:val="16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“family client,” as defined in rule 202(a)(11)(G)–1 under the Investment Advisers Act of 1940 (17 CFR 275.202(a)(11)(G)–1), of a family office meeting the requirements in paragraph (a)(12) of this section 501(a) and whose prospective investment in the issuer is directed by such family office pursuant to paragraph (a)(12)(iii).</w:t>
      </w:r>
    </w:p>
    <w:p>
      <w:pPr>
        <w:spacing w:after="0" w:line="144" w:lineRule="exact"/>
        <w:rPr>
          <w:sz w:val="20"/>
          <w:szCs w:val="20"/>
          <w:color w:val="auto"/>
        </w:rPr>
      </w:pPr>
    </w:p>
    <w:p>
      <w:pPr>
        <w:ind w:left="4"/>
        <w:spacing w:after="0"/>
        <w:tabs>
          <w:tab w:leader="none" w:pos="6744" w:val="left"/>
        </w:tabs>
        <w:rPr>
          <w:sz w:val="20"/>
          <w:szCs w:val="20"/>
          <w:color w:val="auto"/>
        </w:rPr>
      </w:pPr>
      <w:r>
        <w:rPr>
          <w:rFonts w:ascii="Times New Roman" w:cs="Times New Roman" w:eastAsia="Times New Roman" w:hAnsi="Times New Roman"/>
          <w:sz w:val="16"/>
          <w:szCs w:val="16"/>
          <w:color w:val="auto"/>
        </w:rPr>
        <w:t>[Specify which tests: ___________________________________</w:t>
      </w:r>
      <w:r>
        <w:rPr>
          <w:sz w:val="20"/>
          <w:szCs w:val="20"/>
          <w:color w:val="auto"/>
        </w:rPr>
        <w:tab/>
      </w:r>
      <w:r>
        <w:rPr>
          <w:rFonts w:ascii="Times New Roman" w:cs="Times New Roman" w:eastAsia="Times New Roman" w:hAnsi="Times New Roman"/>
          <w:sz w:val="16"/>
          <w:szCs w:val="16"/>
          <w:color w:val="auto"/>
        </w:rPr>
        <w:t>]</w:t>
      </w:r>
    </w:p>
    <w:p>
      <w:pPr>
        <w:spacing w:after="0" w:line="234" w:lineRule="exact"/>
        <w:rPr>
          <w:sz w:val="20"/>
          <w:szCs w:val="20"/>
          <w:color w:val="auto"/>
        </w:rPr>
      </w:pPr>
    </w:p>
    <w:p>
      <w:pPr>
        <w:ind w:left="6764"/>
        <w:spacing w:after="0"/>
        <w:rPr>
          <w:sz w:val="20"/>
          <w:szCs w:val="20"/>
          <w:color w:val="auto"/>
        </w:rPr>
      </w:pPr>
      <w:r>
        <w:rPr>
          <w:rFonts w:ascii="Times New Roman" w:cs="Times New Roman" w:eastAsia="Times New Roman" w:hAnsi="Times New Roman"/>
          <w:sz w:val="16"/>
          <w:szCs w:val="16"/>
          <w:color w:val="auto"/>
        </w:rPr>
        <w:t>SUBSCRIBER:</w:t>
      </w:r>
    </w:p>
    <w:p>
      <w:pPr>
        <w:spacing w:after="0" w:line="270" w:lineRule="exact"/>
        <w:rPr>
          <w:sz w:val="20"/>
          <w:szCs w:val="20"/>
          <w:color w:val="auto"/>
        </w:rPr>
      </w:pPr>
    </w:p>
    <w:p>
      <w:pPr>
        <w:ind w:left="6764"/>
        <w:spacing w:after="0"/>
        <w:rPr>
          <w:sz w:val="20"/>
          <w:szCs w:val="20"/>
          <w:color w:val="auto"/>
        </w:rPr>
      </w:pPr>
      <w:r>
        <w:rPr>
          <w:rFonts w:ascii="Times New Roman" w:cs="Times New Roman" w:eastAsia="Times New Roman" w:hAnsi="Times New Roman"/>
          <w:sz w:val="16"/>
          <w:szCs w:val="16"/>
          <w:color w:val="auto"/>
        </w:rPr>
        <w:t>Print Name:</w:t>
      </w:r>
    </w:p>
    <w:p>
      <w:pPr>
        <w:spacing w:after="0" w:line="270" w:lineRule="exact"/>
        <w:rPr>
          <w:sz w:val="20"/>
          <w:szCs w:val="20"/>
          <w:color w:val="auto"/>
        </w:rPr>
      </w:pPr>
    </w:p>
    <w:p>
      <w:pPr>
        <w:ind w:left="6764"/>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7620</wp:posOffset>
            </wp:positionV>
            <wp:extent cx="2572385" cy="152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23" w:lineRule="exact"/>
        <w:rPr>
          <w:sz w:val="20"/>
          <w:szCs w:val="20"/>
          <w:color w:val="auto"/>
        </w:rPr>
      </w:pPr>
    </w:p>
    <w:p>
      <w:pPr>
        <w:ind w:left="7204"/>
        <w:spacing w:after="0"/>
        <w:rPr>
          <w:sz w:val="20"/>
          <w:szCs w:val="20"/>
          <w:color w:val="auto"/>
        </w:rPr>
      </w:pPr>
      <w:r>
        <w:rPr>
          <w:rFonts w:ascii="Times New Roman" w:cs="Times New Roman" w:eastAsia="Times New Roman" w:hAnsi="Times New Roman"/>
          <w:sz w:val="16"/>
          <w:szCs w:val="16"/>
          <w:color w:val="auto"/>
        </w:rPr>
        <w:t>Name:</w:t>
      </w:r>
    </w:p>
    <w:p>
      <w:pPr>
        <w:spacing w:after="0" w:line="43" w:lineRule="exact"/>
        <w:rPr>
          <w:sz w:val="20"/>
          <w:szCs w:val="20"/>
          <w:color w:val="auto"/>
        </w:rPr>
      </w:pPr>
    </w:p>
    <w:p>
      <w:pPr>
        <w:ind w:left="7204"/>
        <w:spacing w:after="0"/>
        <w:rPr>
          <w:sz w:val="20"/>
          <w:szCs w:val="20"/>
          <w:color w:val="auto"/>
        </w:rPr>
      </w:pPr>
      <w:r>
        <w:rPr>
          <w:rFonts w:ascii="Times New Roman" w:cs="Times New Roman" w:eastAsia="Times New Roman" w:hAnsi="Times New Roman"/>
          <w:sz w:val="16"/>
          <w:szCs w:val="16"/>
          <w:color w:val="auto"/>
        </w:rPr>
        <w:t>Title:</w:t>
      </w:r>
    </w:p>
    <w:p>
      <w:pPr>
        <w:spacing w:after="0" w:line="3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6"/>
          <w:szCs w:val="16"/>
          <w:b w:val="1"/>
          <w:bCs w:val="1"/>
          <w:color w:val="auto"/>
        </w:rPr>
        <w:t>Exhibit 10.2</w:t>
      </w:r>
    </w:p>
    <w:p>
      <w:pPr>
        <w:spacing w:after="0" w:line="1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Execution Version</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SUBSCRIPTION AGREEMENT</w:t>
      </w:r>
    </w:p>
    <w:p>
      <w:pPr>
        <w:spacing w:after="0" w:line="200"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This SUBSCRIPTION AGREEMENT (this “</w:t>
      </w:r>
      <w:r>
        <w:rPr>
          <w:rFonts w:ascii="Times New Roman" w:cs="Times New Roman" w:eastAsia="Times New Roman" w:hAnsi="Times New Roman"/>
          <w:sz w:val="16"/>
          <w:szCs w:val="16"/>
          <w:u w:val="single" w:color="auto"/>
          <w:color w:val="auto"/>
        </w:rPr>
        <w:t>Subscription Agreement”)</w:t>
      </w:r>
      <w:r>
        <w:rPr>
          <w:rFonts w:ascii="Times New Roman" w:cs="Times New Roman" w:eastAsia="Times New Roman" w:hAnsi="Times New Roman"/>
          <w:sz w:val="16"/>
          <w:szCs w:val="16"/>
          <w:color w:val="auto"/>
        </w:rPr>
        <w:t xml:space="preserve"> is entered into on July 25, 2022, by and between Ventoux CCM Acquisition Corp.,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and the undersigned subscriber (“</w:t>
      </w:r>
      <w:r>
        <w:rPr>
          <w:rFonts w:ascii="Times New Roman" w:cs="Times New Roman" w:eastAsia="Times New Roman" w:hAnsi="Times New Roman"/>
          <w:sz w:val="16"/>
          <w:szCs w:val="16"/>
          <w:u w:val="single" w:color="auto"/>
          <w:color w:val="auto"/>
        </w:rPr>
        <w:t>Subscriber</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WHEREAS, on November 10, 2021, the Company entered into a definitive agreement with E la Carte, Inc., a Delaware corporation (“</w:t>
      </w:r>
      <w:r>
        <w:rPr>
          <w:rFonts w:ascii="Times New Roman" w:cs="Times New Roman" w:eastAsia="Times New Roman" w:hAnsi="Times New Roman"/>
          <w:sz w:val="16"/>
          <w:szCs w:val="16"/>
          <w:u w:val="single" w:color="auto"/>
          <w:color w:val="auto"/>
        </w:rPr>
        <w:t>Presto</w:t>
      </w:r>
      <w:r>
        <w:rPr>
          <w:rFonts w:ascii="Times New Roman" w:cs="Times New Roman" w:eastAsia="Times New Roman" w:hAnsi="Times New Roman"/>
          <w:sz w:val="16"/>
          <w:szCs w:val="16"/>
          <w:color w:val="auto"/>
        </w:rPr>
        <w:t>”), and the other parties thereto (as subsequently amended), providing for the combination of the Company and Presto (as amended, the “</w:t>
      </w:r>
      <w:r>
        <w:rPr>
          <w:rFonts w:ascii="Times New Roman" w:cs="Times New Roman" w:eastAsia="Times New Roman" w:hAnsi="Times New Roman"/>
          <w:sz w:val="16"/>
          <w:szCs w:val="16"/>
          <w:u w:val="single" w:color="auto"/>
          <w:color w:val="auto"/>
        </w:rPr>
        <w:t>Transaction Agreement</w:t>
      </w:r>
      <w:r>
        <w:rPr>
          <w:rFonts w:ascii="Times New Roman" w:cs="Times New Roman" w:eastAsia="Times New Roman" w:hAnsi="Times New Roman"/>
          <w:sz w:val="16"/>
          <w:szCs w:val="16"/>
          <w:color w:val="auto"/>
        </w:rPr>
        <w:t>” and the transactions contemplated by the Transaction Agreement, the “</w:t>
      </w:r>
      <w:r>
        <w:rPr>
          <w:rFonts w:ascii="Times New Roman" w:cs="Times New Roman" w:eastAsia="Times New Roman" w:hAnsi="Times New Roman"/>
          <w:sz w:val="16"/>
          <w:szCs w:val="16"/>
          <w:u w:val="single" w:color="auto"/>
          <w:color w:val="auto"/>
        </w:rPr>
        <w:t>Transaction</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6"/>
          <w:szCs w:val="16"/>
          <w:color w:val="auto"/>
        </w:rPr>
        <w:t>WHEREAS, in connection with the Transaction, Subscriber desires to subscribe for and purchase from the Company, immediately prior to the consummation of the Transaction, that number of shares of the Company’s common stock, par value $0.0001 per share (the “</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set forth on the signature page hereto (the “</w:t>
      </w:r>
      <w:r>
        <w:rPr>
          <w:rFonts w:ascii="Times New Roman" w:cs="Times New Roman" w:eastAsia="Times New Roman" w:hAnsi="Times New Roman"/>
          <w:sz w:val="16"/>
          <w:szCs w:val="16"/>
          <w:u w:val="single" w:color="auto"/>
          <w:color w:val="auto"/>
        </w:rPr>
        <w:t>Subscribed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 for a purchase price of $10.00 per share (the “</w:t>
      </w:r>
      <w:r>
        <w:rPr>
          <w:rFonts w:ascii="Times New Roman" w:cs="Times New Roman" w:eastAsia="Times New Roman" w:hAnsi="Times New Roman"/>
          <w:sz w:val="16"/>
          <w:szCs w:val="16"/>
          <w:u w:val="single" w:color="auto"/>
          <w:color w:val="auto"/>
        </w:rPr>
        <w:t>Per Share Price</w:t>
      </w:r>
      <w:r>
        <w:rPr>
          <w:rFonts w:ascii="Times New Roman" w:cs="Times New Roman" w:eastAsia="Times New Roman" w:hAnsi="Times New Roman"/>
          <w:sz w:val="16"/>
          <w:szCs w:val="16"/>
          <w:color w:val="auto"/>
        </w:rPr>
        <w:t>” and the aggregate of such Per Share Price for all Subscribed Shares being referred to herein as the “</w:t>
      </w:r>
      <w:r>
        <w:rPr>
          <w:rFonts w:ascii="Times New Roman" w:cs="Times New Roman" w:eastAsia="Times New Roman" w:hAnsi="Times New Roman"/>
          <w:sz w:val="16"/>
          <w:szCs w:val="16"/>
          <w:u w:val="single" w:color="auto"/>
          <w:color w:val="auto"/>
        </w:rPr>
        <w:t>Purchase Price</w:t>
      </w:r>
      <w:r>
        <w:rPr>
          <w:rFonts w:ascii="Times New Roman" w:cs="Times New Roman" w:eastAsia="Times New Roman" w:hAnsi="Times New Roman"/>
          <w:sz w:val="16"/>
          <w:szCs w:val="16"/>
          <w:color w:val="auto"/>
        </w:rPr>
        <w:t>”), and the Company desires to issue and sell to Subscriber the Subscribed Shares in consideration of the payment of the Purchase Price by or on behalf of Subscriber to the Company; and</w:t>
      </w:r>
    </w:p>
    <w:p>
      <w:pPr>
        <w:spacing w:after="0" w:line="162" w:lineRule="exact"/>
        <w:rPr>
          <w:sz w:val="20"/>
          <w:szCs w:val="20"/>
          <w:color w:val="auto"/>
        </w:rPr>
      </w:pPr>
    </w:p>
    <w:p>
      <w:pPr>
        <w:jc w:val="both"/>
        <w:ind w:firstLine="382"/>
        <w:spacing w:after="0" w:line="252" w:lineRule="auto"/>
        <w:rPr>
          <w:sz w:val="20"/>
          <w:szCs w:val="20"/>
          <w:color w:val="auto"/>
        </w:rPr>
      </w:pPr>
      <w:r>
        <w:rPr>
          <w:rFonts w:ascii="Times New Roman" w:cs="Times New Roman" w:eastAsia="Times New Roman" w:hAnsi="Times New Roman"/>
          <w:sz w:val="16"/>
          <w:szCs w:val="16"/>
          <w:color w:val="auto"/>
        </w:rPr>
        <w:t>WHEREAS, substantially concurrently with the execution of the Transaction Agreement or prior to the closing date of the Transaction (the “</w:t>
      </w:r>
      <w:r>
        <w:rPr>
          <w:rFonts w:ascii="Times New Roman" w:cs="Times New Roman" w:eastAsia="Times New Roman" w:hAnsi="Times New Roman"/>
          <w:sz w:val="16"/>
          <w:szCs w:val="16"/>
          <w:u w:val="single" w:color="auto"/>
          <w:color w:val="auto"/>
        </w:rPr>
        <w:t>Closing Date</w:t>
      </w:r>
      <w:r>
        <w:rPr>
          <w:rFonts w:ascii="Times New Roman" w:cs="Times New Roman" w:eastAsia="Times New Roman" w:hAnsi="Times New Roman"/>
          <w:sz w:val="16"/>
          <w:szCs w:val="16"/>
          <w:color w:val="auto"/>
        </w:rPr>
        <w:t>”), the Company entered into or will enter into subscription agreements (the “</w:t>
      </w:r>
      <w:r>
        <w:rPr>
          <w:rFonts w:ascii="Times New Roman" w:cs="Times New Roman" w:eastAsia="Times New Roman" w:hAnsi="Times New Roman"/>
          <w:sz w:val="16"/>
          <w:szCs w:val="16"/>
          <w:u w:val="single" w:color="auto"/>
          <w:color w:val="auto"/>
        </w:rPr>
        <w:t>Other Subscription Agreements</w:t>
      </w:r>
      <w:r>
        <w:rPr>
          <w:rFonts w:ascii="Times New Roman" w:cs="Times New Roman" w:eastAsia="Times New Roman" w:hAnsi="Times New Roman"/>
          <w:sz w:val="16"/>
          <w:szCs w:val="16"/>
          <w:color w:val="auto"/>
        </w:rPr>
        <w:t>” and together with this Subscription Agreement, the “</w:t>
      </w:r>
      <w:r>
        <w:rPr>
          <w:rFonts w:ascii="Times New Roman" w:cs="Times New Roman" w:eastAsia="Times New Roman" w:hAnsi="Times New Roman"/>
          <w:sz w:val="16"/>
          <w:szCs w:val="16"/>
          <w:u w:val="single" w:color="auto"/>
          <w:color w:val="auto"/>
        </w:rPr>
        <w:t>Subscription Agreements</w:t>
      </w:r>
      <w:r>
        <w:rPr>
          <w:rFonts w:ascii="Times New Roman" w:cs="Times New Roman" w:eastAsia="Times New Roman" w:hAnsi="Times New Roman"/>
          <w:sz w:val="16"/>
          <w:szCs w:val="16"/>
          <w:color w:val="auto"/>
        </w:rPr>
        <w:t>”) with certain other accredited investors (the “</w:t>
      </w:r>
      <w:r>
        <w:rPr>
          <w:rFonts w:ascii="Times New Roman" w:cs="Times New Roman" w:eastAsia="Times New Roman" w:hAnsi="Times New Roman"/>
          <w:sz w:val="16"/>
          <w:szCs w:val="16"/>
          <w:u w:val="single" w:color="auto"/>
          <w:color w:val="auto"/>
        </w:rPr>
        <w:t>Other Subscribers</w:t>
      </w:r>
      <w:r>
        <w:rPr>
          <w:rFonts w:ascii="Times New Roman" w:cs="Times New Roman" w:eastAsia="Times New Roman" w:hAnsi="Times New Roman"/>
          <w:sz w:val="16"/>
          <w:szCs w:val="16"/>
          <w:color w:val="auto"/>
        </w:rPr>
        <w:t>” and together with Subscriber, the “</w:t>
      </w:r>
      <w:r>
        <w:rPr>
          <w:rFonts w:ascii="Times New Roman" w:cs="Times New Roman" w:eastAsia="Times New Roman" w:hAnsi="Times New Roman"/>
          <w:sz w:val="16"/>
          <w:szCs w:val="16"/>
          <w:u w:val="single" w:color="auto"/>
          <w:color w:val="auto"/>
        </w:rPr>
        <w:t>Subscribers</w:t>
      </w:r>
      <w:r>
        <w:rPr>
          <w:rFonts w:ascii="Times New Roman" w:cs="Times New Roman" w:eastAsia="Times New Roman" w:hAnsi="Times New Roman"/>
          <w:sz w:val="16"/>
          <w:szCs w:val="16"/>
          <w:color w:val="auto"/>
        </w:rPr>
        <w:t>”), which are on substantially the same terms as the terms of this Subscription Agreement (other than with respect to (t) the amounts, price and types of the Company’s securities to be subscribed for and purchased by the Other Subscribers and any terms relating to such other types of the Company’s securities, (u) certain fees payable by Presto to and certain board observer rights granted to Silver Rock Contingent Credit Fund LP, Silver Rock Tactical Allocation Fund LP, Lake Vineyard Fund LP and Silver Rock Empire Fund LP and their affiliates (collectively, “</w:t>
      </w:r>
      <w:r>
        <w:rPr>
          <w:rFonts w:ascii="Times New Roman" w:cs="Times New Roman" w:eastAsia="Times New Roman" w:hAnsi="Times New Roman"/>
          <w:sz w:val="16"/>
          <w:szCs w:val="16"/>
          <w:u w:val="single" w:color="auto"/>
          <w:color w:val="auto"/>
        </w:rPr>
        <w:t>Silver Rock</w:t>
      </w:r>
      <w:r>
        <w:rPr>
          <w:rFonts w:ascii="Times New Roman" w:cs="Times New Roman" w:eastAsia="Times New Roman" w:hAnsi="Times New Roman"/>
          <w:sz w:val="16"/>
          <w:szCs w:val="16"/>
          <w:color w:val="auto"/>
        </w:rPr>
        <w:t>”), (v) the purchase of Common Stock from the Sponsors (as defined herein), (w) certain rights to nominate a member of the Company’s board of directors after and contingent upon the Closing, (x) certain closing conditions in the Other Subscription Agreements relating to the Notes (as defined below)and certain representations related to the payment of expenses in the Transaction, (y) (i) any rights or benefits granted to an Other Subscriber in connection with such Other Subscriber’s compliance with any law, regulation or policy specifically applicable to such Other Subscriber or in connection with the taxable status of an Other Subscriber and (ii) any rights with respect to the confidentiality or disclosure of an Other Subscriber’s identity and (z) certain registration rights), pursuant to which such investors shall agree or have agreed to purchase on the Closing Date, as applicable (i) shares of Common Stock, at the Per Share Price and (ii) the Company’s convertible senior notes due 2026 (the “</w:t>
      </w:r>
      <w:r>
        <w:rPr>
          <w:rFonts w:ascii="Times New Roman" w:cs="Times New Roman" w:eastAsia="Times New Roman" w:hAnsi="Times New Roman"/>
          <w:sz w:val="16"/>
          <w:szCs w:val="16"/>
          <w:u w:val="single" w:color="auto"/>
          <w:color w:val="auto"/>
        </w:rPr>
        <w:t>Notes</w:t>
      </w:r>
      <w:r>
        <w:rPr>
          <w:rFonts w:ascii="Times New Roman" w:cs="Times New Roman" w:eastAsia="Times New Roman" w:hAnsi="Times New Roman"/>
          <w:sz w:val="16"/>
          <w:szCs w:val="16"/>
          <w:color w:val="auto"/>
        </w:rPr>
        <w:t>”) and related warrants (the “</w:t>
      </w:r>
      <w:r>
        <w:rPr>
          <w:rFonts w:ascii="Times New Roman" w:cs="Times New Roman" w:eastAsia="Times New Roman" w:hAnsi="Times New Roman"/>
          <w:sz w:val="16"/>
          <w:szCs w:val="16"/>
          <w:u w:val="single" w:color="auto"/>
          <w:color w:val="auto"/>
        </w:rPr>
        <w:t>Warrants</w:t>
      </w:r>
      <w:r>
        <w:rPr>
          <w:rFonts w:ascii="Times New Roman" w:cs="Times New Roman" w:eastAsia="Times New Roman" w:hAnsi="Times New Roman"/>
          <w:sz w:val="16"/>
          <w:szCs w:val="16"/>
          <w:color w:val="auto"/>
        </w:rPr>
        <w:t>”) to purchase shares of Common Stock (together with the Subscribed Shares, the “</w:t>
      </w:r>
      <w:r>
        <w:rPr>
          <w:rFonts w:ascii="Times New Roman" w:cs="Times New Roman" w:eastAsia="Times New Roman" w:hAnsi="Times New Roman"/>
          <w:sz w:val="16"/>
          <w:szCs w:val="16"/>
          <w:u w:val="single" w:color="auto"/>
          <w:color w:val="auto"/>
        </w:rPr>
        <w:t>Aggregate Subscribed Securities</w:t>
      </w:r>
      <w:r>
        <w:rPr>
          <w:rFonts w:ascii="Times New Roman" w:cs="Times New Roman" w:eastAsia="Times New Roman" w:hAnsi="Times New Roman"/>
          <w:sz w:val="16"/>
          <w:szCs w:val="16"/>
          <w:color w:val="auto"/>
        </w:rPr>
        <w:t>”); and</w:t>
      </w:r>
    </w:p>
    <w:p>
      <w:pPr>
        <w:spacing w:after="0" w:line="165"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WHEREAS, William Blair &amp; Company, L.L.C. (“</w:t>
      </w:r>
      <w:r>
        <w:rPr>
          <w:rFonts w:ascii="Times New Roman" w:cs="Times New Roman" w:eastAsia="Times New Roman" w:hAnsi="Times New Roman"/>
          <w:sz w:val="16"/>
          <w:szCs w:val="16"/>
          <w:u w:val="single" w:color="auto"/>
          <w:color w:val="auto"/>
        </w:rPr>
        <w:t>William Blair</w:t>
      </w:r>
      <w:r>
        <w:rPr>
          <w:rFonts w:ascii="Times New Roman" w:cs="Times New Roman" w:eastAsia="Times New Roman" w:hAnsi="Times New Roman"/>
          <w:sz w:val="16"/>
          <w:szCs w:val="16"/>
          <w:color w:val="auto"/>
        </w:rPr>
        <w:t>”), Truist Securities, Inc. (“</w:t>
      </w:r>
      <w:r>
        <w:rPr>
          <w:rFonts w:ascii="Times New Roman" w:cs="Times New Roman" w:eastAsia="Times New Roman" w:hAnsi="Times New Roman"/>
          <w:sz w:val="16"/>
          <w:szCs w:val="16"/>
          <w:u w:val="single" w:color="auto"/>
          <w:color w:val="auto"/>
        </w:rPr>
        <w:t>Truist</w:t>
      </w:r>
      <w:r>
        <w:rPr>
          <w:rFonts w:ascii="Times New Roman" w:cs="Times New Roman" w:eastAsia="Times New Roman" w:hAnsi="Times New Roman"/>
          <w:sz w:val="16"/>
          <w:szCs w:val="16"/>
          <w:color w:val="auto"/>
        </w:rPr>
        <w:t>”) and Chardan Capital Markets, LLC (“</w:t>
      </w:r>
      <w:r>
        <w:rPr>
          <w:rFonts w:ascii="Times New Roman" w:cs="Times New Roman" w:eastAsia="Times New Roman" w:hAnsi="Times New Roman"/>
          <w:sz w:val="16"/>
          <w:szCs w:val="16"/>
          <w:u w:val="single" w:color="auto"/>
          <w:color w:val="auto"/>
        </w:rPr>
        <w:t>Chardan”</w:t>
      </w:r>
      <w:r>
        <w:rPr>
          <w:rFonts w:ascii="Times New Roman" w:cs="Times New Roman" w:eastAsia="Times New Roman" w:hAnsi="Times New Roman"/>
          <w:sz w:val="16"/>
          <w:szCs w:val="16"/>
          <w:color w:val="auto"/>
        </w:rPr>
        <w:t>) are acting as placement agents to the Company in connection with the issuance and sale of Common Stock to Other Subscribers.</w:t>
      </w:r>
    </w:p>
    <w:p>
      <w:pPr>
        <w:spacing w:after="0" w:line="144"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NOW, THEREFORE, in consideration of the foregoing and the mutual representations, warranties and covenants, and subject to the conditions, herein contained, and intending to be legally bound hereby, the parties hereto hereby agree as follows:</w:t>
      </w:r>
    </w:p>
    <w:p>
      <w:pPr>
        <w:spacing w:after="0" w:line="144" w:lineRule="exact"/>
        <w:rPr>
          <w:sz w:val="20"/>
          <w:szCs w:val="20"/>
          <w:color w:val="auto"/>
        </w:rPr>
      </w:pPr>
    </w:p>
    <w:p>
      <w:pPr>
        <w:ind w:right="20" w:firstLine="378"/>
        <w:spacing w:after="0" w:line="280" w:lineRule="auto"/>
        <w:tabs>
          <w:tab w:leader="none" w:pos="542"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Subscription</w:t>
      </w:r>
      <w:r>
        <w:rPr>
          <w:rFonts w:ascii="Times New Roman" w:cs="Times New Roman" w:eastAsia="Times New Roman" w:hAnsi="Times New Roman"/>
          <w:sz w:val="16"/>
          <w:szCs w:val="16"/>
          <w:color w:val="auto"/>
        </w:rPr>
        <w:t>. Subject to the terms and conditions hereof, at the Closing (as defined below), Subscriber hereby agrees to subscribe for and purchase, and the Company hereby agrees to issue and sell to Subscriber, upon the payment of the Purchase Price, the Subscribed Shares (such subscription and issuance, the “</w:t>
      </w:r>
      <w:r>
        <w:rPr>
          <w:rFonts w:ascii="Times New Roman" w:cs="Times New Roman" w:eastAsia="Times New Roman" w:hAnsi="Times New Roman"/>
          <w:sz w:val="16"/>
          <w:szCs w:val="16"/>
          <w:u w:val="single" w:color="auto"/>
          <w:color w:val="auto"/>
        </w:rPr>
        <w:t>Subscription</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360045</wp:posOffset>
            </wp:positionV>
            <wp:extent cx="7148195" cy="152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40" w:name="page141"/>
    <w:bookmarkEnd w:id="140"/>
    <w:p>
      <w:pPr>
        <w:ind w:left="540" w:hanging="162"/>
        <w:spacing w:after="0"/>
        <w:tabs>
          <w:tab w:leader="none" w:pos="540"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ind w:right="20" w:firstLine="824"/>
        <w:spacing w:after="0" w:line="280" w:lineRule="auto"/>
        <w:tabs>
          <w:tab w:leader="none" w:pos="980" w:val="left"/>
        </w:tabs>
        <w:numPr>
          <w:ilvl w:val="1"/>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of this Subscription Agreement, the consummation of the Subscription contemplated hereby (the “</w:t>
      </w: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shall occur on the Closing Date immediately prior to or substantially concurrently with the consummation of the Transaction.</w:t>
      </w:r>
    </w:p>
    <w:p>
      <w:pPr>
        <w:spacing w:after="0" w:line="144" w:lineRule="exact"/>
        <w:rPr>
          <w:rFonts w:ascii="Times New Roman" w:cs="Times New Roman" w:eastAsia="Times New Roman" w:hAnsi="Times New Roman"/>
          <w:sz w:val="16"/>
          <w:szCs w:val="16"/>
          <w:color w:val="auto"/>
        </w:rPr>
      </w:pPr>
    </w:p>
    <w:p>
      <w:pPr>
        <w:jc w:val="both"/>
        <w:ind w:firstLine="824"/>
        <w:spacing w:after="0" w:line="251" w:lineRule="auto"/>
        <w:tabs>
          <w:tab w:leader="none" w:pos="990" w:val="left"/>
        </w:tabs>
        <w:numPr>
          <w:ilvl w:val="1"/>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least five (5) Business Days before the anticipated Closing Date, the Company shall deliver written notice to Subscriber (the “</w:t>
      </w:r>
      <w:r>
        <w:rPr>
          <w:rFonts w:ascii="Times New Roman" w:cs="Times New Roman" w:eastAsia="Times New Roman" w:hAnsi="Times New Roman"/>
          <w:sz w:val="16"/>
          <w:szCs w:val="16"/>
          <w:u w:val="single" w:color="auto"/>
          <w:color w:val="auto"/>
        </w:rPr>
        <w:t>Closing Notice</w:t>
      </w:r>
      <w:r>
        <w:rPr>
          <w:rFonts w:ascii="Times New Roman" w:cs="Times New Roman" w:eastAsia="Times New Roman" w:hAnsi="Times New Roman"/>
          <w:sz w:val="16"/>
          <w:szCs w:val="16"/>
          <w:color w:val="auto"/>
        </w:rPr>
        <w:t xml:space="preserve">”) specifying (i) the anticipated Closing Date and (ii) the wire instructions for delivery of the Purchase Price to the Company. No later than two (2) Business Days after receiving the Closing Notice, Subscriber shall deliver to the Company such information as is reasonably requested in the Closing Notice in order for the Company to issue the Subscribed Shares to Subscriber. Subscriber shall deliver to the Company, no later than one (1) Business Day prior to the Closing Date as set forth in the Closing Notice, (a) the Purchase Price for the Subscribed Shares by wire transfer of United States dollars in immediately available funds to the account specified by the Company in the Closing Notice, such funds to be held by the Company in escrow until the Closing and (b) such information as is reasonably requested in the Closing Notice in order for the Company to issue the Subscribed Shares to Subscriber at the Closing. Upon satisfaction (or, if applicable, waiver) of the conditions set forth in this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the Company shall deliver to Subscriber (i) at the Closing, the Subscribed Shares in book entry form, free and clear of any liens or other restrictions (other than those arising under this Subscription Agreement or applicable state or federal securities laws), in the name of Subscriber (or its nominee in accordance with its delivery instructions) or to a custodian designated by Subscriber, as applicable, and (ii) written notice from the Company or its transfer agent evidencing the issuance to Subscriber of the Subscribed Shares on and as of the Closing Date. In the event that the consummation of the Transaction does not occur within two (2) Business Days after the anticipated Closing Date specified in the Closing Notice, unless otherwise agreed to in writing by the Company and Subscriber, the Company shall promptly (but in no event later than one (1) Business Day thereafter) return the funds so delivered by Subscriber to the Company by wire transfer in immediately available funds to the account specified by Subscriber and any book entries shall be deemed cancelled. Subscriber shall not be required to deliver to the Company on more than two (2) occasions, the Purchase Price pursuant to a Closing Notice. Notwithstanding such return or cancellation, a failure to close on the anticipated Closing Date shall not, by itself, be deemed to be a failure of any of the conditions to Closing set forth in this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to be satisfied or waived on or prior to the Closing Date. For the purposes of this Subscription Agreement, “Business Day” means any day other than a Saturday, Sunday or a day on which the Federal Reserve Bank of New York is closed.</w:t>
      </w:r>
    </w:p>
    <w:p>
      <w:pPr>
        <w:spacing w:after="0" w:line="170" w:lineRule="exact"/>
        <w:rPr>
          <w:rFonts w:ascii="Times New Roman" w:cs="Times New Roman" w:eastAsia="Times New Roman" w:hAnsi="Times New Roman"/>
          <w:sz w:val="16"/>
          <w:szCs w:val="16"/>
          <w:color w:val="auto"/>
        </w:rPr>
      </w:pPr>
    </w:p>
    <w:p>
      <w:pPr>
        <w:ind w:right="20" w:firstLine="824"/>
        <w:spacing w:after="0" w:line="280" w:lineRule="auto"/>
        <w:tabs>
          <w:tab w:leader="none" w:pos="980" w:val="left"/>
        </w:tabs>
        <w:numPr>
          <w:ilvl w:val="1"/>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Closing shall be subject to the satisfaction or valid waiver in writing by each of the parties hereto (to the extent a valid waiver is capable of being issued) by the Company, on the one hand, or Subscriber, on the other, of the conditions that, on the Closing Date:</w:t>
      </w:r>
    </w:p>
    <w:p>
      <w:pPr>
        <w:spacing w:after="0" w:line="144" w:lineRule="exact"/>
        <w:rPr>
          <w:rFonts w:ascii="Times New Roman" w:cs="Times New Roman" w:eastAsia="Times New Roman" w:hAnsi="Times New Roman"/>
          <w:sz w:val="16"/>
          <w:szCs w:val="16"/>
          <w:color w:val="auto"/>
        </w:rPr>
      </w:pPr>
    </w:p>
    <w:p>
      <w:pPr>
        <w:jc w:val="both"/>
        <w:ind w:right="20" w:firstLine="1238"/>
        <w:spacing w:after="0" w:line="265" w:lineRule="auto"/>
        <w:tabs>
          <w:tab w:leader="none" w:pos="1438" w:val="left"/>
        </w:tabs>
        <w:numPr>
          <w:ilvl w:val="2"/>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suspension of the qualification of the Common Stock for offering or sale or trading in any jurisdiction, or initiation or threatening of any proceedings for any of such purposes, shall have occurred and the Subscribed Shares shall have been approved for listing on The Nasdaq Stock Market LLC (“</w:t>
      </w:r>
      <w:r>
        <w:rPr>
          <w:rFonts w:ascii="Times New Roman" w:cs="Times New Roman" w:eastAsia="Times New Roman" w:hAnsi="Times New Roman"/>
          <w:sz w:val="16"/>
          <w:szCs w:val="16"/>
          <w:u w:val="single" w:color="auto"/>
          <w:color w:val="auto"/>
        </w:rPr>
        <w:t>NASDAQ</w:t>
      </w:r>
      <w:r>
        <w:rPr>
          <w:rFonts w:ascii="Times New Roman" w:cs="Times New Roman" w:eastAsia="Times New Roman" w:hAnsi="Times New Roman"/>
          <w:sz w:val="16"/>
          <w:szCs w:val="16"/>
          <w:color w:val="auto"/>
        </w:rPr>
        <w:t>”), subject to official notice of issuance;</w:t>
      </w:r>
    </w:p>
    <w:p>
      <w:pPr>
        <w:spacing w:after="0" w:line="155" w:lineRule="exact"/>
        <w:rPr>
          <w:rFonts w:ascii="Times New Roman" w:cs="Times New Roman" w:eastAsia="Times New Roman" w:hAnsi="Times New Roman"/>
          <w:sz w:val="16"/>
          <w:szCs w:val="16"/>
          <w:color w:val="auto"/>
        </w:rPr>
      </w:pPr>
    </w:p>
    <w:p>
      <w:pPr>
        <w:ind w:right="20" w:firstLine="1238"/>
        <w:spacing w:after="0" w:line="280" w:lineRule="auto"/>
        <w:tabs>
          <w:tab w:leader="none" w:pos="1482" w:val="left"/>
        </w:tabs>
        <w:numPr>
          <w:ilvl w:val="2"/>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conditions precedent to the closing of the Transaction set forth in the Transaction Agreement, including the approval of the Company’s stockholders, shall have been satisfied or waived, and the closing of the Transaction shall be scheduled to occur concurrently with or immediately following the Closing;</w:t>
      </w:r>
    </w:p>
    <w:p>
      <w:pPr>
        <w:spacing w:after="0" w:line="144" w:lineRule="exact"/>
        <w:rPr>
          <w:rFonts w:ascii="Times New Roman" w:cs="Times New Roman" w:eastAsia="Times New Roman" w:hAnsi="Times New Roman"/>
          <w:sz w:val="16"/>
          <w:szCs w:val="16"/>
          <w:color w:val="auto"/>
        </w:rPr>
      </w:pPr>
    </w:p>
    <w:p>
      <w:pPr>
        <w:jc w:val="both"/>
        <w:ind w:firstLine="1238"/>
        <w:spacing w:after="0" w:line="255" w:lineRule="auto"/>
        <w:tabs>
          <w:tab w:leader="none" w:pos="1523" w:val="left"/>
        </w:tabs>
        <w:numPr>
          <w:ilvl w:val="2"/>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governmental authority shall have enacted, issued, promulgated, enforced or entered any judgment, order, law, rule or regulation (whether temporary, preliminary or permanent) which is then in effect and has the effect of making consummation of the transactions contemplated hereby illegal or otherwise restraining or prohibiting consummation of the transactions contemplated hereby (except in the case of a governmental authority located outside the United States where such judgment, order, law, rule or regulation would not be reasonably expected to have a Company Material Adverse Effect (as defined below)); and no such governmental authority shall have instituted or threatened in writing a proceeding seeking to impose any such restraint or prohibition (except in the case of a governmental authority located outside the United States where such restraint or prohibition would not be reasonably expected to have a Company Material Adverse Effect).</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41" w:name="page142"/>
    <w:bookmarkEnd w:id="141"/>
    <w:p>
      <w:pPr>
        <w:ind w:right="20" w:firstLine="828"/>
        <w:spacing w:after="0" w:line="280" w:lineRule="auto"/>
        <w:rPr>
          <w:sz w:val="20"/>
          <w:szCs w:val="20"/>
          <w:color w:val="auto"/>
        </w:rPr>
      </w:pPr>
      <w:r>
        <w:rPr>
          <w:rFonts w:ascii="Times New Roman" w:cs="Times New Roman" w:eastAsia="Times New Roman" w:hAnsi="Times New Roman"/>
          <w:sz w:val="16"/>
          <w:szCs w:val="16"/>
          <w:color w:val="auto"/>
        </w:rPr>
        <w:t>d. The obligation of the Company to consummate the Closing shall be subject to the satisfaction or valid waiver in writing by the Company of the additional conditions that, on the Closing Date:</w:t>
      </w:r>
    </w:p>
    <w:p>
      <w:pPr>
        <w:spacing w:after="0" w:line="144" w:lineRule="exact"/>
        <w:rPr>
          <w:sz w:val="20"/>
          <w:szCs w:val="20"/>
          <w:color w:val="auto"/>
        </w:rPr>
      </w:pPr>
    </w:p>
    <w:p>
      <w:pPr>
        <w:jc w:val="both"/>
        <w:ind w:right="20" w:firstLine="1238"/>
        <w:spacing w:after="0" w:line="259" w:lineRule="auto"/>
        <w:tabs>
          <w:tab w:leader="none" w:pos="1433" w:val="left"/>
        </w:tabs>
        <w:numPr>
          <w:ilvl w:val="1"/>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representations and warranties of Subscriber contained in this Subscription Agreement are true and correct in all material respects (other than (x) those representations and warranties expressly made as of an earlier date, which shall be true and correct in all material respects as of such date, and (y) representations and warranties that are qualified as to materiality or Subscriber Material Adverse Effect (as defined below), which representations and warranties shall be true in all respects) at and as of the Closing Date; and</w:t>
      </w:r>
    </w:p>
    <w:p>
      <w:pPr>
        <w:spacing w:after="0" w:line="161" w:lineRule="exact"/>
        <w:rPr>
          <w:rFonts w:ascii="Times New Roman" w:cs="Times New Roman" w:eastAsia="Times New Roman" w:hAnsi="Times New Roman"/>
          <w:sz w:val="16"/>
          <w:szCs w:val="16"/>
          <w:color w:val="auto"/>
        </w:rPr>
      </w:pPr>
    </w:p>
    <w:p>
      <w:pPr>
        <w:jc w:val="both"/>
        <w:ind w:right="20" w:firstLine="1238"/>
        <w:spacing w:after="0" w:line="265" w:lineRule="auto"/>
        <w:tabs>
          <w:tab w:leader="none" w:pos="1512" w:val="left"/>
        </w:tabs>
        <w:numPr>
          <w:ilvl w:val="1"/>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shall have performed, satisfied and complied in all material respects with all covenants, agreements and conditions required by this Subscription Agreement to be performed, satisfied or complied with by it at or prior to the Closing, except where the failure of such performance or compliance would not reasonably be expected to prevent, materially delay or materially impair the ability of the Company to consummate the Closing.</w:t>
      </w:r>
    </w:p>
    <w:p>
      <w:pPr>
        <w:spacing w:after="0" w:line="155" w:lineRule="exact"/>
        <w:rPr>
          <w:rFonts w:ascii="Times New Roman" w:cs="Times New Roman" w:eastAsia="Times New Roman" w:hAnsi="Times New Roman"/>
          <w:sz w:val="16"/>
          <w:szCs w:val="16"/>
          <w:color w:val="auto"/>
        </w:rPr>
      </w:pPr>
    </w:p>
    <w:p>
      <w:pPr>
        <w:ind w:left="980" w:hanging="156"/>
        <w:spacing w:after="0"/>
        <w:tabs>
          <w:tab w:leader="none" w:pos="980" w:val="left"/>
        </w:tabs>
        <w:numPr>
          <w:ilvl w:val="0"/>
          <w:numId w:val="1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obligation of Subscriber to consummate the Closing shall be subject to the satisfaction or valid waiver by Subscriber of the additional conditions that, on the</w:t>
      </w:r>
    </w:p>
    <w:p>
      <w:pPr>
        <w:spacing w:after="0" w:line="35"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Closing Date:</w:t>
      </w:r>
    </w:p>
    <w:p>
      <w:pPr>
        <w:spacing w:after="0" w:line="181" w:lineRule="exact"/>
        <w:rPr>
          <w:rFonts w:ascii="Times New Roman" w:cs="Times New Roman" w:eastAsia="Times New Roman" w:hAnsi="Times New Roman"/>
          <w:sz w:val="15"/>
          <w:szCs w:val="15"/>
          <w:color w:val="auto"/>
        </w:rPr>
      </w:pPr>
    </w:p>
    <w:p>
      <w:pPr>
        <w:jc w:val="both"/>
        <w:ind w:firstLine="1238"/>
        <w:spacing w:after="0" w:line="259" w:lineRule="auto"/>
        <w:tabs>
          <w:tab w:leader="none" w:pos="1442" w:val="left"/>
        </w:tabs>
        <w:numPr>
          <w:ilvl w:val="1"/>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representations and warranties of the Company contained in this Subscription Agreement are true and correct in all material respects (other than (x) those representations and warranties expressly made as of an earlier date, which shall be true and correct in all material respects as of such date, and (y) representations and warranties that are qualified as to materiality or Company Material Adverse Effect (as defined below), which representations and warranties shall be true in all respects) at and as of the Closing Date;</w:t>
      </w:r>
    </w:p>
    <w:p>
      <w:pPr>
        <w:spacing w:after="0" w:line="161" w:lineRule="exact"/>
        <w:rPr>
          <w:rFonts w:ascii="Times New Roman" w:cs="Times New Roman" w:eastAsia="Times New Roman" w:hAnsi="Times New Roman"/>
          <w:sz w:val="16"/>
          <w:szCs w:val="16"/>
          <w:color w:val="auto"/>
        </w:rPr>
      </w:pPr>
    </w:p>
    <w:p>
      <w:pPr>
        <w:ind w:right="20" w:firstLine="1238"/>
        <w:spacing w:after="0" w:line="280" w:lineRule="auto"/>
        <w:tabs>
          <w:tab w:leader="none" w:pos="1502" w:val="left"/>
        </w:tabs>
        <w:numPr>
          <w:ilvl w:val="1"/>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performed, satisfied and complied in all material respects with all covenants, agreements and conditions required by this Subscription Agreement to be performed, satisfied or complied with by it at or prior to the Closing;</w:t>
      </w:r>
    </w:p>
    <w:p>
      <w:pPr>
        <w:spacing w:after="0" w:line="144" w:lineRule="exact"/>
        <w:rPr>
          <w:rFonts w:ascii="Times New Roman" w:cs="Times New Roman" w:eastAsia="Times New Roman" w:hAnsi="Times New Roman"/>
          <w:sz w:val="16"/>
          <w:szCs w:val="16"/>
          <w:color w:val="auto"/>
        </w:rPr>
      </w:pPr>
    </w:p>
    <w:p>
      <w:pPr>
        <w:jc w:val="both"/>
        <w:ind w:right="20" w:firstLine="1238"/>
        <w:spacing w:after="0" w:line="265" w:lineRule="auto"/>
        <w:tabs>
          <w:tab w:leader="none" w:pos="1523" w:val="left"/>
        </w:tabs>
        <w:numPr>
          <w:ilvl w:val="1"/>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shall have been no amendment, waiver or modification to the Transaction Agreement after the date hereof that materially and adversely affects the Company or the economic benefits that Subscriber would reasonably expect to receive under this Subscription Agreement without having received Subscriber’s prior written consent;</w:t>
      </w:r>
    </w:p>
    <w:p>
      <w:pPr>
        <w:spacing w:after="0" w:line="155" w:lineRule="exact"/>
        <w:rPr>
          <w:rFonts w:ascii="Times New Roman" w:cs="Times New Roman" w:eastAsia="Times New Roman" w:hAnsi="Times New Roman"/>
          <w:sz w:val="16"/>
          <w:szCs w:val="16"/>
          <w:color w:val="auto"/>
        </w:rPr>
      </w:pPr>
    </w:p>
    <w:p>
      <w:pPr>
        <w:jc w:val="both"/>
        <w:ind w:firstLine="1238"/>
        <w:spacing w:after="0" w:line="253" w:lineRule="auto"/>
        <w:tabs>
          <w:tab w:leader="none" w:pos="1528" w:val="left"/>
        </w:tabs>
        <w:numPr>
          <w:ilvl w:val="1"/>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have entered into any Other Subscription Agreement relating to Common Stock with a lower Per Share Price or other terms (economic or otherwise) more favorable to such Other Subscriber than as set forth in this Subscription Agreement, other than with respect to (a) the amounts, price and types of the Company’s securities to be subscribed for and purchased by the Other Subscribers and any terms relating to such other types of the Company’s securities, (b) certain fees payable by Presto to and certain board observer rights granted to Silver Rock, (c) the purchase of Common Stock from the Sponsors, (d) certain rights to nominate a member of the Company’s board of directors after and contingent upon the Closing, (e) certain closing conditions in the Other Subscription Agreements relating to the Notes and certain representations related to the payment of expenses in the Transaction, (f) (i) any rights or benefits granted to an Other Subscriber in connection with such Other Subscriber’s compliance with any law, regulation or policy specifically applicable to such Other Subscriber or in connection with the taxable status of an Other Subscriber and (ii) any rights with respect to the confidentiality or disclosure of an Other Subscriber’s identity and (g) certain registration rights;</w:t>
      </w:r>
    </w:p>
    <w:p>
      <w:pPr>
        <w:spacing w:after="0" w:line="169" w:lineRule="exact"/>
        <w:rPr>
          <w:rFonts w:ascii="Times New Roman" w:cs="Times New Roman" w:eastAsia="Times New Roman" w:hAnsi="Times New Roman"/>
          <w:sz w:val="16"/>
          <w:szCs w:val="16"/>
          <w:color w:val="auto"/>
        </w:rPr>
      </w:pPr>
    </w:p>
    <w:p>
      <w:pPr>
        <w:ind w:left="1460" w:hanging="222"/>
        <w:spacing w:after="0"/>
        <w:tabs>
          <w:tab w:leader="none" w:pos="1460" w:val="left"/>
        </w:tabs>
        <w:numPr>
          <w:ilvl w:val="1"/>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has not occurred a Company Material Adverse Effect; and</w:t>
      </w:r>
    </w:p>
    <w:p>
      <w:pPr>
        <w:spacing w:after="0" w:line="198" w:lineRule="exact"/>
        <w:rPr>
          <w:rFonts w:ascii="Times New Roman" w:cs="Times New Roman" w:eastAsia="Times New Roman" w:hAnsi="Times New Roman"/>
          <w:sz w:val="16"/>
          <w:szCs w:val="16"/>
          <w:color w:val="auto"/>
        </w:rPr>
      </w:pPr>
    </w:p>
    <w:p>
      <w:pPr>
        <w:jc w:val="both"/>
        <w:ind w:firstLine="1238"/>
        <w:spacing w:after="0" w:line="257" w:lineRule="auto"/>
        <w:tabs>
          <w:tab w:leader="none" w:pos="1536" w:val="left"/>
        </w:tabs>
        <w:numPr>
          <w:ilvl w:val="1"/>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not have received any consideration from any Other Subscriber that is not otherwise contemplated in such Other Subscription Agreement as in effect as of the date hereof in order to, directly or indirectly, induce the Company or any Subsidiary (i) to treat such Other Subscriber in a manner that is more favorable than the Subscriber, or (ii) to treat the Subscriber in a manner that is less favorable than any Other Subscriber;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determination of whether the Subscriber has been treated more or less favorably than any Other Subscriber shall disregard any other securities (other than the Subscribed Shares) of the Company purchased by the Subscriber or Other Subscriber, respectively.</w:t>
      </w:r>
    </w:p>
    <w:p>
      <w:pPr>
        <w:spacing w:after="0" w:line="162" w:lineRule="exact"/>
        <w:rPr>
          <w:rFonts w:ascii="Times New Roman" w:cs="Times New Roman" w:eastAsia="Times New Roman" w:hAnsi="Times New Roman"/>
          <w:sz w:val="16"/>
          <w:szCs w:val="16"/>
          <w:color w:val="auto"/>
        </w:rPr>
      </w:pPr>
    </w:p>
    <w:p>
      <w:pPr>
        <w:ind w:left="960" w:hanging="136"/>
        <w:spacing w:after="0"/>
        <w:tabs>
          <w:tab w:leader="none" w:pos="960" w:val="left"/>
        </w:tabs>
        <w:numPr>
          <w:ilvl w:val="0"/>
          <w:numId w:val="1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to or at the Closing, Subscriber shall deliver to the Company a duly completed and executed Internal Revenue Service Form W-9 or appropriate Form W-8.</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42" w:name="page143"/>
    <w:bookmarkEnd w:id="142"/>
    <w:p>
      <w:pPr>
        <w:ind w:left="820"/>
        <w:spacing w:after="0"/>
        <w:rPr>
          <w:sz w:val="20"/>
          <w:szCs w:val="20"/>
          <w:color w:val="auto"/>
        </w:rPr>
      </w:pPr>
      <w:r>
        <w:rPr>
          <w:rFonts w:ascii="Times New Roman" w:cs="Times New Roman" w:eastAsia="Times New Roman" w:hAnsi="Times New Roman"/>
          <w:sz w:val="16"/>
          <w:szCs w:val="16"/>
          <w:color w:val="auto"/>
        </w:rPr>
        <w:t>g. For the avoidance of doubt, the Closing shall not be subject to Company’s consummation of the transactions pursuant to the Other Subscription Agreements.</w:t>
      </w:r>
    </w:p>
    <w:p>
      <w:pPr>
        <w:spacing w:after="0" w:line="198" w:lineRule="exact"/>
        <w:rPr>
          <w:sz w:val="20"/>
          <w:szCs w:val="20"/>
          <w:color w:val="auto"/>
        </w:rPr>
      </w:pPr>
    </w:p>
    <w:p>
      <w:pPr>
        <w:ind w:left="540" w:hanging="162"/>
        <w:spacing w:after="0"/>
        <w:tabs>
          <w:tab w:leader="none" w:pos="54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Company Representations and Warranties</w:t>
      </w:r>
      <w:r>
        <w:rPr>
          <w:rFonts w:ascii="Times New Roman" w:cs="Times New Roman" w:eastAsia="Times New Roman" w:hAnsi="Times New Roman"/>
          <w:sz w:val="16"/>
          <w:szCs w:val="16"/>
          <w:color w:val="auto"/>
        </w:rPr>
        <w:t>. The Company represents and warrants to Subscriber that:</w:t>
      </w:r>
    </w:p>
    <w:p>
      <w:pPr>
        <w:spacing w:after="0" w:line="198" w:lineRule="exact"/>
        <w:rPr>
          <w:rFonts w:ascii="Times New Roman" w:cs="Times New Roman" w:eastAsia="Times New Roman" w:hAnsi="Times New Roman"/>
          <w:sz w:val="16"/>
          <w:szCs w:val="16"/>
          <w:color w:val="auto"/>
        </w:rPr>
      </w:pPr>
    </w:p>
    <w:p>
      <w:pPr>
        <w:jc w:val="both"/>
        <w:ind w:firstLine="824"/>
        <w:spacing w:after="0" w:line="252" w:lineRule="auto"/>
        <w:tabs>
          <w:tab w:leader="none" w:pos="993" w:val="left"/>
        </w:tabs>
        <w:numPr>
          <w:ilvl w:val="1"/>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 is duly organized, validly existing and in good standing under the laws of its jurisdiction of incorporation; (ii) has the requisite power and authority to own, lease and operate its properties, to carry on its business as it is now being conducted and to enter into, deliver and perform its obligations under this Subscription Agreement;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Subscription Agreement, a “</w:t>
      </w:r>
      <w:r>
        <w:rPr>
          <w:rFonts w:ascii="Times New Roman" w:cs="Times New Roman" w:eastAsia="Times New Roman" w:hAnsi="Times New Roman"/>
          <w:sz w:val="16"/>
          <w:szCs w:val="16"/>
          <w:u w:val="single" w:color="auto"/>
          <w:color w:val="auto"/>
        </w:rPr>
        <w:t>Company Material Adverse Effect</w:t>
      </w:r>
      <w:r>
        <w:rPr>
          <w:rFonts w:ascii="Times New Roman" w:cs="Times New Roman" w:eastAsia="Times New Roman" w:hAnsi="Times New Roman"/>
          <w:sz w:val="16"/>
          <w:szCs w:val="16"/>
          <w:color w:val="auto"/>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Subscription Agreement, including the sale of the Subscribed Shares, the Transaction Agreement or the consummation of the Transaction.</w:t>
      </w:r>
    </w:p>
    <w:p>
      <w:pPr>
        <w:spacing w:after="0" w:line="171" w:lineRule="exact"/>
        <w:rPr>
          <w:rFonts w:ascii="Times New Roman" w:cs="Times New Roman" w:eastAsia="Times New Roman" w:hAnsi="Times New Roman"/>
          <w:sz w:val="16"/>
          <w:szCs w:val="16"/>
          <w:color w:val="auto"/>
        </w:rPr>
      </w:pPr>
    </w:p>
    <w:p>
      <w:pPr>
        <w:jc w:val="both"/>
        <w:ind w:right="20" w:firstLine="824"/>
        <w:spacing w:after="0" w:line="257" w:lineRule="auto"/>
        <w:tabs>
          <w:tab w:leader="none" w:pos="991" w:val="left"/>
        </w:tabs>
        <w:numPr>
          <w:ilvl w:val="1"/>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Closing Date, the Subscribed Shares will be duly authorized and, when issued and delivered to Subscriber against full payment therefor in accordance with the terms of this Subscription Agreement, will be validly issued and will constitute legal, valid and binding obligations of the Company, enforceable against the Company in accordance with their terms, except that the enforcement thereof may be subject to applicable bankruptcy, insolvency or similar laws affecting creditors’ rights generally or by equitable principles relating to enforceability (collectively, the “</w:t>
      </w:r>
      <w:r>
        <w:rPr>
          <w:rFonts w:ascii="Times New Roman" w:cs="Times New Roman" w:eastAsia="Times New Roman" w:hAnsi="Times New Roman"/>
          <w:sz w:val="16"/>
          <w:szCs w:val="16"/>
          <w:u w:val="single" w:color="auto"/>
          <w:color w:val="auto"/>
        </w:rPr>
        <w:t>Enforceability Exceptions</w:t>
      </w:r>
      <w:r>
        <w:rPr>
          <w:rFonts w:ascii="Times New Roman" w:cs="Times New Roman" w:eastAsia="Times New Roman" w:hAnsi="Times New Roman"/>
          <w:sz w:val="16"/>
          <w:szCs w:val="16"/>
          <w:color w:val="auto"/>
        </w:rPr>
        <w:t>”), and will not have been issued in violation of any preemptive rights created under the Company’s organizational documents or the laws of the State of Delaware.</w:t>
      </w:r>
    </w:p>
    <w:p>
      <w:pPr>
        <w:spacing w:after="0" w:line="162" w:lineRule="exact"/>
        <w:rPr>
          <w:rFonts w:ascii="Times New Roman" w:cs="Times New Roman" w:eastAsia="Times New Roman" w:hAnsi="Times New Roman"/>
          <w:sz w:val="16"/>
          <w:szCs w:val="16"/>
          <w:color w:val="auto"/>
        </w:rPr>
      </w:pPr>
    </w:p>
    <w:p>
      <w:pPr>
        <w:jc w:val="both"/>
        <w:ind w:right="20" w:firstLine="824"/>
        <w:spacing w:after="0" w:line="265" w:lineRule="auto"/>
        <w:tabs>
          <w:tab w:leader="none" w:pos="983" w:val="left"/>
        </w:tabs>
        <w:numPr>
          <w:ilvl w:val="1"/>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Subscription Agreement has been duly authorized, executed and delivered by the Company, and assuming the due authorization, execution and delivery of the same by Subscriber, this Subscription Agreement shall constitute the valid and legally binding obligation of the Company, enforceable against the Company in accordance with its terms, except that the enforcement thereof may be subject to the Enforceability Exceptions.</w:t>
      </w:r>
    </w:p>
    <w:p>
      <w:pPr>
        <w:spacing w:after="0" w:line="155" w:lineRule="exact"/>
        <w:rPr>
          <w:rFonts w:ascii="Times New Roman" w:cs="Times New Roman" w:eastAsia="Times New Roman" w:hAnsi="Times New Roman"/>
          <w:sz w:val="16"/>
          <w:szCs w:val="16"/>
          <w:color w:val="auto"/>
        </w:rPr>
      </w:pPr>
    </w:p>
    <w:p>
      <w:pPr>
        <w:jc w:val="both"/>
        <w:ind w:firstLine="824"/>
        <w:spacing w:after="0" w:line="253" w:lineRule="auto"/>
        <w:tabs>
          <w:tab w:leader="none" w:pos="994" w:val="left"/>
        </w:tabs>
        <w:numPr>
          <w:ilvl w:val="1"/>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execution and delivery of this Subscription Agreement, the issuance and sale of the Subscribed Shares and the compliance by the Company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 (i) and (iii), would reasonably be expected to have a Company Material Adverse Effect or have a material adverse effect on the Company’s ability to consummate the transactions contemplated hereby, including the issuance and sale of the Subscribed Shares.</w:t>
      </w:r>
    </w:p>
    <w:p>
      <w:pPr>
        <w:spacing w:after="0" w:line="169" w:lineRule="exact"/>
        <w:rPr>
          <w:rFonts w:ascii="Times New Roman" w:cs="Times New Roman" w:eastAsia="Times New Roman" w:hAnsi="Times New Roman"/>
          <w:sz w:val="16"/>
          <w:szCs w:val="16"/>
          <w:color w:val="auto"/>
        </w:rPr>
      </w:pPr>
    </w:p>
    <w:p>
      <w:pPr>
        <w:jc w:val="both"/>
        <w:ind w:firstLine="824"/>
        <w:spacing w:after="0" w:line="252" w:lineRule="auto"/>
        <w:tabs>
          <w:tab w:leader="none" w:pos="980" w:val="left"/>
        </w:tabs>
        <w:numPr>
          <w:ilvl w:val="1"/>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Assuming the accuracy of the representations and warranties of Subscriber, the Company is not required to obtain any consent, waiver, authorization or order of, give any notice to, or make any filing or registration with, any court or other federal, state, local or other governmental authority, self-regulatory organization (including the Nasdaq Stock Market) or other person in connection with the execution, delivery and performance of this Subscription Agreement (including, without limitation, the issuance of the Subscribed Shares), other than (i) filings required by applicable state securities laws; (ii) the filing of a shelf registration statement pursuant to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below; (iii) the filing of a Notice of Exempt Offering of Securities on Form D with the United States Securities and Exchange Commission (“</w:t>
      </w:r>
      <w:r>
        <w:rPr>
          <w:rFonts w:ascii="Times New Roman" w:cs="Times New Roman" w:eastAsia="Times New Roman" w:hAnsi="Times New Roman"/>
          <w:sz w:val="16"/>
          <w:szCs w:val="16"/>
          <w:u w:val="single" w:color="auto"/>
          <w:color w:val="auto"/>
        </w:rPr>
        <w:t>Commission</w:t>
      </w:r>
      <w:r>
        <w:rPr>
          <w:rFonts w:ascii="Times New Roman" w:cs="Times New Roman" w:eastAsia="Times New Roman" w:hAnsi="Times New Roman"/>
          <w:sz w:val="16"/>
          <w:szCs w:val="16"/>
          <w:color w:val="auto"/>
        </w:rPr>
        <w:t>”) under Regulation D of the Securities Act of 1933, as amended (the “</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if applicable; (iv) those required by the Nasdaq Stock Market, including with respect to obtaining shareholder approval; (v) those required to consummate the Transaction as provided under the Transaction Agreement; (vi) the filing of notification under the Hart-Scott-Rodino Antitrust Improvements Act of 1976, if applicable; (vii) such as have been or will have been obtained, made or given on or prior to the Closing Date, and (viii) the failure of which to obtain would not be reasonably likely to have a Company Material Adverse Effect or have a material adverse effect on the Company’s ability to consummate the transactions contemplated hereby, including the issuance and sale of the Subscribed Shares.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43" w:name="page144"/>
    <w:bookmarkEnd w:id="143"/>
    <w:p>
      <w:pPr>
        <w:jc w:val="both"/>
        <w:ind w:firstLine="828"/>
        <w:spacing w:after="0" w:line="252" w:lineRule="auto"/>
        <w:rPr>
          <w:sz w:val="20"/>
          <w:szCs w:val="20"/>
          <w:color w:val="auto"/>
        </w:rPr>
      </w:pPr>
      <w:r>
        <w:rPr>
          <w:rFonts w:ascii="Times New Roman" w:cs="Times New Roman" w:eastAsia="Times New Roman" w:hAnsi="Times New Roman"/>
          <w:sz w:val="16"/>
          <w:szCs w:val="16"/>
          <w:color w:val="auto"/>
        </w:rPr>
        <w:t>f. As of their respective dates, all reports required to be filed by the Company with the Commission (the “</w:t>
      </w:r>
      <w:r>
        <w:rPr>
          <w:rFonts w:ascii="Times New Roman" w:cs="Times New Roman" w:eastAsia="Times New Roman" w:hAnsi="Times New Roman"/>
          <w:sz w:val="16"/>
          <w:szCs w:val="16"/>
          <w:u w:val="single" w:color="auto"/>
          <w:color w:val="auto"/>
        </w:rPr>
        <w:t>SEC Reports</w:t>
      </w:r>
      <w:r>
        <w:rPr>
          <w:rFonts w:ascii="Times New Roman" w:cs="Times New Roman" w:eastAsia="Times New Roman" w:hAnsi="Times New Roman"/>
          <w:sz w:val="16"/>
          <w:szCs w:val="16"/>
          <w:color w:val="auto"/>
        </w:rPr>
        <w:t>”) complied in all material respects with the requirements of the Securities Act and the Securities Exchange Act of 1934, as amended (the “</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and the rules and regulations of the Commission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and fairly present in all material respects the financial position of the Company as of and for the dates thereof and the results of operations and cash flows for the periods then ended, subject, in the case of unaudited statements, to normal, year-end audit adjustments. The description of the business and financial information of Presto set forth in the presentation dated April 2022 (the “</w:t>
      </w:r>
      <w:r>
        <w:rPr>
          <w:rFonts w:ascii="Times New Roman" w:cs="Times New Roman" w:eastAsia="Times New Roman" w:hAnsi="Times New Roman"/>
          <w:sz w:val="16"/>
          <w:szCs w:val="16"/>
          <w:u w:val="single" w:color="auto"/>
          <w:color w:val="auto"/>
        </w:rPr>
        <w:t>Investor Presentation</w:t>
      </w:r>
      <w:r>
        <w:rPr>
          <w:rFonts w:ascii="Times New Roman" w:cs="Times New Roman" w:eastAsia="Times New Roman" w:hAnsi="Times New Roman"/>
          <w:sz w:val="16"/>
          <w:szCs w:val="16"/>
          <w:color w:val="auto"/>
        </w:rPr>
        <w:t>”) made available to the undersigned prior to the execution of this Subscription Agreement, and as amended through the Closing Date, shall be consistent in all material respects with the description of the business and financial information of Presto described or included in the definitive proxy statement of the Company filed in connection with the approval of the Transaction by the stockholders of the Company. Notwithstanding the foregoing, with respect to the proxy statement/prospectus filed or to be filed by the Company with respect to the Transactions or any other information relating to the Transactions or to Presto or any of its affiliates included in any SEC Report or filed as an exhibit thereto, the representation and warranty in this sentence is made to the Company’s knowledge.</w:t>
      </w:r>
    </w:p>
    <w:p>
      <w:pPr>
        <w:spacing w:after="0" w:line="165" w:lineRule="exact"/>
        <w:rPr>
          <w:sz w:val="20"/>
          <w:szCs w:val="20"/>
          <w:color w:val="auto"/>
        </w:rPr>
      </w:pPr>
    </w:p>
    <w:p>
      <w:pPr>
        <w:jc w:val="both"/>
        <w:ind w:firstLine="828"/>
        <w:spacing w:after="0" w:line="250" w:lineRule="auto"/>
        <w:rPr>
          <w:sz w:val="20"/>
          <w:szCs w:val="20"/>
          <w:color w:val="auto"/>
        </w:rPr>
      </w:pPr>
      <w:r>
        <w:rPr>
          <w:rFonts w:ascii="Times New Roman" w:cs="Times New Roman" w:eastAsia="Times New Roman" w:hAnsi="Times New Roman"/>
          <w:sz w:val="16"/>
          <w:szCs w:val="16"/>
          <w:color w:val="auto"/>
        </w:rPr>
        <w:t>g. As of the date hereof and as of immediately prior to the Closing, the authorized share capital of the Company consists of 50,000,000 shares of Common stock and 1,000,000 preferred shares, par value $0.0001 per share (“Preferred Shares”). As of the Closing Date (and immediately after the consummation of the Transaction), the authorized share capital of the Company will consist of 180,000,000 shares of Common Stock and 1,500,000 Preferred Shares. As of the date hereof and as of immediately prior to the Closing: (i) 1,255,018 shares of Common Stock (excluding shares of Common Stock that are owned by the Sponsors and other insiders of the Company (the “Founder Shares”)), 4,312,500 Founder Shares and no Preferred Shares were issued and outstanding; (ii) 17,250,000 public warrants, each exercisable to purchase one-half of one share of Common Stock at $11.50 per full share and 6,675,000 private placement warrants, (including 900,000 private placement warrants that will be cancelled at the Closing Date) each exercisable to purchase one share of Common Stock at $11.50 per full share (together “</w:t>
      </w:r>
      <w:r>
        <w:rPr>
          <w:rFonts w:ascii="Times New Roman" w:cs="Times New Roman" w:eastAsia="Times New Roman" w:hAnsi="Times New Roman"/>
          <w:sz w:val="16"/>
          <w:szCs w:val="16"/>
          <w:u w:val="single" w:color="auto"/>
          <w:color w:val="auto"/>
        </w:rPr>
        <w:t>Warrants</w:t>
      </w:r>
      <w:r>
        <w:rPr>
          <w:rFonts w:ascii="Times New Roman" w:cs="Times New Roman" w:eastAsia="Times New Roman" w:hAnsi="Times New Roman"/>
          <w:sz w:val="16"/>
          <w:szCs w:val="16"/>
          <w:color w:val="auto"/>
        </w:rPr>
        <w:t>”), were issued and outstanding; (iii) 17,250,000 rights, each right entitling the holder to receive one-twentieth of one share of common stock upon the consummation of the Transaction; and (iv) no Common Stock was subject to issuance upon exercise of outstanding options. As of the date hereof, the Company has no outstanding long-term indebtedness for borrowed money that is or would be required to be recognized as a long-term liability in accordance with generally accepted accounting principles (other than fees payable under the business combination marketing agreement entered into in connection with its initial public offering and/or warrant liability accounting treatment of the Company’s private placement warrants and/or public warrants) and will not have any long-term indebtedness for borrowed money that is or would be required to be recognized as a long-term liability in accordance with generally accepted accounting principles immediately prior to and as of the Closing (other than indebtedness disclosed in the SEC Reports or the Company’s registration statement on Form S-4 (No. 333-263516), as amended, prior to the Closing Date) and all outstanding convertible promissory notes heretofore issued by Presto will have been converted into Common Stock pursuant to the terms of the Transaction Agreement as of the Closing. Immediately following the Closing, (i) 2,779,187 Founder Shares (including 90,000 Founder Shares not held by the Sponsors) and 6,675,000 private placement warrants (including 900,000 private placement warrants that will be cancelled at the Closing Date) will be fully vested, (ii) 444,500 Founder Shares are subject to vesting pursuant to the vesting provisions set forth in that certain Amended and Restated Sponsors Support Agreement dated July 25, 2022 and (iii) the public warrants will have an exercise price of $8.21. No Warrants are exercisable on or prior to the Closing. All (i) issued and outstanding Common Stock has been duly authorized and validly issued, is fully paid and non-assessable and is not subject to preemptive rights and (ii) outstanding Warrants have been duly authorized and validly issued, are fully paid and are not subject to preemptive rights. As of the date hereof, except as set forth above and pursuant to (i) this Agreement, (ii) the Other Subscription Agreements, (iii) the Transaction Agreement, or (iv) any agreement(s) that the Company may enter into with third parties for the purpose of recapturing or reducing the shares of Common Stock redeemed by public shareholders, (such agreement(s), the “</w:t>
      </w:r>
      <w:r>
        <w:rPr>
          <w:rFonts w:ascii="Times New Roman" w:cs="Times New Roman" w:eastAsia="Times New Roman" w:hAnsi="Times New Roman"/>
          <w:sz w:val="16"/>
          <w:szCs w:val="16"/>
          <w:u w:val="single" w:color="auto"/>
          <w:color w:val="auto"/>
        </w:rPr>
        <w:t>Forward Purchase Agreement</w:t>
      </w:r>
      <w:r>
        <w:rPr>
          <w:rFonts w:ascii="Times New Roman" w:cs="Times New Roman" w:eastAsia="Times New Roman" w:hAnsi="Times New Roman"/>
          <w:sz w:val="16"/>
          <w:szCs w:val="16"/>
          <w:color w:val="auto"/>
        </w:rPr>
        <w:t>”), there are no outstanding options, warrants or other rights to subscribe for, purchase or acquire from the Company any Common Stock or other equity interests in the Company (collectively, “Equity Interests”) or securities convertible into or exchangeable or exercisable for Equity Interests. As of the date hereof, the Company has no subsidiaries and does not own, directly or indirectly, interests or investments (whether equity or debt) in any person, whether incorporated or unincorporated. There are no stockholder agreements, voting trusts or other agreements or understandings to which the Company is a party or by which it is bound relating to the voting of any Equity Interests, other than (A) the letter agreements entered into by the Company in connection with the Company’s initial public offering on December 30, 2020 pursuant to which the Company’s sponsor and the Company’s executive officers and independent directors agreed to vote in favor of any proposed Business Combination (as defined therein), which includes the Transaction, (B) as contemplated by the Transaction Agreement and (C) the Forward Purchase Agreement. With the exception of the Warrants, there are no securities or instruments issued by or to which the Company is a party containing anti-dilution or similar provisions that will be triggered by the issuance of (i) the Subscribed Shares or (ii) the securities to be issued pursuant to any Other Subscription Agreement. Subscriber understands and acknowledges the Sponsors may from time to time enter into various agreements relating to the transfer of the Founder Shares and private placement warrants in furtherance of the Transaction, and that such agreements shall not be in violation of this Subscription Agreement so long as the aggregate number of outstanding Founder Shares or private placement warrants do not increase, the Sponsors shall promptly notify Subscriber if the aggregate number of Founder Shares or private placement warrants decrease as a result of such agreements.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44" w:name="page145"/>
    <w:bookmarkEnd w:id="144"/>
    <w:p>
      <w:pPr>
        <w:jc w:val="both"/>
        <w:ind w:firstLine="828"/>
        <w:spacing w:after="0" w:line="257" w:lineRule="auto"/>
        <w:rPr>
          <w:sz w:val="20"/>
          <w:szCs w:val="20"/>
          <w:color w:val="auto"/>
        </w:rPr>
      </w:pPr>
      <w:r>
        <w:rPr>
          <w:rFonts w:ascii="Times New Roman" w:cs="Times New Roman" w:eastAsia="Times New Roman" w:hAnsi="Times New Roman"/>
          <w:sz w:val="16"/>
          <w:szCs w:val="16"/>
          <w:color w:val="auto"/>
        </w:rPr>
        <w:t xml:space="preserve">h. Except for such matters as have not had and would not be reasonably likely to have a Company Material Adverse Effect or have a material adverse effect on the Company’s ability to consummate the transactions contemplated hereby, including the issuance and sale of the Subscribed Shares, as of the date hereof, there is no (i) suit, action, investigation, proceeding or arbitration before a governmental authority or arbitrator pending, or, to the knowledge of the Company, threatened in writing against the Company or any of its directors or officers in their capacities as such or (ii) judgment, decree, injunction, ruling or order of any governmental authority or arbitrator outstanding </w:t>
      </w:r>
      <w:r>
        <w:rPr>
          <w:rFonts w:ascii="Times New Roman" w:cs="Times New Roman" w:eastAsia="Times New Roman" w:hAnsi="Times New Roman"/>
          <w:sz w:val="16"/>
          <w:szCs w:val="16"/>
          <w:i w:val="1"/>
          <w:iCs w:val="1"/>
          <w:color w:val="auto"/>
        </w:rPr>
        <w:t>against</w:t>
      </w:r>
      <w:r>
        <w:rPr>
          <w:rFonts w:ascii="Times New Roman" w:cs="Times New Roman" w:eastAsia="Times New Roman" w:hAnsi="Times New Roman"/>
          <w:sz w:val="16"/>
          <w:szCs w:val="16"/>
          <w:color w:val="auto"/>
        </w:rPr>
        <w:t xml:space="preserve"> the Company or any of its directors or officers in their capacities as such.</w:t>
      </w:r>
    </w:p>
    <w:p>
      <w:pPr>
        <w:spacing w:after="0" w:line="162" w:lineRule="exact"/>
        <w:rPr>
          <w:sz w:val="20"/>
          <w:szCs w:val="20"/>
          <w:color w:val="auto"/>
        </w:rPr>
      </w:pPr>
    </w:p>
    <w:p>
      <w:pPr>
        <w:jc w:val="both"/>
        <w:ind w:firstLine="828"/>
        <w:spacing w:after="0" w:line="255" w:lineRule="auto"/>
        <w:rPr>
          <w:sz w:val="20"/>
          <w:szCs w:val="20"/>
          <w:color w:val="auto"/>
        </w:rPr>
      </w:pPr>
      <w:r>
        <w:rPr>
          <w:rFonts w:ascii="Times New Roman" w:cs="Times New Roman" w:eastAsia="Times New Roman" w:hAnsi="Times New Roman"/>
          <w:sz w:val="16"/>
          <w:szCs w:val="16"/>
          <w:color w:val="auto"/>
        </w:rPr>
        <w:t>i. The issued and outstanding shares of Common Stock are registered pursuant to Section 12(b) of Exchange Act, and are listed for trading on the Nasdaq Stock Market under the symbol “VTAQ.” There is no suit, action, proceeding or investigation pending or, to the knowledge of the Company, threatened against the Company by the Nasdaq Stock Market or the Commission with respect to any intention by such entity to deregister the shares of Common Stock or prohibit or terminate the listing of the shares of Common Stock on the Nasdaq Stock Market. The Company has taken no action that is designed to terminate the registration of the shares of Common Stock under the Exchange Act. The Company has filed a listing application with NASDAQ for the Subscribed Shares and such application has been, or prior to Closing will be, approved by NASDAQ.</w:t>
      </w:r>
    </w:p>
    <w:p>
      <w:pPr>
        <w:spacing w:after="0" w:line="165" w:lineRule="exact"/>
        <w:rPr>
          <w:sz w:val="20"/>
          <w:szCs w:val="20"/>
          <w:color w:val="auto"/>
        </w:rPr>
      </w:pPr>
    </w:p>
    <w:p>
      <w:pPr>
        <w:jc w:val="both"/>
        <w:ind w:right="20" w:firstLine="828"/>
        <w:spacing w:after="0" w:line="280" w:lineRule="auto"/>
        <w:rPr>
          <w:sz w:val="20"/>
          <w:szCs w:val="20"/>
          <w:color w:val="auto"/>
        </w:rPr>
      </w:pPr>
      <w:r>
        <w:rPr>
          <w:rFonts w:ascii="Times New Roman" w:cs="Times New Roman" w:eastAsia="Times New Roman" w:hAnsi="Times New Roman"/>
          <w:sz w:val="16"/>
          <w:szCs w:val="16"/>
          <w:color w:val="auto"/>
        </w:rPr>
        <w:t>j. Upon consummation of the Transaction, the issued and outstanding shares of Common Stock will be registered pursuant to Section 12(b) of the Exchange Act and will be listed for trading on the Nasdaq Stock Market.</w:t>
      </w:r>
    </w:p>
    <w:p>
      <w:pPr>
        <w:spacing w:after="0" w:line="144" w:lineRule="exact"/>
        <w:rPr>
          <w:sz w:val="20"/>
          <w:szCs w:val="20"/>
          <w:color w:val="auto"/>
        </w:rPr>
      </w:pPr>
    </w:p>
    <w:p>
      <w:pPr>
        <w:jc w:val="both"/>
        <w:ind w:right="20" w:firstLine="828"/>
        <w:spacing w:after="0" w:line="280" w:lineRule="auto"/>
        <w:rPr>
          <w:sz w:val="20"/>
          <w:szCs w:val="20"/>
          <w:color w:val="auto"/>
        </w:rPr>
      </w:pPr>
      <w:r>
        <w:rPr>
          <w:rFonts w:ascii="Times New Roman" w:cs="Times New Roman" w:eastAsia="Times New Roman" w:hAnsi="Times New Roman"/>
          <w:sz w:val="16"/>
          <w:szCs w:val="16"/>
          <w:color w:val="auto"/>
        </w:rPr>
        <w:t xml:space="preserve">k. Assuming the accuracy of Subscriber’s representations and warranties set forth in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of this Subscription Agreement, no registration under the Securities Act is required for the offer and sale of the Subscribed Shares by the Company to Subscriber.</w:t>
      </w:r>
    </w:p>
    <w:p>
      <w:pPr>
        <w:spacing w:after="0" w:line="14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l. No broker or finder is entitled to any brokerage or finder’s fee or commission solely in connection with the sale of the Subscribed Shares to Subscriber.</w:t>
      </w:r>
    </w:p>
    <w:p>
      <w:pPr>
        <w:spacing w:after="0" w:line="198" w:lineRule="exact"/>
        <w:rPr>
          <w:sz w:val="20"/>
          <w:szCs w:val="20"/>
          <w:color w:val="auto"/>
        </w:rPr>
      </w:pPr>
    </w:p>
    <w:p>
      <w:pPr>
        <w:jc w:val="both"/>
        <w:ind w:right="20" w:firstLine="828"/>
        <w:spacing w:after="0" w:line="257" w:lineRule="auto"/>
        <w:rPr>
          <w:sz w:val="20"/>
          <w:szCs w:val="20"/>
          <w:color w:val="auto"/>
        </w:rPr>
      </w:pPr>
      <w:r>
        <w:rPr>
          <w:rFonts w:ascii="Times New Roman" w:cs="Times New Roman" w:eastAsia="Times New Roman" w:hAnsi="Times New Roman"/>
          <w:sz w:val="16"/>
          <w:szCs w:val="16"/>
          <w:color w:val="auto"/>
        </w:rPr>
        <w:t>m. Except for such matters as have not had and would not be reasonably likely to have a Company Material Adverse Effect or have a material adverse effect on the Company’s ability to consummate the transactions contemplated hereby, including the issuance and sale of the Subscribed Shares,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45" w:name="page146"/>
    <w:bookmarkEnd w:id="145"/>
    <w:p>
      <w:pPr>
        <w:jc w:val="both"/>
        <w:ind w:right="20" w:firstLine="828"/>
        <w:spacing w:after="0" w:line="280" w:lineRule="auto"/>
        <w:rPr>
          <w:sz w:val="20"/>
          <w:szCs w:val="20"/>
          <w:color w:val="auto"/>
        </w:rPr>
      </w:pPr>
      <w:r>
        <w:rPr>
          <w:rFonts w:ascii="Times New Roman" w:cs="Times New Roman" w:eastAsia="Times New Roman" w:hAnsi="Times New Roman"/>
          <w:sz w:val="16"/>
          <w:szCs w:val="16"/>
          <w:color w:val="auto"/>
        </w:rPr>
        <w:t>n. The Company has not in the past nor will it hereafter take any action to sell, offer for sale or solicit offers to buy any securities of the Company that could result in the initial sale of the Subscribed Shares not being exempt from the registration requirements of Section 5 of the Securities Act.</w:t>
      </w:r>
    </w:p>
    <w:p>
      <w:pPr>
        <w:spacing w:after="0" w:line="144" w:lineRule="exact"/>
        <w:rPr>
          <w:sz w:val="20"/>
          <w:szCs w:val="20"/>
          <w:color w:val="auto"/>
        </w:rPr>
      </w:pPr>
    </w:p>
    <w:p>
      <w:pPr>
        <w:jc w:val="both"/>
        <w:ind w:right="20" w:firstLine="828"/>
        <w:spacing w:after="0" w:line="265" w:lineRule="auto"/>
        <w:rPr>
          <w:sz w:val="20"/>
          <w:szCs w:val="20"/>
          <w:color w:val="auto"/>
        </w:rPr>
      </w:pPr>
      <w:r>
        <w:rPr>
          <w:rFonts w:ascii="Times New Roman" w:cs="Times New Roman" w:eastAsia="Times New Roman" w:hAnsi="Times New Roman"/>
          <w:sz w:val="16"/>
          <w:szCs w:val="16"/>
          <w:color w:val="auto"/>
        </w:rPr>
        <w:t>o. 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spacing w:after="0" w:line="155" w:lineRule="exact"/>
        <w:rPr>
          <w:sz w:val="20"/>
          <w:szCs w:val="20"/>
          <w:color w:val="auto"/>
        </w:rPr>
      </w:pPr>
    </w:p>
    <w:p>
      <w:pPr>
        <w:jc w:val="both"/>
        <w:ind w:right="20" w:firstLine="828"/>
        <w:spacing w:after="0" w:line="265" w:lineRule="auto"/>
        <w:rPr>
          <w:sz w:val="20"/>
          <w:szCs w:val="20"/>
          <w:color w:val="auto"/>
        </w:rPr>
      </w:pPr>
      <w:r>
        <w:rPr>
          <w:rFonts w:ascii="Times New Roman" w:cs="Times New Roman" w:eastAsia="Times New Roman" w:hAnsi="Times New Roman"/>
          <w:sz w:val="16"/>
          <w:szCs w:val="16"/>
          <w:color w:val="auto"/>
        </w:rPr>
        <w:t>p. There is no action, suit, proceeding or investigation pending or, to the Company’s knowledge, currently threatened in writing against the Company that questions the validity of this Agreement or the right of the Company to enter into this Agreement, or to consummate the transactions contemplated thereby, or that might result, if determined adversely to the Company, in a material adverse effect, or in any material change in the current equity ownership of the Company.</w:t>
      </w:r>
    </w:p>
    <w:p>
      <w:pPr>
        <w:spacing w:after="0" w:line="155" w:lineRule="exact"/>
        <w:rPr>
          <w:sz w:val="20"/>
          <w:szCs w:val="20"/>
          <w:color w:val="auto"/>
        </w:rPr>
      </w:pPr>
    </w:p>
    <w:p>
      <w:pPr>
        <w:jc w:val="both"/>
        <w:ind w:right="20" w:firstLine="828"/>
        <w:spacing w:after="0" w:line="255" w:lineRule="auto"/>
        <w:rPr>
          <w:sz w:val="20"/>
          <w:szCs w:val="20"/>
          <w:color w:val="auto"/>
        </w:rPr>
      </w:pPr>
      <w:r>
        <w:rPr>
          <w:rFonts w:ascii="Times New Roman" w:cs="Times New Roman" w:eastAsia="Times New Roman" w:hAnsi="Times New Roman"/>
          <w:sz w:val="16"/>
          <w:szCs w:val="16"/>
          <w:color w:val="auto"/>
        </w:rPr>
        <w:t>q. To the Company’s knowledge, the Company owns or possesses sufficient legal rights to all (a) patents, patent applications and inventions; (b) trademarks, service marks, trade names, 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spacing w:after="0" w:line="165" w:lineRule="exact"/>
        <w:rPr>
          <w:sz w:val="20"/>
          <w:szCs w:val="20"/>
          <w:color w:val="auto"/>
        </w:rPr>
      </w:pPr>
    </w:p>
    <w:p>
      <w:pPr>
        <w:jc w:val="both"/>
        <w:ind w:firstLine="828"/>
        <w:spacing w:after="0" w:line="252" w:lineRule="auto"/>
        <w:rPr>
          <w:sz w:val="20"/>
          <w:szCs w:val="20"/>
          <w:color w:val="auto"/>
        </w:rPr>
      </w:pPr>
      <w:r>
        <w:rPr>
          <w:rFonts w:ascii="Times New Roman" w:cs="Times New Roman" w:eastAsia="Times New Roman" w:hAnsi="Times New Roman"/>
          <w:sz w:val="16"/>
          <w:szCs w:val="16"/>
          <w:color w:val="auto"/>
        </w:rPr>
        <w:t>r. The Company has not entered into any subscription agreement, side letter or similar agreement with any investor in connection with such investor’s direct or indirect investment in the Company other than (i) the Transaction Agreement, (ii) any agreement or arrangement contemplated by the Transaction Agreement, which for the avoidance of doubt, includes the Forward Purchase Agreement, (iii) as disclosed in the Company’s filings with the Commission and (iv) the Other Subscription Agreements. The Other Subscription Agreements reflect terms with respect to the purchase of the Notes that are no more favorable to such subscriber thereunder than the terms of this Subscription Agreement other than such Other Subscription Agreements containing any of the following: (t) the amounts, price and types of the Company’s securities to be subscribed for and purchased by the Other Subscribers and any terms relating to such other types of the Company’s securities, (u) certain fees payable by Presto to and certain board observer rights granted to Silver Rock, (v) the purchase of Common Stock from the Sponsors, (w) certain rights to nominate a member of the Company’s board of directors after and contingent upon the Closing, (x) certain closing conditions in the Other Subscription Agreements relating to the Notes and certain representations related to the payment of expenses in the Transaction, (y) (i) any rights or benefits granted to an Other Subscriber in connection with such Other Subscriber’s compliance with any law, regulation or policy specifically applicable to such Other Subscriber or in connection with the taxable status of an Other Subscriber and (ii) any rights with respect to the confidentiality or disclosure of an Other Subscriber’s identity and (z) certain registration rights.</w:t>
      </w:r>
    </w:p>
    <w:p>
      <w:pPr>
        <w:spacing w:after="0" w:line="169" w:lineRule="exact"/>
        <w:rPr>
          <w:sz w:val="20"/>
          <w:szCs w:val="20"/>
          <w:color w:val="auto"/>
        </w:rPr>
      </w:pPr>
    </w:p>
    <w:p>
      <w:pPr>
        <w:jc w:val="both"/>
        <w:ind w:firstLine="828"/>
        <w:spacing w:after="0" w:line="280" w:lineRule="auto"/>
        <w:rPr>
          <w:sz w:val="20"/>
          <w:szCs w:val="20"/>
          <w:color w:val="auto"/>
        </w:rPr>
      </w:pPr>
      <w:r>
        <w:rPr>
          <w:rFonts w:ascii="Times New Roman" w:cs="Times New Roman" w:eastAsia="Times New Roman" w:hAnsi="Times New Roman"/>
          <w:sz w:val="16"/>
          <w:szCs w:val="16"/>
          <w:color w:val="auto"/>
        </w:rPr>
        <w:t>s. The Company will work with Presto to take reasonable steps to negotiate with their service providers to reduce their respective transaction expenses to an aggregate of $7,000,000 to be paid at the consummation of the Transaction.</w:t>
      </w:r>
    </w:p>
    <w:p>
      <w:pPr>
        <w:spacing w:after="0" w:line="144" w:lineRule="exact"/>
        <w:rPr>
          <w:sz w:val="20"/>
          <w:szCs w:val="20"/>
          <w:color w:val="auto"/>
        </w:rPr>
      </w:pPr>
    </w:p>
    <w:p>
      <w:pPr>
        <w:ind w:left="540" w:hanging="162"/>
        <w:spacing w:after="0"/>
        <w:tabs>
          <w:tab w:leader="none" w:pos="540"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Subscriber Representations and Warranties</w:t>
      </w:r>
      <w:r>
        <w:rPr>
          <w:rFonts w:ascii="Times New Roman" w:cs="Times New Roman" w:eastAsia="Times New Roman" w:hAnsi="Times New Roman"/>
          <w:sz w:val="16"/>
          <w:szCs w:val="16"/>
          <w:color w:val="auto"/>
        </w:rPr>
        <w:t>. Subscriber represents and warrants to the Company that:</w:t>
      </w:r>
    </w:p>
    <w:p>
      <w:pPr>
        <w:spacing w:after="0" w:line="198" w:lineRule="exact"/>
        <w:rPr>
          <w:rFonts w:ascii="Times New Roman" w:cs="Times New Roman" w:eastAsia="Times New Roman" w:hAnsi="Times New Roman"/>
          <w:sz w:val="16"/>
          <w:szCs w:val="16"/>
          <w:color w:val="auto"/>
        </w:rPr>
      </w:pPr>
    </w:p>
    <w:p>
      <w:pPr>
        <w:ind w:right="20" w:firstLine="824"/>
        <w:spacing w:after="0" w:line="280" w:lineRule="auto"/>
        <w:tabs>
          <w:tab w:leader="none" w:pos="992" w:val="left"/>
        </w:tabs>
        <w:numPr>
          <w:ilvl w:val="1"/>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(i) is duly organized, validly existing and in good standing under the laws of its jurisdiction of incorporation, and (ii) has the requisite power and authority to enter into and perform its obligations under this Subscription Agreement.</w:t>
      </w:r>
    </w:p>
    <w:p>
      <w:pPr>
        <w:spacing w:after="0" w:line="144" w:lineRule="exact"/>
        <w:rPr>
          <w:rFonts w:ascii="Times New Roman" w:cs="Times New Roman" w:eastAsia="Times New Roman" w:hAnsi="Times New Roman"/>
          <w:sz w:val="16"/>
          <w:szCs w:val="16"/>
          <w:color w:val="auto"/>
        </w:rPr>
      </w:pPr>
    </w:p>
    <w:p>
      <w:pPr>
        <w:jc w:val="both"/>
        <w:ind w:right="20" w:firstLine="824"/>
        <w:spacing w:after="0" w:line="259" w:lineRule="auto"/>
        <w:tabs>
          <w:tab w:leader="none" w:pos="997" w:val="left"/>
        </w:tabs>
        <w:numPr>
          <w:ilvl w:val="1"/>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Subscription Agreement has been duly executed and delivered by Subscriber, and assuming the due authorization, execution and delivery of the same by the Company, this Subscription Agreement shall constitute the valid and legally binding obligation of Subscriber, enforceable against Subscriber in accordance with its terms, except as such enforceability may be limited by bankruptcy, insolvency, reorganization, moratorium and similar laws affecting creditors generally and by the availability of equitable remedies.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46" w:name="page147"/>
    <w:bookmarkEnd w:id="146"/>
    <w:p>
      <w:pPr>
        <w:jc w:val="both"/>
        <w:ind w:left="4" w:right="20" w:firstLine="828"/>
        <w:spacing w:after="0" w:line="253" w:lineRule="auto"/>
        <w:rPr>
          <w:sz w:val="20"/>
          <w:szCs w:val="20"/>
          <w:color w:val="auto"/>
        </w:rPr>
      </w:pPr>
      <w:r>
        <w:rPr>
          <w:rFonts w:ascii="Times New Roman" w:cs="Times New Roman" w:eastAsia="Times New Roman" w:hAnsi="Times New Roman"/>
          <w:sz w:val="16"/>
          <w:szCs w:val="16"/>
          <w:color w:val="auto"/>
        </w:rPr>
        <w:t>c. The execution and delivery of this Subscription Agreement, the purchase of the Subscribed Shares and the compliance by Subscriber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Subscriber pursuant to the terms of (i) any indenture, mortgage, deed of trust, loan agreement, lease, license or other agreement or instrument to which Subscriber is a party or by which Subscriber is bound or to which any of the property or assets of Subscriber is subject; (ii) the organizational documents of Subscriber; or (iii) any statute or any judgment, order, rule or regulation of any court or governmental agency or body, domestic or foreign, having jurisdiction over Subscriber or any of its properties that, in the case of clauses (i) and (iii), would reasonably be expected to have a Subscriber Material Adverse Effect. For purposes of this Subscription Agreement, a “</w:t>
      </w:r>
      <w:r>
        <w:rPr>
          <w:rFonts w:ascii="Times New Roman" w:cs="Times New Roman" w:eastAsia="Times New Roman" w:hAnsi="Times New Roman"/>
          <w:sz w:val="16"/>
          <w:szCs w:val="16"/>
          <w:u w:val="single" w:color="auto"/>
          <w:color w:val="auto"/>
        </w:rPr>
        <w:t>Subscriber Material Adverse Effect</w:t>
      </w:r>
      <w:r>
        <w:rPr>
          <w:rFonts w:ascii="Times New Roman" w:cs="Times New Roman" w:eastAsia="Times New Roman" w:hAnsi="Times New Roman"/>
          <w:sz w:val="16"/>
          <w:szCs w:val="16"/>
          <w:color w:val="auto"/>
        </w:rPr>
        <w:t>” means an event, change, development, occurrence, condition or effect with respect to Subscriber that would reasonably be expected to have a material adverse effect on Subscriber’s ability to consummate the transactions contemplated hereby, including the purchase of the Subscribed Shares.</w:t>
      </w:r>
    </w:p>
    <w:p>
      <w:pPr>
        <w:spacing w:after="0" w:line="166" w:lineRule="exact"/>
        <w:rPr>
          <w:sz w:val="20"/>
          <w:szCs w:val="20"/>
          <w:color w:val="auto"/>
        </w:rPr>
      </w:pPr>
    </w:p>
    <w:p>
      <w:pPr>
        <w:ind w:left="824"/>
        <w:spacing w:after="0"/>
        <w:rPr>
          <w:sz w:val="20"/>
          <w:szCs w:val="20"/>
          <w:color w:val="auto"/>
        </w:rPr>
      </w:pPr>
      <w:r>
        <w:rPr>
          <w:rFonts w:ascii="Times New Roman" w:cs="Times New Roman" w:eastAsia="Times New Roman" w:hAnsi="Times New Roman"/>
          <w:sz w:val="16"/>
          <w:szCs w:val="16"/>
          <w:color w:val="auto"/>
        </w:rPr>
        <w:t>d. Subscriber is an “accredited investor” (within the meaning of Rule 501 under the Securities Act) satisfying the applicable requirements set forth on Annex A;</w:t>
      </w:r>
    </w:p>
    <w:p>
      <w:pPr>
        <w:spacing w:after="0" w:line="24" w:lineRule="exact"/>
        <w:rPr>
          <w:sz w:val="20"/>
          <w:szCs w:val="20"/>
          <w:color w:val="auto"/>
        </w:rPr>
      </w:pPr>
    </w:p>
    <w:p>
      <w:pPr>
        <w:jc w:val="both"/>
        <w:ind w:left="4" w:hanging="4"/>
        <w:spacing w:after="0" w:line="250" w:lineRule="auto"/>
        <w:tabs>
          <w:tab w:leader="none" w:pos="239"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acquiring the Subscribed Shares only for its own account and not for the account of others, or if Subscriber is subscribing for the Subscribed Shares as a fiduciary or agent for one or more investor accounts, each owner of such account is an “accredited investor” (within the meaning of Rule 501 under the Securities Act) and Subscriber has full investment discretion with respect to each such account, and the full power and authority to make the acknowledgements, representations and agreements herein on behalf of each owner of each such account, and (iii) is not acquiring the Subscribed Shares with a view to, or for offer or sale in connection with, any distribution thereof in violation of the Securities Act (and has provided the Company with the requested information on Annex A following the signature page hereto). Subscriber has provided to the Company prior to the date of this Subscription Agreement true and correct copies of such documents that verify its status as an “accredited investor,” which documents may include, but are not limited to, bank statements, brokerage statements, Form W-2s, Form 1040s, Form 1099s, Schedule K-1 to Form 1065, and any other documents that the Company may reasonably request, in each case, for the years ended December 31, 2020 and December 31, 2021, respectively.</w:t>
      </w:r>
    </w:p>
    <w:p>
      <w:pPr>
        <w:spacing w:after="0" w:line="170" w:lineRule="exact"/>
        <w:rPr>
          <w:rFonts w:ascii="Times New Roman" w:cs="Times New Roman" w:eastAsia="Times New Roman" w:hAnsi="Times New Roman"/>
          <w:sz w:val="16"/>
          <w:szCs w:val="16"/>
          <w:color w:val="auto"/>
        </w:rPr>
      </w:pPr>
    </w:p>
    <w:p>
      <w:pPr>
        <w:jc w:val="both"/>
        <w:ind w:left="4" w:firstLine="824"/>
        <w:spacing w:after="0" w:line="253" w:lineRule="auto"/>
        <w:tabs>
          <w:tab w:leader="none" w:pos="990" w:val="left"/>
        </w:tabs>
        <w:numPr>
          <w:ilvl w:val="1"/>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understands that the Subscribed Shares are being offered in a transaction not involving any public offering within the meaning of the Securities Act and that the Subscribed Shares have not been registered under the Securities Act. Subscriber understands that the Subscribed Shares may not be offered, resold, transferred, pledged or otherwise disposed of by Subscriber absent an effective registration statement under the Securities Act, except (i) to the Company or a subsidiary thereof, or (ii) pursuant to an applicable exemption from the registration requirements of the Securities Act, and, in each of cases (i) and (ii), in accordance with any applicable securities laws of the applicable states and other jurisdictions of the United States, and as a result of these transfer restrictions, Subscriber may not be able to readily resell the Subscribed Shares and may be required to bear the financial risk of an investment in the Subscribed Shares for an indefinite period of time. Subscriber acknowledges and agrees that the Subscribed Shares will not be eligible for offer, resale, transfer, pledge or disposition pursuant to Rule 144 promulgated under the Securities Act (“</w:t>
      </w:r>
      <w:r>
        <w:rPr>
          <w:rFonts w:ascii="Times New Roman" w:cs="Times New Roman" w:eastAsia="Times New Roman" w:hAnsi="Times New Roman"/>
          <w:sz w:val="16"/>
          <w:szCs w:val="16"/>
          <w:u w:val="single" w:color="auto"/>
          <w:color w:val="auto"/>
        </w:rPr>
        <w:t>Rule 144</w:t>
      </w:r>
      <w:r>
        <w:rPr>
          <w:rFonts w:ascii="Times New Roman" w:cs="Times New Roman" w:eastAsia="Times New Roman" w:hAnsi="Times New Roman"/>
          <w:sz w:val="16"/>
          <w:szCs w:val="16"/>
          <w:color w:val="auto"/>
        </w:rPr>
        <w:t>”) until at least one year from the Closing Date. Subscriber understands that it has been advised to consult legal counsel prior to making any offer, resale, pledge or transfer of any of the Subscribed Shares.</w:t>
      </w:r>
    </w:p>
    <w:p>
      <w:pPr>
        <w:spacing w:after="0" w:line="166" w:lineRule="exact"/>
        <w:rPr>
          <w:rFonts w:ascii="Times New Roman" w:cs="Times New Roman" w:eastAsia="Times New Roman" w:hAnsi="Times New Roman"/>
          <w:sz w:val="16"/>
          <w:szCs w:val="16"/>
          <w:color w:val="auto"/>
        </w:rPr>
      </w:pPr>
    </w:p>
    <w:p>
      <w:pPr>
        <w:ind w:left="4" w:right="20" w:firstLine="824"/>
        <w:spacing w:after="0" w:line="280" w:lineRule="auto"/>
        <w:tabs>
          <w:tab w:leader="none" w:pos="970" w:val="left"/>
        </w:tabs>
        <w:numPr>
          <w:ilvl w:val="1"/>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book entry for the Subscribed Shares shall contain a notation, and each certificate (if any) evidencing the Subscribed Shares shall be stamped or otherwise imprinted with a legend, in substantially the following form:</w:t>
      </w:r>
    </w:p>
    <w:p>
      <w:pPr>
        <w:spacing w:after="0" w:line="142" w:lineRule="exact"/>
        <w:rPr>
          <w:sz w:val="20"/>
          <w:szCs w:val="20"/>
          <w:color w:val="auto"/>
        </w:rPr>
      </w:pPr>
    </w:p>
    <w:p>
      <w:pPr>
        <w:jc w:val="both"/>
        <w:ind w:left="4" w:right="20"/>
        <w:spacing w:after="0" w:line="266" w:lineRule="auto"/>
        <w:rPr>
          <w:sz w:val="20"/>
          <w:szCs w:val="20"/>
          <w:color w:val="auto"/>
        </w:rPr>
      </w:pPr>
      <w:r>
        <w:rPr>
          <w:rFonts w:ascii="Times New Roman" w:cs="Times New Roman" w:eastAsia="Times New Roman" w:hAnsi="Times New Roman"/>
          <w:sz w:val="16"/>
          <w:szCs w:val="16"/>
          <w:color w:val="auto"/>
        </w:rPr>
        <w:t>THIS SECURITY HAS NOT BEEN REGISTERED UNDER THE SECURITIES ACT OF 1933, AS AMENDED (THE “</w:t>
      </w:r>
      <w:r>
        <w:rPr>
          <w:rFonts w:ascii="Times New Roman" w:cs="Times New Roman" w:eastAsia="Times New Roman" w:hAnsi="Times New Roman"/>
          <w:sz w:val="16"/>
          <w:szCs w:val="16"/>
          <w:b w:val="1"/>
          <w:bCs w:val="1"/>
          <w:color w:val="auto"/>
        </w:rPr>
        <w:t>SECURITIES ACT</w:t>
      </w:r>
      <w:r>
        <w:rPr>
          <w:rFonts w:ascii="Times New Roman" w:cs="Times New Roman" w:eastAsia="Times New Roman" w:hAnsi="Times New Roman"/>
          <w:sz w:val="16"/>
          <w:szCs w:val="16"/>
          <w:color w:val="auto"/>
        </w:rPr>
        <w:t>”), AND MAY NOT BE OFFERED, SOLD, PLEDGED OR OTHERWISE TRANSFERRED EXCEPT IN ACCORDANCE WITH THE FOLLOWING SENTENCE. BY ITS ACQUISITION HEREOF OR OF A BENEFICIAL INTEREST HEREIN, THE ACQUIRER:</w:t>
      </w:r>
    </w:p>
    <w:p>
      <w:pPr>
        <w:spacing w:after="0" w:line="155" w:lineRule="exact"/>
        <w:rPr>
          <w:sz w:val="20"/>
          <w:szCs w:val="20"/>
          <w:color w:val="auto"/>
        </w:rPr>
      </w:pPr>
    </w:p>
    <w:p>
      <w:pPr>
        <w:jc w:val="both"/>
        <w:ind w:left="4" w:hanging="4"/>
        <w:spacing w:after="0" w:line="257" w:lineRule="auto"/>
        <w:tabs>
          <w:tab w:leader="none" w:pos="238"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THAT IT IS AN “ACCREDITED INVESTOR” (WITHIN THE MEANING OF RULE 501 UNDER THE SECURITIES ACT) AND (2) AGREES FOR THE BENEFIT OF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THAT IT WILL NOT OFFER, SELL, PLEDGE OR OTHERWISE TRANSFER THIS SECURITY OR ANY BENEFICIAL INTEREST 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 TO THE COMPANY OR ANY SUBSIDIARY THEREOF, OR</w:t>
      </w:r>
    </w:p>
    <w:p>
      <w:pPr>
        <w:spacing w:after="0" w:line="38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8195" cy="152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47" w:name="page148"/>
    <w:bookmarkEnd w:id="147"/>
    <w:p>
      <w:pPr>
        <w:ind w:left="4" w:right="20" w:hanging="4"/>
        <w:spacing w:after="0" w:line="280" w:lineRule="auto"/>
        <w:tabs>
          <w:tab w:leader="none" w:pos="271"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A REGISTRATION STATEMENT THAT HAS BECOME EFFECTIVE UNDER THE SECURITIES ACT AND IS EFFECTIVE AT THE TIME OF SUCH TRANSFER, OR</w:t>
      </w:r>
    </w:p>
    <w:p>
      <w:pPr>
        <w:spacing w:after="0" w:line="144" w:lineRule="exact"/>
        <w:rPr>
          <w:rFonts w:ascii="Times New Roman" w:cs="Times New Roman" w:eastAsia="Times New Roman" w:hAnsi="Times New Roman"/>
          <w:sz w:val="16"/>
          <w:szCs w:val="16"/>
          <w:color w:val="auto"/>
        </w:rPr>
      </w:pPr>
    </w:p>
    <w:p>
      <w:pPr>
        <w:ind w:left="4" w:right="20" w:hanging="4"/>
        <w:spacing w:after="0" w:line="280" w:lineRule="auto"/>
        <w:tabs>
          <w:tab w:leader="none" w:pos="301"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AN EXEMPTION FROM REGISTRATION PROVIDED BY RULE 144 UNDER THE SECURITIES ACT OR ANY OTHER AVAILABLE EXEMPTION FROM THE REGISTRATION REQUIREMENTS OF THE SECURITIES ACT.</w:t>
      </w:r>
    </w:p>
    <w:p>
      <w:pPr>
        <w:spacing w:after="0" w:line="144" w:lineRule="exact"/>
        <w:rPr>
          <w:sz w:val="20"/>
          <w:szCs w:val="20"/>
          <w:color w:val="auto"/>
        </w:rPr>
      </w:pPr>
    </w:p>
    <w:p>
      <w:pPr>
        <w:jc w:val="both"/>
        <w:ind w:left="4"/>
        <w:spacing w:after="0" w:line="257" w:lineRule="auto"/>
        <w:rPr>
          <w:sz w:val="20"/>
          <w:szCs w:val="20"/>
          <w:color w:val="auto"/>
        </w:rPr>
      </w:pPr>
      <w:r>
        <w:rPr>
          <w:rFonts w:ascii="Times New Roman" w:cs="Times New Roman" w:eastAsia="Times New Roman" w:hAnsi="Times New Roman"/>
          <w:sz w:val="16"/>
          <w:szCs w:val="16"/>
          <w:color w:val="auto"/>
        </w:rPr>
        <w:t>PRIOR TO THE REGISTRATION OF ANY TRANSFER IN ACCORDANCE WITH CLAUSE (2)(C) ABOVE, THE COMPANY AND THE TRANSFER AGENT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62" w:lineRule="exact"/>
        <w:rPr>
          <w:sz w:val="20"/>
          <w:szCs w:val="20"/>
          <w:color w:val="auto"/>
        </w:rPr>
      </w:pPr>
    </w:p>
    <w:p>
      <w:pPr>
        <w:jc w:val="both"/>
        <w:ind w:left="4" w:right="20"/>
        <w:spacing w:after="0" w:line="265" w:lineRule="auto"/>
        <w:rPr>
          <w:sz w:val="20"/>
          <w:szCs w:val="20"/>
          <w:color w:val="auto"/>
        </w:rPr>
      </w:pPr>
      <w:r>
        <w:rPr>
          <w:rFonts w:ascii="Times New Roman" w:cs="Times New Roman" w:eastAsia="Times New Roman" w:hAnsi="Times New Roman"/>
          <w:sz w:val="16"/>
          <w:szCs w:val="16"/>
          <w:color w:val="auto"/>
        </w:rPr>
        <w:t>THE SECURITIES REPRESENTED HEREBY ARE ALSO SUBJECT TO A LOCK-UP PERIOD AS SET FORTH IN THE SUBSCRIPTION AGREEMENT, DATED AS OF JULY 25, 2022, THE TERMS OF WHICH MAY BE OBTAINED UPON WRITTEN REQUEST OF THE SECRETARY OF THE COMPANY. SUCH LOCK-UP PERIOD IS BINDING ON TRANSFEREES OF THESE SECURITIES.</w:t>
      </w:r>
    </w:p>
    <w:p>
      <w:pPr>
        <w:spacing w:after="0" w:line="155" w:lineRule="exact"/>
        <w:rPr>
          <w:sz w:val="20"/>
          <w:szCs w:val="20"/>
          <w:color w:val="auto"/>
        </w:rPr>
      </w:pPr>
    </w:p>
    <w:p>
      <w:pPr>
        <w:jc w:val="both"/>
        <w:ind w:left="4" w:firstLine="828"/>
        <w:spacing w:after="0" w:line="255" w:lineRule="auto"/>
        <w:rPr>
          <w:sz w:val="20"/>
          <w:szCs w:val="20"/>
          <w:color w:val="auto"/>
        </w:rPr>
      </w:pPr>
      <w:r>
        <w:rPr>
          <w:rFonts w:ascii="Times New Roman" w:cs="Times New Roman" w:eastAsia="Times New Roman" w:hAnsi="Times New Roman"/>
          <w:sz w:val="16"/>
          <w:szCs w:val="16"/>
          <w:color w:val="auto"/>
        </w:rPr>
        <w:t>g. Subscriber understands and agrees that Subscriber is purchasing the Subscribed Shares directly from the Company. Subscriber further acknowledges that there have not been, and Subscriber hereby agrees that it is not relying on, any representations, warranties, covenants or agreements made to Subscriber by the Company, any other party to the Transaction or any other person or entity, expressly or by implication, other than those representations, warranties, covenants and agreements of the Company set forth in this Subscription Agreement. Subscriber acknowledges that certain information provided by the Company was based on projections, and such projections were prepared based on assumptions and estimates that are inherently uncertain and are subject to a wide variety of significant business, economic and competitive risks and uncertainties that could cause actual results to differ materially from those contained in the projections.</w:t>
      </w:r>
    </w:p>
    <w:p>
      <w:pPr>
        <w:spacing w:after="0" w:line="165" w:lineRule="exact"/>
        <w:rPr>
          <w:sz w:val="20"/>
          <w:szCs w:val="20"/>
          <w:color w:val="auto"/>
        </w:rPr>
      </w:pPr>
    </w:p>
    <w:p>
      <w:pPr>
        <w:jc w:val="both"/>
        <w:ind w:left="4" w:firstLine="828"/>
        <w:spacing w:after="0" w:line="259" w:lineRule="auto"/>
        <w:rPr>
          <w:sz w:val="20"/>
          <w:szCs w:val="20"/>
          <w:color w:val="auto"/>
        </w:rPr>
      </w:pPr>
      <w:r>
        <w:rPr>
          <w:rFonts w:ascii="Times New Roman" w:cs="Times New Roman" w:eastAsia="Times New Roman" w:hAnsi="Times New Roman"/>
          <w:sz w:val="16"/>
          <w:szCs w:val="16"/>
          <w:color w:val="auto"/>
        </w:rPr>
        <w:t>h. Subscriber agrees that none of the William Blair, Truist or Chardan, nor any of their respective affiliates or any of their or their respective affiliates’ control persons, officers, directors or employees, shall be liable to Subscriber pursuant to this Subscription Agreement. On behalf of itself and its affiliates, Subscriber releases each of William Blair, Truist or Chardan in respect of any losses, claims, damages, obligations, penalties, judgments, awards, liabilities, costs, expenses or disbursements related to this Subscription Agreement or the transactions contemplated hereby.</w:t>
      </w:r>
    </w:p>
    <w:p>
      <w:pPr>
        <w:spacing w:after="0" w:line="162" w:lineRule="exact"/>
        <w:rPr>
          <w:sz w:val="20"/>
          <w:szCs w:val="20"/>
          <w:color w:val="auto"/>
        </w:rPr>
      </w:pPr>
    </w:p>
    <w:p>
      <w:pPr>
        <w:jc w:val="both"/>
        <w:ind w:left="4" w:firstLine="828"/>
        <w:spacing w:after="0" w:line="251" w:lineRule="auto"/>
        <w:rPr>
          <w:sz w:val="20"/>
          <w:szCs w:val="20"/>
          <w:color w:val="auto"/>
        </w:rPr>
      </w:pPr>
      <w:r>
        <w:rPr>
          <w:rFonts w:ascii="Times New Roman" w:cs="Times New Roman" w:eastAsia="Times New Roman" w:hAnsi="Times New Roman"/>
          <w:sz w:val="16"/>
          <w:szCs w:val="16"/>
          <w:color w:val="auto"/>
        </w:rPr>
        <w:t>i. In making its decision to purchase the Subscribed Shares, Subscriber has relied solely upon independent investigation made by Subscriber and upon the representations, warranties and covenants set forth herein. Subscriber acknowledges and agrees that Subscriber has received such information as Subscriber deems necessary in order to make an investment decision with respect to the Subscribed Shares, including with respect to the Company and the Transaction (including Presto and their respective subsidiaries (collectively, the “</w:t>
      </w:r>
      <w:r>
        <w:rPr>
          <w:rFonts w:ascii="Times New Roman" w:cs="Times New Roman" w:eastAsia="Times New Roman" w:hAnsi="Times New Roman"/>
          <w:sz w:val="16"/>
          <w:szCs w:val="16"/>
          <w:u w:val="single" w:color="auto"/>
          <w:color w:val="auto"/>
        </w:rPr>
        <w:t>Acquired Companies</w:t>
      </w:r>
      <w:r>
        <w:rPr>
          <w:rFonts w:ascii="Times New Roman" w:cs="Times New Roman" w:eastAsia="Times New Roman" w:hAnsi="Times New Roman"/>
          <w:sz w:val="16"/>
          <w:szCs w:val="16"/>
          <w:color w:val="auto"/>
        </w:rPr>
        <w:t>”)). Subscriber represents and agrees that Subscriber and Subscriber’s professional advisor(s), if any, have had the full opportunity to ask such questions, receive such answers and obtain such information as Subscriber and such undersigned’s professional advisor(s), if any, have deemed necessary to make an investment decision with respect to the Subscribed Shares. Subscriber acknowledges and agrees that none of William Blair, Truist or Chardan, nor any respective affiliates of William Blair, Truist or Chardan have provided Subscriber with any information or advice with respect to the Subscribed Shares nor is such information or advice necessary or desired. None of William Blair, Truist or Chardan nor any of their respective affiliates have made or make any representation as to the Company or the Acquired Companies or the quality or value of the Subscribed Shares. Each of William Blair, Truist or Chardan has acting solely as a placement agent to the Company with respect to the Other Subscription Agreements and is not acting as an underwriter or in any other capacity or as a fiduciary for the Company or any other person or entity in connection with the Transaction and none of William Blair, Truist or Chardan or any of their respective affiliates has prepared any disclosure or offering document in connection with the offer and sale of the Subscribed Shares. Subscriber acknowledges that William Blair, Truist or Chardan and their respective directors, officers, employees, representatives and controlling persons have made no independent investigation with respect to the Company or the Subscribed Shares or the accuracy, completeness or adequacy of any information supplied to Subscriber by the Company.</w:t>
      </w:r>
    </w:p>
    <w:p>
      <w:pPr>
        <w:spacing w:after="0" w:line="35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8195" cy="152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48" w:name="page149"/>
    <w:bookmarkEnd w:id="148"/>
    <w:p>
      <w:pPr>
        <w:jc w:val="both"/>
        <w:ind w:right="20" w:firstLine="828"/>
        <w:spacing w:after="0" w:line="265" w:lineRule="auto"/>
        <w:rPr>
          <w:sz w:val="20"/>
          <w:szCs w:val="20"/>
          <w:color w:val="auto"/>
        </w:rPr>
      </w:pPr>
      <w:r>
        <w:rPr>
          <w:rFonts w:ascii="Times New Roman" w:cs="Times New Roman" w:eastAsia="Times New Roman" w:hAnsi="Times New Roman"/>
          <w:sz w:val="16"/>
          <w:szCs w:val="16"/>
          <w:color w:val="auto"/>
        </w:rPr>
        <w:t>j. Subscriber agrees and acknowledges that (i) as of the date hereof, Subscriber has had no contact, whether oral or in writing, with any of William Blair, Truist or Chardan with respect to the Transaction, including this Subscription Agreement and (ii) the Company represents and warrants that the Subscribed Shares are not being offered in a manner involving a public offering under, or in a distribution in violation of, the Securities Act, or any state securities laws.</w:t>
      </w:r>
    </w:p>
    <w:p>
      <w:pPr>
        <w:spacing w:after="0" w:line="155" w:lineRule="exact"/>
        <w:rPr>
          <w:sz w:val="20"/>
          <w:szCs w:val="20"/>
          <w:color w:val="auto"/>
        </w:rPr>
      </w:pPr>
    </w:p>
    <w:p>
      <w:pPr>
        <w:jc w:val="both"/>
        <w:ind w:right="20" w:firstLine="828"/>
        <w:spacing w:after="0" w:line="265" w:lineRule="auto"/>
        <w:rPr>
          <w:sz w:val="20"/>
          <w:szCs w:val="20"/>
          <w:color w:val="auto"/>
        </w:rPr>
      </w:pPr>
      <w:r>
        <w:rPr>
          <w:rFonts w:ascii="Times New Roman" w:cs="Times New Roman" w:eastAsia="Times New Roman" w:hAnsi="Times New Roman"/>
          <w:sz w:val="16"/>
          <w:szCs w:val="16"/>
          <w:color w:val="auto"/>
        </w:rPr>
        <w:t>k. Subscriber acknowledges that it is aware that there are substantial risks incident to the purchase and ownership of the Subscribed Shares. Subscriber has such knowledge and experience in financial and business matters as to be capable of evaluating the merits and risks of an investment in the Subscribed Shares, and Subscriber has had an opportunity to seek, and has sought, such accounting, legal, business and tax advice as Subscriber has considered necessary to make an informed investment decision.</w:t>
      </w:r>
    </w:p>
    <w:p>
      <w:pPr>
        <w:spacing w:after="0" w:line="155" w:lineRule="exact"/>
        <w:rPr>
          <w:sz w:val="20"/>
          <w:szCs w:val="20"/>
          <w:color w:val="auto"/>
        </w:rPr>
      </w:pPr>
    </w:p>
    <w:p>
      <w:pPr>
        <w:jc w:val="both"/>
        <w:ind w:right="20" w:firstLine="828"/>
        <w:spacing w:after="0" w:line="265" w:lineRule="auto"/>
        <w:rPr>
          <w:sz w:val="20"/>
          <w:szCs w:val="20"/>
          <w:color w:val="auto"/>
        </w:rPr>
      </w:pPr>
      <w:r>
        <w:rPr>
          <w:rFonts w:ascii="Times New Roman" w:cs="Times New Roman" w:eastAsia="Times New Roman" w:hAnsi="Times New Roman"/>
          <w:sz w:val="16"/>
          <w:szCs w:val="16"/>
          <w:color w:val="auto"/>
        </w:rPr>
        <w:t>l. Subscriber has adequately analyzed and fully considered the risks of an investment in the Subscribed Shares and determined that the Subscribed Shares are a suitable investment for Subscriber and that Subscriber is able at this time and in the foreseeable future to bear the economic risk of a total loss of Subscriber’s investment in the Company. Subscriber acknowledges specifically that a possibility of total loss exists.</w:t>
      </w:r>
    </w:p>
    <w:p>
      <w:pPr>
        <w:spacing w:after="0" w:line="155" w:lineRule="exact"/>
        <w:rPr>
          <w:sz w:val="20"/>
          <w:szCs w:val="20"/>
          <w:color w:val="auto"/>
        </w:rPr>
      </w:pPr>
    </w:p>
    <w:p>
      <w:pPr>
        <w:jc w:val="both"/>
        <w:ind w:right="20" w:firstLine="828"/>
        <w:spacing w:after="0" w:line="280" w:lineRule="auto"/>
        <w:rPr>
          <w:sz w:val="20"/>
          <w:szCs w:val="20"/>
          <w:color w:val="auto"/>
        </w:rPr>
      </w:pPr>
      <w:r>
        <w:rPr>
          <w:rFonts w:ascii="Times New Roman" w:cs="Times New Roman" w:eastAsia="Times New Roman" w:hAnsi="Times New Roman"/>
          <w:sz w:val="16"/>
          <w:szCs w:val="16"/>
          <w:color w:val="auto"/>
        </w:rPr>
        <w:t>m. Subscriber understands and agrees that no federal or state agency has passed upon or endorsed the merits of the offering of the Subscribed Shares or made any findings or determination as to the fairness of this investment.</w:t>
      </w:r>
    </w:p>
    <w:p>
      <w:pPr>
        <w:spacing w:after="0" w:line="144" w:lineRule="exact"/>
        <w:rPr>
          <w:sz w:val="20"/>
          <w:szCs w:val="20"/>
          <w:color w:val="auto"/>
        </w:rPr>
      </w:pPr>
    </w:p>
    <w:p>
      <w:pPr>
        <w:jc w:val="both"/>
        <w:ind w:firstLine="828"/>
        <w:spacing w:after="0" w:line="252" w:lineRule="auto"/>
        <w:rPr>
          <w:sz w:val="20"/>
          <w:szCs w:val="20"/>
          <w:color w:val="auto"/>
        </w:rPr>
      </w:pPr>
      <w:r>
        <w:rPr>
          <w:rFonts w:ascii="Times New Roman" w:cs="Times New Roman" w:eastAsia="Times New Roman" w:hAnsi="Times New Roman"/>
          <w:sz w:val="16"/>
          <w:szCs w:val="16"/>
          <w:color w:val="auto"/>
        </w:rPr>
        <w:t>n. Subscriber is not (i) a person or entity named on the List of Specially Designated Nationals and Blocked Persons administered by the U.S. Treasury Department’s Office of Foreign Assets Control (“</w:t>
      </w:r>
      <w:r>
        <w:rPr>
          <w:rFonts w:ascii="Times New Roman" w:cs="Times New Roman" w:eastAsia="Times New Roman" w:hAnsi="Times New Roman"/>
          <w:sz w:val="16"/>
          <w:szCs w:val="16"/>
          <w:u w:val="single" w:color="auto"/>
          <w:color w:val="auto"/>
        </w:rPr>
        <w:t>OFAC</w:t>
      </w:r>
      <w:r>
        <w:rPr>
          <w:rFonts w:ascii="Times New Roman" w:cs="Times New Roman" w:eastAsia="Times New Roman" w:hAnsi="Times New Roman"/>
          <w:sz w:val="16"/>
          <w:szCs w:val="16"/>
          <w:color w:val="auto"/>
        </w:rPr>
        <w:t>”) or in any Executive Order issued by the President of the United States and administered by OFAC (“</w:t>
      </w:r>
      <w:r>
        <w:rPr>
          <w:rFonts w:ascii="Times New Roman" w:cs="Times New Roman" w:eastAsia="Times New Roman" w:hAnsi="Times New Roman"/>
          <w:sz w:val="16"/>
          <w:szCs w:val="16"/>
          <w:u w:val="single" w:color="auto"/>
          <w:color w:val="auto"/>
        </w:rPr>
        <w:t>OFAC List</w:t>
      </w:r>
      <w:r>
        <w:rPr>
          <w:rFonts w:ascii="Times New Roman" w:cs="Times New Roman" w:eastAsia="Times New Roman" w:hAnsi="Times New Roman"/>
          <w:sz w:val="16"/>
          <w:szCs w:val="16"/>
          <w:color w:val="auto"/>
        </w:rPr>
        <w:t>”), or a person or entity prohibited by any OFAC sanctions program; (ii) a Designated National as defined in the Cuban Assets Control Regulations, 31 C.F.R. Part 515; or (iii) a non-U.S. shell bank or providing banking services indirectly to a non-U.S. shell bank (collectively, a “</w:t>
      </w:r>
      <w:r>
        <w:rPr>
          <w:rFonts w:ascii="Times New Roman" w:cs="Times New Roman" w:eastAsia="Times New Roman" w:hAnsi="Times New Roman"/>
          <w:sz w:val="16"/>
          <w:szCs w:val="16"/>
          <w:u w:val="single" w:color="auto"/>
          <w:color w:val="auto"/>
        </w:rPr>
        <w:t>Prohibited Investor</w:t>
      </w:r>
      <w:r>
        <w:rPr>
          <w:rFonts w:ascii="Times New Roman" w:cs="Times New Roman" w:eastAsia="Times New Roman" w:hAnsi="Times New Roman"/>
          <w:sz w:val="16"/>
          <w:szCs w:val="16"/>
          <w:color w:val="auto"/>
        </w:rPr>
        <w:t>”). Subscriber agrees to provide law enforcement agencies, if requested thereby, such records as required by applicable law, provided that Subscriber is permitted to do so under applicable law. Subscriber represents that if it is a financial institution subject to the Bank Secrecy Act (31 U.S.C. Section 5311 et seq.), as amended by the USA PATRIOT Act of 2001 and its implementing regulations (collectively, the “</w:t>
      </w:r>
      <w:r>
        <w:rPr>
          <w:rFonts w:ascii="Times New Roman" w:cs="Times New Roman" w:eastAsia="Times New Roman" w:hAnsi="Times New Roman"/>
          <w:sz w:val="16"/>
          <w:szCs w:val="16"/>
          <w:u w:val="single" w:color="auto"/>
          <w:color w:val="auto"/>
        </w:rPr>
        <w:t>BSA/PATRIOT Act</w:t>
      </w:r>
      <w:r>
        <w:rPr>
          <w:rFonts w:ascii="Times New Roman" w:cs="Times New Roman" w:eastAsia="Times New Roman" w:hAnsi="Times New Roman"/>
          <w:sz w:val="16"/>
          <w:szCs w:val="16"/>
          <w:color w:val="auto"/>
        </w:rPr>
        <w:t>”), that Subscriber maintains policies and procedures reasonably designed to comply with applicable obligations under the BSA/PATRIOT Act. Subscriber also represents that, to the extent required, it maintains policies and procedures reasonably designed for the screening of its investors against the OFAC sanctions programs, including the OFAC List. Subscriber further represents and warrants that, to the extent required, it maintains policies and procedures reasonably designed to ensure that the funds held by Subscriber and used to purchase the Subscribed Shares were legally derived.</w:t>
      </w:r>
    </w:p>
    <w:p>
      <w:pPr>
        <w:spacing w:after="0" w:line="171" w:lineRule="exact"/>
        <w:rPr>
          <w:sz w:val="20"/>
          <w:szCs w:val="20"/>
          <w:color w:val="auto"/>
        </w:rPr>
      </w:pPr>
    </w:p>
    <w:p>
      <w:pPr>
        <w:jc w:val="both"/>
        <w:ind w:firstLine="828"/>
        <w:spacing w:after="0" w:line="255" w:lineRule="auto"/>
        <w:rPr>
          <w:sz w:val="20"/>
          <w:szCs w:val="20"/>
          <w:color w:val="auto"/>
        </w:rPr>
      </w:pPr>
      <w:r>
        <w:rPr>
          <w:rFonts w:ascii="Times New Roman" w:cs="Times New Roman" w:eastAsia="Times New Roman" w:hAnsi="Times New Roman"/>
          <w:sz w:val="16"/>
          <w:szCs w:val="16"/>
          <w:color w:val="auto"/>
        </w:rPr>
        <w:t>o. As of the date hereof, and during the 30-day period immediately prior to the date hereof Subscriber has not entered into, any “put equivalent position” as such term is defined in Rule 16a-1 under the Exchange Act or short sale positions with respect to the securities of the Company. Notwithstanding the foregoing, in the case of a Subscriber that is a multi-managed investment vehicle whereby separate portfolio managers manage separate portions of such Subscriber’s assets and the portfolio managers have no direct knowledge of the investment decisions made by the portfolio managers managing other portions of such Subscriber’s assets, the representation set forth above shall only apply with respect to the portion of assets managed by the portfolio manager that made the investment decision to purchase the Subscribed Shares covered by this Agreement.</w:t>
      </w:r>
    </w:p>
    <w:p>
      <w:pPr>
        <w:spacing w:after="0" w:line="165" w:lineRule="exact"/>
        <w:rPr>
          <w:sz w:val="20"/>
          <w:szCs w:val="20"/>
          <w:color w:val="auto"/>
        </w:rPr>
      </w:pPr>
    </w:p>
    <w:p>
      <w:pPr>
        <w:jc w:val="both"/>
        <w:ind w:firstLine="828"/>
        <w:spacing w:after="0" w:line="253" w:lineRule="auto"/>
        <w:rPr>
          <w:sz w:val="20"/>
          <w:szCs w:val="20"/>
          <w:color w:val="auto"/>
        </w:rPr>
      </w:pPr>
      <w:r>
        <w:rPr>
          <w:rFonts w:ascii="Times New Roman" w:cs="Times New Roman" w:eastAsia="Times New Roman" w:hAnsi="Times New Roman"/>
          <w:sz w:val="16"/>
          <w:szCs w:val="16"/>
          <w:color w:val="auto"/>
        </w:rPr>
        <w:t>p. If Subscriber is an employee benefit plan that is subject to Title I of ERISA, a plan, an individual retirement account or other arrangement that is subject to section 4975 of the Code or an employee benefit plan that is a governmental plan (as defined in section 3(32) of ERISA), a church plan (as defined in section 3(33) of ERISA), a non-U.S. plan (as described in section 4(b)(4) of ERISA) or other plan that is not subject to the foregoing but may be subject to provisions under any other federal, state, local, non-U.S. or other laws or regulations that are similar to such provisions of ERISA or the Internal Revenue Code of 1986, as amended, or an entity whose underlying assets are considered to include “plan assets” of any such plan, account or arrangement (each, a “Plan”) subject to the fiduciary or prohibited transaction provisions of ERISA or section 4975 of the Code, Subscriber represents and warrants that neither the Company, nor any of its respective affiliates (the “</w:t>
      </w:r>
      <w:r>
        <w:rPr>
          <w:rFonts w:ascii="Times New Roman" w:cs="Times New Roman" w:eastAsia="Times New Roman" w:hAnsi="Times New Roman"/>
          <w:sz w:val="16"/>
          <w:szCs w:val="16"/>
          <w:u w:val="single" w:color="auto"/>
          <w:color w:val="auto"/>
        </w:rPr>
        <w:t>Transaction Parties</w:t>
      </w:r>
      <w:r>
        <w:rPr>
          <w:rFonts w:ascii="Times New Roman" w:cs="Times New Roman" w:eastAsia="Times New Roman" w:hAnsi="Times New Roman"/>
          <w:sz w:val="16"/>
          <w:szCs w:val="16"/>
          <w:color w:val="auto"/>
        </w:rPr>
        <w:t>”) has acted as the Plan’s fiduciary, or has been relied on for advice, with respect to its decision to acquire and hold the Subscribed Shares, and none of the Transaction Parties shall at any time be relied upon as the Plan’s fiduciary with respect to any decision to acquire, continue to hold or transfer the Subscribed Shares and none of the acquisition, holding and/or transfer or disposition of the Subscribed Shares will result in a non-exempt prohibited Transactions under ERISA or Section 4975 of the Code or any similar law or regulation.</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49" w:name="page150"/>
    <w:bookmarkEnd w:id="149"/>
    <w:p>
      <w:pPr>
        <w:ind w:left="820"/>
        <w:spacing w:after="0"/>
        <w:rPr>
          <w:sz w:val="20"/>
          <w:szCs w:val="20"/>
          <w:color w:val="auto"/>
        </w:rPr>
      </w:pPr>
      <w:r>
        <w:rPr>
          <w:rFonts w:ascii="Times New Roman" w:cs="Times New Roman" w:eastAsia="Times New Roman" w:hAnsi="Times New Roman"/>
          <w:sz w:val="16"/>
          <w:szCs w:val="16"/>
          <w:color w:val="auto"/>
        </w:rPr>
        <w:t xml:space="preserve">q. Subscriber at the Closing will have sufficient funds to pay the Purchase Price pursuant to </w:t>
      </w:r>
      <w:r>
        <w:rPr>
          <w:rFonts w:ascii="Times New Roman" w:cs="Times New Roman" w:eastAsia="Times New Roman" w:hAnsi="Times New Roman"/>
          <w:sz w:val="16"/>
          <w:szCs w:val="16"/>
          <w:u w:val="single" w:color="auto"/>
          <w:color w:val="auto"/>
        </w:rPr>
        <w:t>Section 2(a)</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828"/>
        <w:spacing w:after="0" w:line="257" w:lineRule="auto"/>
        <w:rPr>
          <w:sz w:val="20"/>
          <w:szCs w:val="20"/>
          <w:color w:val="auto"/>
        </w:rPr>
      </w:pPr>
      <w:r>
        <w:rPr>
          <w:rFonts w:ascii="Times New Roman" w:cs="Times New Roman" w:eastAsia="Times New Roman" w:hAnsi="Times New Roman"/>
          <w:sz w:val="16"/>
          <w:szCs w:val="16"/>
          <w:color w:val="auto"/>
        </w:rPr>
        <w:t xml:space="preserve">r. Subscriber acknowledges and understands that the Subscribed Shares are, and following the Closing will be, subject to Transfer Restrictions. For purposes of this </w:t>
      </w:r>
      <w:r>
        <w:rPr>
          <w:rFonts w:ascii="Times New Roman" w:cs="Times New Roman" w:eastAsia="Times New Roman" w:hAnsi="Times New Roman"/>
          <w:sz w:val="16"/>
          <w:szCs w:val="16"/>
          <w:u w:val="single" w:color="auto"/>
          <w:color w:val="auto"/>
        </w:rPr>
        <w:t>Section 4(r)</w:t>
      </w:r>
      <w:r>
        <w:rPr>
          <w:rFonts w:ascii="Times New Roman" w:cs="Times New Roman" w:eastAsia="Times New Roman" w:hAnsi="Times New Roman"/>
          <w:sz w:val="16"/>
          <w:szCs w:val="16"/>
          <w:color w:val="auto"/>
        </w:rPr>
        <w:t>, the term “</w:t>
      </w:r>
      <w:r>
        <w:rPr>
          <w:rFonts w:ascii="Times New Roman" w:cs="Times New Roman" w:eastAsia="Times New Roman" w:hAnsi="Times New Roman"/>
          <w:sz w:val="16"/>
          <w:szCs w:val="16"/>
          <w:u w:val="single" w:color="auto"/>
          <w:color w:val="auto"/>
        </w:rPr>
        <w:t>Transfer Restrictions</w:t>
      </w:r>
      <w:r>
        <w:rPr>
          <w:rFonts w:ascii="Times New Roman" w:cs="Times New Roman" w:eastAsia="Times New Roman" w:hAnsi="Times New Roman"/>
          <w:sz w:val="16"/>
          <w:szCs w:val="16"/>
          <w:color w:val="auto"/>
        </w:rPr>
        <w:t xml:space="preserve">” means a condition to or restriction on the ability of the undersigned to pledge, sell, assign or otherwise transfer the Subscribed Shares under any organizational document, policy or agreement of, by or with the Company, including the restrictions on transfer described in </w:t>
      </w:r>
      <w:r>
        <w:rPr>
          <w:rFonts w:ascii="Times New Roman" w:cs="Times New Roman" w:eastAsia="Times New Roman" w:hAnsi="Times New Roman"/>
          <w:sz w:val="16"/>
          <w:szCs w:val="16"/>
          <w:u w:val="single" w:color="auto"/>
          <w:color w:val="auto"/>
        </w:rPr>
        <w:t>Section 4(e)</w:t>
      </w:r>
      <w:r>
        <w:rPr>
          <w:rFonts w:ascii="Times New Roman" w:cs="Times New Roman" w:eastAsia="Times New Roman" w:hAnsi="Times New Roman"/>
          <w:sz w:val="16"/>
          <w:szCs w:val="16"/>
          <w:color w:val="auto"/>
        </w:rPr>
        <w:t xml:space="preserve"> of this Subscription Agreement with respect to the status of the Subscribed Shares as “restricted securities” pending their registration for resale under the Securities Act, and described in </w:t>
      </w:r>
      <w:r>
        <w:rPr>
          <w:rFonts w:ascii="Times New Roman" w:cs="Times New Roman" w:eastAsia="Times New Roman" w:hAnsi="Times New Roman"/>
          <w:sz w:val="16"/>
          <w:szCs w:val="16"/>
          <w:u w:val="single" w:color="auto"/>
          <w:color w:val="auto"/>
        </w:rPr>
        <w:t>Section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5</w:t>
      </w:r>
      <w:r>
        <w:rPr>
          <w:rFonts w:ascii="Times New Roman" w:cs="Times New Roman" w:eastAsia="Times New Roman" w:hAnsi="Times New Roman"/>
          <w:sz w:val="16"/>
          <w:szCs w:val="16"/>
          <w:color w:val="auto"/>
        </w:rPr>
        <w:t xml:space="preserve"> of this Subscription Agreement with respect to an eighteen (18) month lock-up, in accordance with the terms of this Subscription Agreement.</w:t>
      </w:r>
    </w:p>
    <w:p>
      <w:pPr>
        <w:spacing w:after="0" w:line="162" w:lineRule="exact"/>
        <w:rPr>
          <w:sz w:val="20"/>
          <w:szCs w:val="20"/>
          <w:color w:val="auto"/>
        </w:rPr>
      </w:pPr>
    </w:p>
    <w:p>
      <w:pPr>
        <w:jc w:val="both"/>
        <w:ind w:firstLine="378"/>
        <w:spacing w:after="0" w:line="252" w:lineRule="auto"/>
        <w:tabs>
          <w:tab w:leader="none" w:pos="542"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Restriction on Transfer of Subscribed Shares</w:t>
      </w:r>
      <w:r>
        <w:rPr>
          <w:rFonts w:ascii="Times New Roman" w:cs="Times New Roman" w:eastAsia="Times New Roman" w:hAnsi="Times New Roman"/>
          <w:sz w:val="16"/>
          <w:szCs w:val="16"/>
          <w:color w:val="auto"/>
        </w:rPr>
        <w:t xml:space="preserve">. Until the date that is eighteen (18) months after the Closing Date, the Subscriber shall not be permitted to, voluntarily or involuntarily, sell, assign, transfer (including by operation of law), create any lien or pledge, dispose of or otherwise encumber any of the Subscribed Shares or otherwise agree to do any of the foregoing, (b) deposit any of such shares of Common Stock into a voting trust or enter into a voting agreement or arrangement or grant any proxy or power of attorney with respect thereto that is inconsistent with this Agreement (c) enter into any contract, option or other arrangement or undertaking requiring the direct acquisition or sale, assignment, transfer or other disposition of any such shares of Common Stock, or (d) make any public announcement of any intention to take any of the foregoing actions, in each case, without the prior written consent of the Company;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any transfer to an affiliate of the Subscriber that complies with the terms hereof shall not require such consent of the Company. Notwithstanding anything to the contrary contained herein, each transferee of such shares of Common Stock shall, on or prior to the date of this Agreement or (if later) the date that it first acquires any such shares of Common Stock, deliver to the Company a valid and duly completed IRS Form W-9 (and, for the avoidance of doubt, at all times during which a person is holder of such Common Stock, such person shall (i) have delivered to the Company such a valid and duly completed IRS Form W-9; and (ii) be eligible to deliver a valid and duly completed IRS Form W-9 to the Company).</w:t>
      </w:r>
    </w:p>
    <w:p>
      <w:pPr>
        <w:spacing w:after="0" w:line="171" w:lineRule="exact"/>
        <w:rPr>
          <w:rFonts w:ascii="Times New Roman" w:cs="Times New Roman" w:eastAsia="Times New Roman" w:hAnsi="Times New Roman"/>
          <w:sz w:val="16"/>
          <w:szCs w:val="16"/>
          <w:color w:val="auto"/>
        </w:rPr>
      </w:pPr>
    </w:p>
    <w:p>
      <w:pPr>
        <w:jc w:val="both"/>
        <w:ind w:right="20" w:firstLine="378"/>
        <w:spacing w:after="0" w:line="255" w:lineRule="auto"/>
        <w:tabs>
          <w:tab w:leader="none" w:pos="542"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Registration of Subscribed Shares</w:t>
      </w:r>
      <w:r>
        <w:rPr>
          <w:rFonts w:ascii="Times New Roman" w:cs="Times New Roman" w:eastAsia="Times New Roman" w:hAnsi="Times New Roman"/>
          <w:sz w:val="16"/>
          <w:szCs w:val="16"/>
          <w:color w:val="auto"/>
        </w:rPr>
        <w:t>. On the Closing Date, the Company and Subscriber shall execute the registration rights agreement, in substantially the form attached as Exhibit C to the Transaction Agreement (the “</w:t>
      </w:r>
      <w:r>
        <w:rPr>
          <w:rFonts w:ascii="Times New Roman" w:cs="Times New Roman" w:eastAsia="Times New Roman" w:hAnsi="Times New Roman"/>
          <w:sz w:val="16"/>
          <w:szCs w:val="16"/>
          <w:u w:val="single" w:color="auto"/>
          <w:color w:val="auto"/>
        </w:rPr>
        <w:t>Registration Rights Agreement</w:t>
      </w:r>
      <w:r>
        <w:rPr>
          <w:rFonts w:ascii="Times New Roman" w:cs="Times New Roman" w:eastAsia="Times New Roman" w:hAnsi="Times New Roman"/>
          <w:sz w:val="16"/>
          <w:szCs w:val="16"/>
          <w:color w:val="auto"/>
        </w:rPr>
        <w:t>”), pursuant to which the Company shall agree to register the resale of all of the Common Stock then held by Subscriber in accordance with the terms provided therein. Upon execution and delivery of the Registration Rights Agreement by the Subscriber, Subscriber and each permitted transferee of any such share of Common Stock that receives such Common Ssstock in compliance with the restrictions on transfer contained in and pursuant to the Registration Right Agreement shall have the rights of a “Holder” therein, and all of the Common Stock then owned by Subscriber shall constitute “Registrable Securities” under the Registration Rights Agreement.</w:t>
      </w:r>
    </w:p>
    <w:p>
      <w:pPr>
        <w:spacing w:after="0" w:line="165" w:lineRule="exact"/>
        <w:rPr>
          <w:rFonts w:ascii="Times New Roman" w:cs="Times New Roman" w:eastAsia="Times New Roman" w:hAnsi="Times New Roman"/>
          <w:sz w:val="16"/>
          <w:szCs w:val="16"/>
          <w:color w:val="auto"/>
        </w:rPr>
      </w:pPr>
    </w:p>
    <w:p>
      <w:pPr>
        <w:jc w:val="both"/>
        <w:ind w:right="20" w:firstLine="378"/>
        <w:spacing w:after="0" w:line="253" w:lineRule="auto"/>
        <w:tabs>
          <w:tab w:leader="none" w:pos="542"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xml:space="preserve">. This Subscription Agreement shall terminate and be void and of no further force and effect, and all rights and obligations of the parties hereunder shall terminate without any further liability on the part of any party in respect thereof, upon the earlier to occur of (a) such date and time as the Transaction Agreement is terminated in accordance with its terms; (b) upon the mutual written agreement of the Company and Subscriber to terminate this Subscription Agreement; (c) if, on the Closing Date of the Transaction, any of the conditions to Closing set forth in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of this Subscription Agreement have not been satisfied as of the time required hereunder to be so satisfied or waived (to the extent a valid waiver is capable of being issued) by the party entitled to grant such waiver and, as a result thereof, the transactions contemplated by this Subscription Agreement are not consummated; or (d) the “Termination Date” as defined in the Transaction Agreement (as such Termination Date may be amended or extended from time to time) (the “</w:t>
      </w:r>
      <w:r>
        <w:rPr>
          <w:rFonts w:ascii="Times New Roman" w:cs="Times New Roman" w:eastAsia="Times New Roman" w:hAnsi="Times New Roman"/>
          <w:sz w:val="16"/>
          <w:szCs w:val="16"/>
          <w:u w:val="single" w:color="auto"/>
          <w:color w:val="auto"/>
        </w:rPr>
        <w:t>Termination Date</w:t>
      </w:r>
      <w:r>
        <w:rPr>
          <w:rFonts w:ascii="Times New Roman" w:cs="Times New Roman" w:eastAsia="Times New Roman" w:hAnsi="Times New Roman"/>
          <w:sz w:val="16"/>
          <w:szCs w:val="16"/>
          <w:color w:val="auto"/>
        </w:rPr>
        <w:t>”); provided, that nothing herein will relieve any party from liability for any willful breach hereof prior to the time of termination, and each party will be entitled to any remedies at law or in equity to recover losses, liabilities or damages arising from such breach. The Company shall notify Subscriber of the termination of the Transaction Agreement promptly after the termination thereof.</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50" w:name="page151"/>
    <w:bookmarkEnd w:id="150"/>
    <w:p>
      <w:pPr>
        <w:jc w:val="both"/>
        <w:ind w:left="4" w:firstLine="378"/>
        <w:spacing w:after="0" w:line="268" w:lineRule="auto"/>
        <w:tabs>
          <w:tab w:leader="none" w:pos="546" w:val="left"/>
        </w:tabs>
        <w:numPr>
          <w:ilvl w:val="1"/>
          <w:numId w:val="1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Trust Account Waiver</w:t>
      </w:r>
      <w:r>
        <w:rPr>
          <w:rFonts w:ascii="Times New Roman" w:cs="Times New Roman" w:eastAsia="Times New Roman" w:hAnsi="Times New Roman"/>
          <w:sz w:val="15"/>
          <w:szCs w:val="15"/>
          <w:color w:val="auto"/>
        </w:rPr>
        <w:t>. Subscriber hereby acknowledges that the Company has established a trust account (the “</w:t>
      </w:r>
      <w:r>
        <w:rPr>
          <w:rFonts w:ascii="Times New Roman" w:cs="Times New Roman" w:eastAsia="Times New Roman" w:hAnsi="Times New Roman"/>
          <w:sz w:val="15"/>
          <w:szCs w:val="15"/>
          <w:u w:val="single" w:color="auto"/>
          <w:color w:val="auto"/>
        </w:rPr>
        <w:t>Trust Account</w:t>
      </w:r>
      <w:r>
        <w:rPr>
          <w:rFonts w:ascii="Times New Roman" w:cs="Times New Roman" w:eastAsia="Times New Roman" w:hAnsi="Times New Roman"/>
          <w:sz w:val="15"/>
          <w:szCs w:val="15"/>
          <w:color w:val="auto"/>
        </w:rPr>
        <w:t>”) containing the proceeds of its initial public offering (the “</w:t>
      </w:r>
      <w:r>
        <w:rPr>
          <w:rFonts w:ascii="Times New Roman" w:cs="Times New Roman" w:eastAsia="Times New Roman" w:hAnsi="Times New Roman"/>
          <w:sz w:val="15"/>
          <w:szCs w:val="15"/>
          <w:u w:val="single" w:color="auto"/>
          <w:color w:val="auto"/>
        </w:rPr>
        <w:t>IPO</w:t>
      </w:r>
      <w:r>
        <w:rPr>
          <w:rFonts w:ascii="Times New Roman" w:cs="Times New Roman" w:eastAsia="Times New Roman" w:hAnsi="Times New Roman"/>
          <w:sz w:val="15"/>
          <w:szCs w:val="15"/>
          <w:color w:val="auto"/>
        </w:rPr>
        <w:t>”) and from certain private placements occurring simultaneously with the IPO (including interest accrued from time to time thereon) for the benefit of the Company’s public stockholders and certain other parties (including the underwriters of the IPO). For and in consideration of the Company entering into this Subscription Agreement, and for other good and valuable consideration, the receipt and sufficiency of which are hereby acknowledged, Subscriber hereby (i) agrees that it does not now and shall not at any time hereafter have any right, title, interest or claim of any kind in or to any assets held in the Trust Account, and shall not make any claim against the Trust Account, regardless of whether such claim arises as a result of, in connection with or relating in any way to this Subscription Agreement or any other matter, and regardless of whether such claim arises based on contract, tort, equity or any other theory of legal liability (any and all such claims are collectively referred to hereafter as the “</w:t>
      </w:r>
      <w:r>
        <w:rPr>
          <w:rFonts w:ascii="Times New Roman" w:cs="Times New Roman" w:eastAsia="Times New Roman" w:hAnsi="Times New Roman"/>
          <w:sz w:val="15"/>
          <w:szCs w:val="15"/>
          <w:u w:val="single" w:color="auto"/>
          <w:color w:val="auto"/>
        </w:rPr>
        <w:t>Released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Claims</w:t>
      </w:r>
      <w:r>
        <w:rPr>
          <w:rFonts w:ascii="Times New Roman" w:cs="Times New Roman" w:eastAsia="Times New Roman" w:hAnsi="Times New Roman"/>
          <w:sz w:val="15"/>
          <w:szCs w:val="15"/>
          <w:color w:val="auto"/>
        </w:rPr>
        <w:t xml:space="preserve">”); (ii) irrevocably waives any Released Claims that it may have against the Trust Account now or in the future as a result of, or arising out of, any negotiations, contracts or agreements with the Company; and (iii) will not seek recourse against the Trust Account for any reason whatsoever; provided however, that nothing in this </w:t>
      </w:r>
      <w:r>
        <w:rPr>
          <w:rFonts w:ascii="Times New Roman" w:cs="Times New Roman" w:eastAsia="Times New Roman" w:hAnsi="Times New Roman"/>
          <w:sz w:val="15"/>
          <w:szCs w:val="15"/>
          <w:u w:val="single" w:color="auto"/>
          <w:color w:val="auto"/>
        </w:rPr>
        <w:t>Section 8</w:t>
      </w:r>
      <w:r>
        <w:rPr>
          <w:rFonts w:ascii="Times New Roman" w:cs="Times New Roman" w:eastAsia="Times New Roman" w:hAnsi="Times New Roman"/>
          <w:sz w:val="15"/>
          <w:szCs w:val="15"/>
          <w:color w:val="auto"/>
        </w:rPr>
        <w:t xml:space="preserve"> shall be deemed to limit (x) any Subscriber’s right to distributions from the Trust Account in accordance with the Company’s amended and restated certificate of incorporation in respect of any redemptions by Subscriber of its shares of public Common Stock of the Company acquired by any means other than pursuant to this Subscription Agreement or</w:t>
      </w:r>
    </w:p>
    <w:p>
      <w:pPr>
        <w:spacing w:after="0" w:line="1" w:lineRule="exact"/>
        <w:rPr>
          <w:rFonts w:ascii="Times New Roman" w:cs="Times New Roman" w:eastAsia="Times New Roman" w:hAnsi="Times New Roman"/>
          <w:sz w:val="15"/>
          <w:szCs w:val="15"/>
          <w:color w:val="auto"/>
        </w:rPr>
      </w:pPr>
    </w:p>
    <w:p>
      <w:pPr>
        <w:jc w:val="both"/>
        <w:ind w:left="4" w:hanging="4"/>
        <w:spacing w:after="0" w:line="254" w:lineRule="auto"/>
        <w:tabs>
          <w:tab w:leader="none" w:pos="233"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Subscriber’s recourse against assets held outside of the Trust Account or held by the post-Closing combined entity. Subscriber acknowledges and agrees that it shall not have any redemption rights with respect to the Subscribed Shares pursuant to the Company’s organizational documents in connection with the Transaction or any other business combination, any subsequent liquidation of the Trust Account, the Company or otherwise.</w:t>
      </w:r>
    </w:p>
    <w:p>
      <w:pPr>
        <w:spacing w:after="0" w:line="163" w:lineRule="exact"/>
        <w:rPr>
          <w:rFonts w:ascii="Times New Roman" w:cs="Times New Roman" w:eastAsia="Times New Roman" w:hAnsi="Times New Roman"/>
          <w:sz w:val="16"/>
          <w:szCs w:val="16"/>
          <w:color w:val="auto"/>
        </w:rPr>
      </w:pPr>
    </w:p>
    <w:p>
      <w:pPr>
        <w:ind w:left="544" w:hanging="162"/>
        <w:spacing w:after="0"/>
        <w:tabs>
          <w:tab w:leader="none" w:pos="544" w:val="left"/>
        </w:tabs>
        <w:numPr>
          <w:ilvl w:val="1"/>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jc w:val="both"/>
        <w:ind w:left="4" w:firstLine="824"/>
        <w:spacing w:after="0" w:line="255" w:lineRule="auto"/>
        <w:tabs>
          <w:tab w:leader="none" w:pos="995" w:val="left"/>
        </w:tabs>
        <w:numPr>
          <w:ilvl w:val="2"/>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All notices, requests, demands, claims, and other communications hereunder shall be in writing. Any notice, request, demand, claim, or other communication hereunder shall be deemed duly given (i) when delivered personally to the recipient; (ii) when sent by electronic mail, on the date of transmission to such recipient; provided, that such notice, request, demand, claim or other communication is also sent to the recipient pursuant to clauses (i), (iii) or (iv) of this </w:t>
      </w:r>
      <w:r>
        <w:rPr>
          <w:rFonts w:ascii="Times New Roman" w:cs="Times New Roman" w:eastAsia="Times New Roman" w:hAnsi="Times New Roman"/>
          <w:sz w:val="16"/>
          <w:szCs w:val="16"/>
          <w:u w:val="single" w:color="auto"/>
          <w:color w:val="auto"/>
        </w:rPr>
        <w:t>Section 9(a)</w:t>
      </w:r>
      <w:r>
        <w:rPr>
          <w:rFonts w:ascii="Times New Roman" w:cs="Times New Roman" w:eastAsia="Times New Roman" w:hAnsi="Times New Roman"/>
          <w:sz w:val="16"/>
          <w:szCs w:val="16"/>
          <w:color w:val="auto"/>
        </w:rPr>
        <w:t xml:space="preserve">; (iii) one Business Day after being sent to the recipient by reputable overnight courier service (charges prepaid), or (iv) four (4) Business Days after being mailed to the recipient by certified or registered mail, return receipt requested and postage prepaid, and, in each case, addressed to the intended recipient at its address specified on the signature page hereof or to such electronic mail address or address as subsequently modified by written notice given in accordance with this </w:t>
      </w:r>
      <w:r>
        <w:rPr>
          <w:rFonts w:ascii="Times New Roman" w:cs="Times New Roman" w:eastAsia="Times New Roman" w:hAnsi="Times New Roman"/>
          <w:sz w:val="16"/>
          <w:szCs w:val="16"/>
          <w:u w:val="single" w:color="auto"/>
          <w:color w:val="auto"/>
        </w:rPr>
        <w:t>Section 9(a)</w:t>
      </w:r>
      <w:r>
        <w:rPr>
          <w:rFonts w:ascii="Times New Roman" w:cs="Times New Roman" w:eastAsia="Times New Roman" w:hAnsi="Times New Roman"/>
          <w:sz w:val="16"/>
          <w:szCs w:val="16"/>
          <w:color w:val="auto"/>
        </w:rPr>
        <w:t>.</w:t>
      </w:r>
    </w:p>
    <w:p>
      <w:pPr>
        <w:spacing w:after="0" w:line="165" w:lineRule="exact"/>
        <w:rPr>
          <w:rFonts w:ascii="Times New Roman" w:cs="Times New Roman" w:eastAsia="Times New Roman" w:hAnsi="Times New Roman"/>
          <w:sz w:val="16"/>
          <w:szCs w:val="16"/>
          <w:color w:val="auto"/>
        </w:rPr>
      </w:pPr>
    </w:p>
    <w:p>
      <w:pPr>
        <w:jc w:val="both"/>
        <w:ind w:left="4" w:right="20" w:firstLine="824"/>
        <w:spacing w:after="0" w:line="255" w:lineRule="auto"/>
        <w:tabs>
          <w:tab w:leader="none" w:pos="995" w:val="left"/>
        </w:tabs>
        <w:numPr>
          <w:ilvl w:val="2"/>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acknowledges that the Company and others will rely on the acknowledgments, understandings, agreements, representations and warranties contained in this Subscription Agreement. Prior to the Closing, Subscriber agrees to promptly notify the Company if it becomes aware that any of the acknowledgments, understandings, agreements, representations and warranties of Subscriber set forth herein are no longer accurate in all material respects. The Company acknowledges that Subscriber and others will rely on the acknowledgments, understandings, agreements, representations and warranties contained in this Subscription Agreement. Prior to the Closing, the Company agrees to promptly notify Subscriber if it becomes aware that any of the acknowledgments, understandings, agreements, representations and warranties of the Company set forth herein are no longer accurate in all material respects.</w:t>
      </w:r>
    </w:p>
    <w:p>
      <w:pPr>
        <w:spacing w:after="0" w:line="165" w:lineRule="exact"/>
        <w:rPr>
          <w:rFonts w:ascii="Times New Roman" w:cs="Times New Roman" w:eastAsia="Times New Roman" w:hAnsi="Times New Roman"/>
          <w:sz w:val="16"/>
          <w:szCs w:val="16"/>
          <w:color w:val="auto"/>
        </w:rPr>
      </w:pPr>
    </w:p>
    <w:p>
      <w:pPr>
        <w:ind w:left="4" w:firstLine="824"/>
        <w:spacing w:after="0" w:line="280" w:lineRule="auto"/>
        <w:tabs>
          <w:tab w:leader="none" w:pos="1014" w:val="left"/>
        </w:tabs>
        <w:numPr>
          <w:ilvl w:val="2"/>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Company and Subscriber is irrevocably authorized to produce this Subscription Agreement or a copy hereof to any interested party in any administrative or legal proceeding or official inquiry with respect to the matters covered hereby.</w:t>
      </w:r>
    </w:p>
    <w:p>
      <w:pPr>
        <w:spacing w:after="0" w:line="144" w:lineRule="exact"/>
        <w:rPr>
          <w:rFonts w:ascii="Times New Roman" w:cs="Times New Roman" w:eastAsia="Times New Roman" w:hAnsi="Times New Roman"/>
          <w:sz w:val="16"/>
          <w:szCs w:val="16"/>
          <w:color w:val="auto"/>
        </w:rPr>
      </w:pPr>
    </w:p>
    <w:p>
      <w:pPr>
        <w:ind w:left="984" w:hanging="156"/>
        <w:spacing w:after="0"/>
        <w:tabs>
          <w:tab w:leader="none" w:pos="984" w:val="left"/>
        </w:tabs>
        <w:numPr>
          <w:ilvl w:val="2"/>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shall pay all of its own expenses in connection with this Subscription Agreement and the transactions contemplated herein.</w:t>
      </w:r>
    </w:p>
    <w:p>
      <w:pPr>
        <w:spacing w:after="0" w:line="198" w:lineRule="exact"/>
        <w:rPr>
          <w:rFonts w:ascii="Times New Roman" w:cs="Times New Roman" w:eastAsia="Times New Roman" w:hAnsi="Times New Roman"/>
          <w:sz w:val="16"/>
          <w:szCs w:val="16"/>
          <w:color w:val="auto"/>
        </w:rPr>
      </w:pPr>
    </w:p>
    <w:p>
      <w:pPr>
        <w:jc w:val="both"/>
        <w:ind w:left="4" w:right="20" w:firstLine="824"/>
        <w:spacing w:after="0" w:line="254" w:lineRule="auto"/>
        <w:tabs>
          <w:tab w:leader="none" w:pos="989" w:val="left"/>
        </w:tabs>
        <w:numPr>
          <w:ilvl w:val="2"/>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this Subscription Agreement nor any rights that may accrue to Subscriber hereunder (other than the Subscribed Shares acquired hereunder, if any) may be transferred or assigned. Neither this Subscription Agreement nor any rights that may accrue to the Company hereunder may be transferred or assigned (provided, that, for the avoidance of doubt, the Company may transfer the Subscription Agreement and its rights hereunder solely in connection with the consummation of the Transaction and exclusively to another entity under the control of, or under common control with, the Company). Notwithstanding the foregoing, Subscriber may assign its rights and obligations under this Subscription Agreement to one or more of its affiliates (including other investment funds or accounts managed or advised by the investment manager who acts on behalf of Subscriber) or, with the Company’s prior written consent, to another person, provided that no such assignment shall relieve Subscriber of its obligations hereunder if any such assignee fails to perform such obligations, unless the Company has given its prior written consent to such relief.</w:t>
      </w:r>
    </w:p>
    <w:p>
      <w:pPr>
        <w:spacing w:after="0" w:line="34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8195" cy="152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51" w:name="page152"/>
    <w:bookmarkEnd w:id="151"/>
    <w:p>
      <w:pPr>
        <w:ind w:left="820"/>
        <w:spacing w:after="0"/>
        <w:rPr>
          <w:sz w:val="20"/>
          <w:szCs w:val="20"/>
          <w:color w:val="auto"/>
        </w:rPr>
      </w:pPr>
      <w:r>
        <w:rPr>
          <w:rFonts w:ascii="Times New Roman" w:cs="Times New Roman" w:eastAsia="Times New Roman" w:hAnsi="Times New Roman"/>
          <w:sz w:val="16"/>
          <w:szCs w:val="16"/>
          <w:color w:val="auto"/>
        </w:rPr>
        <w:t>f. All the agreements, representations and warranties made by each party hereto in this Subscription Agreement shall survive the Closing.</w:t>
      </w:r>
    </w:p>
    <w:p>
      <w:pPr>
        <w:spacing w:after="0" w:line="198" w:lineRule="exact"/>
        <w:rPr>
          <w:sz w:val="20"/>
          <w:szCs w:val="20"/>
          <w:color w:val="auto"/>
        </w:rPr>
      </w:pPr>
    </w:p>
    <w:p>
      <w:pPr>
        <w:jc w:val="both"/>
        <w:ind w:firstLine="828"/>
        <w:spacing w:after="0" w:line="265" w:lineRule="auto"/>
        <w:rPr>
          <w:sz w:val="20"/>
          <w:szCs w:val="20"/>
          <w:color w:val="auto"/>
        </w:rPr>
      </w:pPr>
      <w:r>
        <w:rPr>
          <w:rFonts w:ascii="Times New Roman" w:cs="Times New Roman" w:eastAsia="Times New Roman" w:hAnsi="Times New Roman"/>
          <w:sz w:val="16"/>
          <w:szCs w:val="16"/>
          <w:color w:val="auto"/>
        </w:rPr>
        <w:t>g. The Company may request from Subscriber such additional information as the Company may deem necessary to evaluate the eligibility of Subscriber to acquire the Subscribed Shares, and Subscriber shall provide such information as may be reasonably requested, to the extent readily available and to the extent consistent with its internal policies and procedures.</w:t>
      </w:r>
    </w:p>
    <w:p>
      <w:pPr>
        <w:spacing w:after="0" w:line="155" w:lineRule="exact"/>
        <w:rPr>
          <w:sz w:val="20"/>
          <w:szCs w:val="20"/>
          <w:color w:val="auto"/>
        </w:rPr>
      </w:pPr>
    </w:p>
    <w:p>
      <w:pPr>
        <w:jc w:val="both"/>
        <w:ind w:firstLine="828"/>
        <w:spacing w:after="0" w:line="252" w:lineRule="auto"/>
        <w:rPr>
          <w:sz w:val="20"/>
          <w:szCs w:val="20"/>
          <w:color w:val="auto"/>
        </w:rPr>
      </w:pPr>
      <w:r>
        <w:rPr>
          <w:rFonts w:ascii="Times New Roman" w:cs="Times New Roman" w:eastAsia="Times New Roman" w:hAnsi="Times New Roman"/>
          <w:sz w:val="16"/>
          <w:szCs w:val="16"/>
          <w:color w:val="auto"/>
        </w:rPr>
        <w:t>h. This Subscription Agreement may not be amended, modified, waived or terminated except by an instrument in writing, signed by the party against whom enforcement of such modification, waiver, or termination is sought; provided, that, this Subscription Agreement may be amended, modified, waived or terminated with the written consent of the Company and Subscribers then holding a majority of the Aggregate Subscribed Securities then committed to be purchased at the Closing by (or, if after the Closing, then held by) all Subscribers (the “</w:t>
      </w:r>
      <w:r>
        <w:rPr>
          <w:rFonts w:ascii="Times New Roman" w:cs="Times New Roman" w:eastAsia="Times New Roman" w:hAnsi="Times New Roman"/>
          <w:sz w:val="16"/>
          <w:szCs w:val="16"/>
          <w:u w:val="single" w:color="auto"/>
          <w:color w:val="auto"/>
        </w:rPr>
        <w:t>Required Subscribers</w:t>
      </w:r>
      <w:r>
        <w:rPr>
          <w:rFonts w:ascii="Times New Roman" w:cs="Times New Roman" w:eastAsia="Times New Roman" w:hAnsi="Times New Roman"/>
          <w:sz w:val="16"/>
          <w:szCs w:val="16"/>
          <w:color w:val="auto"/>
        </w:rPr>
        <w:t xml:space="preserve">”). Upon the effectuation of such waiver, modification, amendment or termination with the consent of the Required Subscribers in conformance with this </w:t>
      </w:r>
      <w:r>
        <w:rPr>
          <w:rFonts w:ascii="Times New Roman" w:cs="Times New Roman" w:eastAsia="Times New Roman" w:hAnsi="Times New Roman"/>
          <w:sz w:val="16"/>
          <w:szCs w:val="16"/>
          <w:u w:val="single" w:color="auto"/>
          <w:color w:val="auto"/>
        </w:rPr>
        <w:t>Section 9(h)</w:t>
      </w:r>
      <w:r>
        <w:rPr>
          <w:rFonts w:ascii="Times New Roman" w:cs="Times New Roman" w:eastAsia="Times New Roman" w:hAnsi="Times New Roman"/>
          <w:sz w:val="16"/>
          <w:szCs w:val="16"/>
          <w:color w:val="auto"/>
        </w:rPr>
        <w:t xml:space="preserve">, such amendment, modification, waiver or termination shall be binding on all Subscribers and effective as to all of the Subscription Agreements. The Company shall promptly give written notice thereof to Subscriber if Subscriber has not previously consented to such amendment, modification, waiver or termination in writing; provided that the failure to give such notice shall not affect the validity of such amendment, modification, waiver or termination. Notwithstanding anything to the contrary herein, (i) no amendment, modification or waiver shall be effective against any Subscriber unless such amendment, modification or waiver applies to all Subscribers equally; (ii) any amendment, modification or waiver that has a disproportionate effect on a Subscriber (considered apart from any disproportionate effect owing to the number of Subscribed Shares held by such Subscriber), shall require the consent of such Subscriber; (iii) any amendment to </w:t>
      </w:r>
      <w:r>
        <w:rPr>
          <w:rFonts w:ascii="Times New Roman" w:cs="Times New Roman" w:eastAsia="Times New Roman" w:hAnsi="Times New Roman"/>
          <w:sz w:val="16"/>
          <w:szCs w:val="16"/>
          <w:u w:val="single" w:color="auto"/>
          <w:color w:val="auto"/>
        </w:rPr>
        <w:t>Section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7</w:t>
      </w:r>
      <w:r>
        <w:rPr>
          <w:rFonts w:ascii="Times New Roman" w:cs="Times New Roman" w:eastAsia="Times New Roman" w:hAnsi="Times New Roman"/>
          <w:sz w:val="16"/>
          <w:szCs w:val="16"/>
          <w:color w:val="auto"/>
        </w:rPr>
        <w:t xml:space="preserve"> (to amend the definition of Termination Date) or this </w:t>
      </w:r>
      <w:r>
        <w:rPr>
          <w:rFonts w:ascii="Times New Roman" w:cs="Times New Roman" w:eastAsia="Times New Roman" w:hAnsi="Times New Roman"/>
          <w:sz w:val="16"/>
          <w:szCs w:val="16"/>
          <w:u w:val="single" w:color="auto"/>
          <w:color w:val="auto"/>
        </w:rPr>
        <w:t>Section 9(h)</w:t>
      </w:r>
      <w:r>
        <w:rPr>
          <w:rFonts w:ascii="Times New Roman" w:cs="Times New Roman" w:eastAsia="Times New Roman" w:hAnsi="Times New Roman"/>
          <w:sz w:val="16"/>
          <w:szCs w:val="16"/>
          <w:color w:val="auto"/>
        </w:rPr>
        <w:t xml:space="preserve"> of this Subscription Agreement; and (iv) any amendment, modification or other change that alters the Per Share Price, the Purchase Price, or the number of Subscribed Shares shall require the consent of the undersigned Subscriber.</w:t>
      </w:r>
    </w:p>
    <w:p>
      <w:pPr>
        <w:spacing w:after="0" w:line="167" w:lineRule="exact"/>
        <w:rPr>
          <w:sz w:val="20"/>
          <w:szCs w:val="20"/>
          <w:color w:val="auto"/>
        </w:rPr>
      </w:pPr>
    </w:p>
    <w:p>
      <w:pPr>
        <w:jc w:val="both"/>
        <w:ind w:right="20" w:firstLine="828"/>
        <w:spacing w:after="0" w:line="280" w:lineRule="auto"/>
        <w:rPr>
          <w:sz w:val="20"/>
          <w:szCs w:val="20"/>
          <w:color w:val="auto"/>
        </w:rPr>
      </w:pPr>
      <w:r>
        <w:rPr>
          <w:rFonts w:ascii="Times New Roman" w:cs="Times New Roman" w:eastAsia="Times New Roman" w:hAnsi="Times New Roman"/>
          <w:sz w:val="16"/>
          <w:szCs w:val="16"/>
          <w:color w:val="auto"/>
        </w:rPr>
        <w:t>i. This Subscription Agreement constitutes the entire agreement, and supersedes all other prior agreements, understandings, representations and warranties, both written and oral, among the parties, with respect to the subject matter hereof.</w:t>
      </w:r>
    </w:p>
    <w:p>
      <w:pPr>
        <w:spacing w:after="0" w:line="144" w:lineRule="exact"/>
        <w:rPr>
          <w:sz w:val="20"/>
          <w:szCs w:val="20"/>
          <w:color w:val="auto"/>
        </w:rPr>
      </w:pPr>
    </w:p>
    <w:p>
      <w:pPr>
        <w:jc w:val="both"/>
        <w:ind w:right="20" w:firstLine="828"/>
        <w:spacing w:after="0" w:line="265" w:lineRule="auto"/>
        <w:rPr>
          <w:sz w:val="20"/>
          <w:szCs w:val="20"/>
          <w:color w:val="auto"/>
        </w:rPr>
      </w:pPr>
      <w:r>
        <w:rPr>
          <w:rFonts w:ascii="Times New Roman" w:cs="Times New Roman" w:eastAsia="Times New Roman" w:hAnsi="Times New Roman"/>
          <w:sz w:val="16"/>
          <w:szCs w:val="16"/>
          <w:color w:val="auto"/>
        </w:rPr>
        <w:t>j. 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55" w:lineRule="exact"/>
        <w:rPr>
          <w:sz w:val="20"/>
          <w:szCs w:val="20"/>
          <w:color w:val="auto"/>
        </w:rPr>
      </w:pPr>
    </w:p>
    <w:p>
      <w:pPr>
        <w:jc w:val="both"/>
        <w:ind w:right="20" w:firstLine="828"/>
        <w:spacing w:after="0" w:line="280" w:lineRule="auto"/>
        <w:rPr>
          <w:sz w:val="20"/>
          <w:szCs w:val="20"/>
          <w:color w:val="auto"/>
        </w:rPr>
      </w:pPr>
      <w:r>
        <w:rPr>
          <w:rFonts w:ascii="Times New Roman" w:cs="Times New Roman" w:eastAsia="Times New Roman" w:hAnsi="Times New Roman"/>
          <w:sz w:val="16"/>
          <w:szCs w:val="16"/>
          <w:color w:val="auto"/>
        </w:rPr>
        <w:t>k. 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w:t>
      </w:r>
    </w:p>
    <w:p>
      <w:pPr>
        <w:spacing w:after="0" w:line="144" w:lineRule="exact"/>
        <w:rPr>
          <w:sz w:val="20"/>
          <w:szCs w:val="20"/>
          <w:color w:val="auto"/>
        </w:rPr>
      </w:pPr>
    </w:p>
    <w:p>
      <w:pPr>
        <w:jc w:val="both"/>
        <w:ind w:right="20" w:firstLine="828"/>
        <w:spacing w:after="0" w:line="265" w:lineRule="auto"/>
        <w:rPr>
          <w:sz w:val="20"/>
          <w:szCs w:val="20"/>
          <w:color w:val="auto"/>
        </w:rPr>
      </w:pPr>
      <w:r>
        <w:rPr>
          <w:rFonts w:ascii="Times New Roman" w:cs="Times New Roman" w:eastAsia="Times New Roman" w:hAnsi="Times New Roman"/>
          <w:sz w:val="16"/>
          <w:szCs w:val="16"/>
          <w:color w:val="auto"/>
        </w:rPr>
        <w:t>l. This Subscription Agreement may be executed and delivered in one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155" w:lineRule="exact"/>
        <w:rPr>
          <w:sz w:val="20"/>
          <w:szCs w:val="20"/>
          <w:color w:val="auto"/>
        </w:rPr>
      </w:pPr>
    </w:p>
    <w:p>
      <w:pPr>
        <w:jc w:val="both"/>
        <w:ind w:firstLine="828"/>
        <w:spacing w:after="0" w:line="280" w:lineRule="auto"/>
        <w:rPr>
          <w:sz w:val="20"/>
          <w:szCs w:val="20"/>
          <w:color w:val="auto"/>
        </w:rPr>
      </w:pPr>
      <w:r>
        <w:rPr>
          <w:rFonts w:ascii="Times New Roman" w:cs="Times New Roman" w:eastAsia="Times New Roman" w:hAnsi="Times New Roman"/>
          <w:sz w:val="16"/>
          <w:szCs w:val="16"/>
          <w:color w:val="auto"/>
        </w:rPr>
        <w:t>m. This Subscription Agreement is intended for the benefit of the parties hereto and their respective successors and permitted assigns and is not for the benefit of, nor may any provision hereof be enforced by, any other person.</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52" w:name="page153"/>
    <w:bookmarkEnd w:id="152"/>
    <w:p>
      <w:pPr>
        <w:jc w:val="both"/>
        <w:ind w:right="20" w:firstLine="828"/>
        <w:spacing w:after="0" w:line="259" w:lineRule="auto"/>
        <w:rPr>
          <w:sz w:val="20"/>
          <w:szCs w:val="20"/>
          <w:color w:val="auto"/>
        </w:rPr>
      </w:pPr>
      <w:r>
        <w:rPr>
          <w:rFonts w:ascii="Times New Roman" w:cs="Times New Roman" w:eastAsia="Times New Roman" w:hAnsi="Times New Roman"/>
          <w:sz w:val="16"/>
          <w:szCs w:val="16"/>
          <w:color w:val="auto"/>
        </w:rPr>
        <w:t>n. The parties hereto agree that irreparable damage would occur in the event that any of the provisions of this Subscription Agreement were not performed in accordance with their specific terms or were otherwise breached. It is accordingly agreed that the parties shall be entitled to seek an injunction or injunctions to prevent breaches of this Subscription Agreement and to enforce specifically the terms and provisions of this Subscription Agreement, this being in addition to any other remedy to which such party is entitled at law, in equity, in contract, in tort or otherwise.</w:t>
      </w:r>
    </w:p>
    <w:p>
      <w:pPr>
        <w:spacing w:after="0" w:line="162" w:lineRule="exact"/>
        <w:rPr>
          <w:sz w:val="20"/>
          <w:szCs w:val="20"/>
          <w:color w:val="auto"/>
        </w:rPr>
      </w:pPr>
    </w:p>
    <w:p>
      <w:pPr>
        <w:jc w:val="both"/>
        <w:ind w:right="20" w:firstLine="828"/>
        <w:spacing w:after="0" w:line="280" w:lineRule="auto"/>
        <w:rPr>
          <w:sz w:val="20"/>
          <w:szCs w:val="20"/>
          <w:color w:val="auto"/>
        </w:rPr>
      </w:pPr>
      <w:r>
        <w:rPr>
          <w:rFonts w:ascii="Times New Roman" w:cs="Times New Roman" w:eastAsia="Times New Roman" w:hAnsi="Times New Roman"/>
          <w:sz w:val="16"/>
          <w:szCs w:val="16"/>
          <w:color w:val="auto"/>
        </w:rPr>
        <w:t>o. This Subscription Agreement shall be governed by, and construed in accordance with, the laws of the State of Delaware, without regard to the principles of conflicts of laws that would otherwise require the application of the law of any other state.</w:t>
      </w:r>
    </w:p>
    <w:p>
      <w:pPr>
        <w:spacing w:after="0" w:line="142" w:lineRule="exact"/>
        <w:rPr>
          <w:sz w:val="20"/>
          <w:szCs w:val="20"/>
          <w:color w:val="auto"/>
        </w:rPr>
      </w:pPr>
    </w:p>
    <w:p>
      <w:pPr>
        <w:jc w:val="both"/>
        <w:ind w:right="20" w:firstLine="828"/>
        <w:spacing w:after="0" w:line="253" w:lineRule="auto"/>
        <w:rPr>
          <w:sz w:val="20"/>
          <w:szCs w:val="20"/>
          <w:color w:val="auto"/>
        </w:rPr>
      </w:pPr>
      <w:r>
        <w:rPr>
          <w:rFonts w:ascii="Times New Roman" w:cs="Times New Roman" w:eastAsia="Times New Roman" w:hAnsi="Times New Roman"/>
          <w:sz w:val="16"/>
          <w:szCs w:val="16"/>
          <w:color w:val="auto"/>
        </w:rPr>
        <w:t xml:space="preserve">p. </w:t>
      </w:r>
      <w:r>
        <w:rPr>
          <w:rFonts w:ascii="Times New Roman" w:cs="Times New Roman" w:eastAsia="Times New Roman" w:hAnsi="Times New Roman"/>
          <w:sz w:val="16"/>
          <w:szCs w:val="16"/>
          <w:b w:val="1"/>
          <w:bCs w:val="1"/>
          <w:color w:val="auto"/>
        </w:rPr>
        <w:t>EACH PARTY HEREBY WAIVES ITS RESPECTIVE RIGHTS TO A TRIAL BY JURY OF ANY CLAIM OR CAUSE OF ACTION BASED UPON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OR ARISING OUT OR RELATED TO THIS SUBSCRIPTION AGREEMENT OR THE TRANSACTIONS CONTEMPLATED HEREBY IN ANY ACTION, PROCEEDING OR OTHER LITIGATION OF ANY TYPE BROUGHT BY ANY PARTY AGAINST ANY OTHER PARTY OR ANY AFFILIATE OF ANY OTHER SUCH PARTY, WHETHER WITH RESPECT TO CONTRACT CLAIMS, TORT CLAIMS OR OTHERWISE. THE PARTIES AGREE THAT ANY SUCH CLAIM OR CAUSE OF ACTION SHALL BE TRIED BY A COURT TRIAL WITHOUT A JURY. WITHOUT LIMITING THE FOREGOING, THE PARTIES FURTHER AGREE THAT THEIR RESPECTIVE RIGHT TO A TRIAL BY JURY IS WAIVED BY OPERATION OF THIS SECTION AS TO ANY ACTION, COUNTERCLAIM OR OTHER PROCEEDING WHICH SEEKS, IN WHOLE OR IN PART, TO CHALLENGE THE VALIDITY OR ENFORCEABILITY OF THIS SUBSCRIPTION AGREEMENT OR ANY PROVISION HEREOF. THIS WAIVER SHALL APPLY TO ANY SUBSEQUENT AMENDMENTS, RENEWALS, SUPPLEMENTS OR MODIFICATIONS TO THIS SUBSCRIPTION AGREEMENT.</w:t>
      </w:r>
    </w:p>
    <w:p>
      <w:pPr>
        <w:spacing w:after="0" w:line="168" w:lineRule="exact"/>
        <w:rPr>
          <w:sz w:val="20"/>
          <w:szCs w:val="20"/>
          <w:color w:val="auto"/>
        </w:rPr>
      </w:pPr>
    </w:p>
    <w:p>
      <w:pPr>
        <w:jc w:val="both"/>
        <w:ind w:right="20" w:firstLine="828"/>
        <w:spacing w:after="0" w:line="252" w:lineRule="auto"/>
        <w:rPr>
          <w:sz w:val="20"/>
          <w:szCs w:val="20"/>
          <w:color w:val="auto"/>
        </w:rPr>
      </w:pPr>
      <w:r>
        <w:rPr>
          <w:rFonts w:ascii="Times New Roman" w:cs="Times New Roman" w:eastAsia="Times New Roman" w:hAnsi="Times New Roman"/>
          <w:sz w:val="16"/>
          <w:szCs w:val="16"/>
          <w:color w:val="auto"/>
        </w:rPr>
        <w:t>q. The parties agree that all disputes, legal actions, suits and proceedings arising out of or relating to this Subscription Agreement must be brought exclusively in the Court of Chancery of the State of Delaware and any state appellate court therefrom within the State of Delaware (or, if the Court of Chancery of the State of Delaware declines to accept jurisdiction over a particular matter, any federal court within the State of Delaware or, in the event each federal court within the State of Delaware declines to accept jurisdiction over a particular matter, any state court within the State of Delaware) (collectively the “</w:t>
      </w:r>
      <w:r>
        <w:rPr>
          <w:rFonts w:ascii="Times New Roman" w:cs="Times New Roman" w:eastAsia="Times New Roman" w:hAnsi="Times New Roman"/>
          <w:sz w:val="16"/>
          <w:szCs w:val="16"/>
          <w:u w:val="single" w:color="auto"/>
          <w:color w:val="auto"/>
        </w:rPr>
        <w:t>Designated Courts</w:t>
      </w:r>
      <w:r>
        <w:rPr>
          <w:rFonts w:ascii="Times New Roman" w:cs="Times New Roman" w:eastAsia="Times New Roman" w:hAnsi="Times New Roman"/>
          <w:sz w:val="16"/>
          <w:szCs w:val="16"/>
          <w:color w:val="auto"/>
        </w:rPr>
        <w:t xml:space="preserve">”). Each party hereby consents and submits to the exclusive jurisdiction of the Designated Courts. No legal action, suit or proceeding with respect to this subscription agreement may be brought in any other forum. Each party hereby irrevocably waives all claims of immunity from jurisdiction and any objection which such party may now or hereafter have to the laying of venue of any suit, action or proceeding in any Designated Court, including any right to object on the basis that any dispute, action, suit or proceeding brought in the Designated Courts has been brought in an improper or inconvenient forum or venue. Each of the parties also agrees that delivery of any process, summons, notice or document to a party hereof in compliance with </w:t>
      </w:r>
      <w:r>
        <w:rPr>
          <w:rFonts w:ascii="Times New Roman" w:cs="Times New Roman" w:eastAsia="Times New Roman" w:hAnsi="Times New Roman"/>
          <w:sz w:val="16"/>
          <w:szCs w:val="16"/>
          <w:u w:val="single" w:color="auto"/>
          <w:color w:val="auto"/>
        </w:rPr>
        <w:t>Section 9(a)</w:t>
      </w:r>
      <w:r>
        <w:rPr>
          <w:rFonts w:ascii="Times New Roman" w:cs="Times New Roman" w:eastAsia="Times New Roman" w:hAnsi="Times New Roman"/>
          <w:sz w:val="16"/>
          <w:szCs w:val="16"/>
          <w:color w:val="auto"/>
        </w:rPr>
        <w:t xml:space="preserve"> of this Subscription Agreement shall be effective service of process for any action, suit or proceeding in a Designated Court with respect to any matters to which the parties have submitted to jurisdiction as set forth above.</w:t>
      </w:r>
    </w:p>
    <w:p>
      <w:pPr>
        <w:spacing w:after="0" w:line="171" w:lineRule="exact"/>
        <w:rPr>
          <w:sz w:val="20"/>
          <w:szCs w:val="20"/>
          <w:color w:val="auto"/>
        </w:rPr>
      </w:pPr>
    </w:p>
    <w:p>
      <w:pPr>
        <w:jc w:val="both"/>
        <w:ind w:right="20" w:firstLine="828"/>
        <w:spacing w:after="0" w:line="255" w:lineRule="auto"/>
        <w:rPr>
          <w:sz w:val="20"/>
          <w:szCs w:val="20"/>
          <w:color w:val="auto"/>
        </w:rPr>
      </w:pPr>
      <w:r>
        <w:rPr>
          <w:rFonts w:ascii="Times New Roman" w:cs="Times New Roman" w:eastAsia="Times New Roman" w:hAnsi="Times New Roman"/>
          <w:sz w:val="16"/>
          <w:szCs w:val="16"/>
          <w:color w:val="auto"/>
        </w:rPr>
        <w:t>r. This Subscription Agreement may only be enforced against, and any claim, action, suit or other legal proceeding based upon, arising out of, or related to this Subscription Agreement, or the negotiation, execution or performance of this Subscription Agreement, may only be brought against the entities that are expressly named as parties hereto and then only with respect to the specific obligations set forth herein with respect to such party. No past, present or future director, officer, employee, incorporator, manager, member, partner, stockholder, affiliate, agent, attorney or other representative of any party hereto or of any affiliate of any party hereto, or any of their successors or permitted assigns, shall have any liability for any obligations or liabilities of any party hereto under this Subscription Agreement or for any claim, action, suit or other legal proceeding based on, in respect of or by reason of the transactions contemplated hereby.</w:t>
      </w:r>
    </w:p>
    <w:p>
      <w:pPr>
        <w:spacing w:after="0" w:line="169" w:lineRule="exact"/>
        <w:rPr>
          <w:sz w:val="20"/>
          <w:szCs w:val="20"/>
          <w:color w:val="auto"/>
        </w:rPr>
      </w:pPr>
    </w:p>
    <w:p>
      <w:pPr>
        <w:jc w:val="both"/>
        <w:ind w:firstLine="828"/>
        <w:spacing w:after="0"/>
        <w:rPr>
          <w:sz w:val="20"/>
          <w:szCs w:val="20"/>
          <w:color w:val="auto"/>
        </w:rPr>
      </w:pPr>
      <w:r>
        <w:rPr>
          <w:rFonts w:ascii="Times New Roman" w:cs="Times New Roman" w:eastAsia="Times New Roman" w:hAnsi="Times New Roman"/>
          <w:sz w:val="16"/>
          <w:szCs w:val="16"/>
          <w:color w:val="auto"/>
        </w:rPr>
        <w:t>s. The Company shall, by 9:00 a.m., New York City time, on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6"/>
          <w:szCs w:val="16"/>
          <w:color w:val="auto"/>
        </w:rPr>
        <w:t>) business day immediately following the date of this Subscription Agreement, issue one or more press releases or file with the Commission a Current Report on Form 8-K (collectively, the “</w:t>
      </w:r>
      <w:r>
        <w:rPr>
          <w:rFonts w:ascii="Times New Roman" w:cs="Times New Roman" w:eastAsia="Times New Roman" w:hAnsi="Times New Roman"/>
          <w:sz w:val="16"/>
          <w:szCs w:val="16"/>
          <w:u w:val="single" w:color="auto"/>
          <w:color w:val="auto"/>
        </w:rPr>
        <w:t>Disclosure Document</w:t>
      </w:r>
      <w:r>
        <w:rPr>
          <w:rFonts w:ascii="Times New Roman" w:cs="Times New Roman" w:eastAsia="Times New Roman" w:hAnsi="Times New Roman"/>
          <w:sz w:val="16"/>
          <w:szCs w:val="16"/>
          <w:color w:val="auto"/>
        </w:rPr>
        <w:t>”) disclosing, to the extent not previously publicly disclosed, all material terms of the transactions contemplated hereby and any other material, nonpublic information that the Company has provided to Subscriber at any time prior to the filing of the Disclosure Document. From and after the issuance of the Disclosure Document, Subscriber shall not be in possession of any material, non- public information received from the Company or any of its officers, directors or employees. Notwithstanding the foregoing, the Company shall not publicly disclose the name of Subscriber or any affiliate or investment adviser of Subscriber, or include the name of Subscriber or any affiliate or investment adviser of Subscriber in any press release or in any filing with the Commission or any regulatory agency or trading market, without the prior written consent (including by e-mail) of Subscriber, except as required by the federal securities laws, rules or regulations and to the extent such disclosure is required by other laws, rules or regulations, at the request of the staff of the Commission or regulatory agency or under Nasdaq Stock Market regulations, in which case the Company shall provide Subscriber with prior written notice (including by e-mail) of such permitted disclosure, and shall reasonably consult with Subscriber regarding such disclosure.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53" w:name="page154"/>
    <w:bookmarkEnd w:id="153"/>
    <w:p>
      <w:pPr>
        <w:jc w:val="both"/>
        <w:ind w:firstLine="828"/>
        <w:spacing w:after="0" w:line="251" w:lineRule="auto"/>
        <w:rPr>
          <w:sz w:val="20"/>
          <w:szCs w:val="20"/>
          <w:color w:val="auto"/>
        </w:rPr>
      </w:pPr>
      <w:r>
        <w:rPr>
          <w:rFonts w:ascii="Times New Roman" w:cs="Times New Roman" w:eastAsia="Times New Roman" w:hAnsi="Times New Roman"/>
          <w:sz w:val="16"/>
          <w:szCs w:val="16"/>
          <w:color w:val="auto"/>
        </w:rPr>
        <w:t>t. The obligations of Subscriber under this Subscription Agreement are several and not joint with the obligations of any Other Subscriber or any other investor under the Other Subscription Agreements, and Subscriber shall not be responsible in any way for the performance of the obligations of any Other Subscriber under this Subscription Agreement or any other investor under the Other Subscription Agreements. The decision of Subscriber to purchase Subscribed Shares pursuant to this Subscription Agreement has been made by Subscriber independently of any Other Subscriber or any other investor and independently of any information, materials, statements or opinions as to the business, affairs, operations, assets, properties, liabilities, results of operations, condition (financial or otherwise) or prospects of the Company or any of its subsidiaries which may have been made or given by any Other Subscriber or investor or by any agent or employee of any Other Subscriber or investor, and neither Subscriber nor any of its agents or employees shall have any liability to any Other Subscriber or investor (or any other person) relating to or arising from any such information, materials, statements or opinions. Nothing contained herein or in any Other Subscription Agreement, and no action taken by Subscriber or investor pursuant hereto or thereto, shall be deemed to constitute Subscriber and other investors as a partnership, an association, a joint venture or any other kind of entity, or create a presumption that Subscriber and other investors are in any way acting in concert or as a group with respect to such obligations or the transactions contemplated by this Subscription Agreement and the Other Subscription Agreements. Subscriber acknowledges that no Other Subscriber has acted as agent for Subscriber in connection with making its investment hereunder and no Other Subscriber will be acting as agent of Subscriber in connection with monitoring its investment in the Subscribed Shares or enforcing its rights under this Subscription Agreement. Subscriber shall be entitled to independently protect and enforce its rights, including without limitation the rights arising out of this Subscription Agreement, and it shall not be necessary for any Other Subscriber or investor to be joined as an additional party in any proceeding for such purpose.</w:t>
      </w:r>
    </w:p>
    <w:p>
      <w:pPr>
        <w:spacing w:after="0" w:line="17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6"/>
          <w:szCs w:val="16"/>
          <w:color w:val="auto"/>
        </w:rPr>
        <w:t>u. Following the Closing Date, Company shall hold regular quarterly conference calls to discuss the company’s financial results during the previous quarter.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pages follow.]</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54" w:name="page155"/>
    <w:bookmarkEnd w:id="154"/>
    <w:p>
      <w:pPr>
        <w:ind w:firstLine="382"/>
        <w:spacing w:after="0" w:line="283" w:lineRule="auto"/>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each of the Company and Subscriber has executed or caused this Subscription Agreement to be executed by its duly authorized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representative as of the date first set forth above.</w:t>
      </w:r>
    </w:p>
    <w:p>
      <w:pPr>
        <w:spacing w:after="0" w:line="14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VENTOUX CCM ACQUISITION CORP.</w:t>
      </w:r>
    </w:p>
    <w:p>
      <w:pPr>
        <w:spacing w:after="0" w:line="198"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6"/>
          <w:szCs w:val="16"/>
          <w:color w:val="auto"/>
        </w:rPr>
        <w:t>By:</w:t>
        <w:tab/>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15240</wp:posOffset>
            </wp:positionV>
            <wp:extent cx="2572385" cy="152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6"/>
          <w:szCs w:val="16"/>
          <w:color w:val="auto"/>
        </w:rPr>
        <w:t>Name: Edward Scheetz</w:t>
      </w:r>
    </w:p>
    <w:p>
      <w:pPr>
        <w:spacing w:after="0" w:line="24"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6"/>
          <w:szCs w:val="16"/>
          <w:color w:val="auto"/>
        </w:rPr>
        <w:t>Title: Chairman and Chief Executive Officer</w:t>
      </w:r>
    </w:p>
    <w:p>
      <w:pPr>
        <w:spacing w:after="0" w:line="18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Address for Notices:</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1 East Putnam Avenue, Floor 4</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Greenwich, CT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Ventoux CCM Acquisition Corp Subscription Agreement]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155" w:name="page156"/>
    <w:bookmarkEnd w:id="155"/>
    <w:tbl>
      <w:tblPr>
        <w:tblLayout w:type="fixed"/>
        <w:tblInd w:w="6760" w:type="dxa"/>
        <w:tblCellMar>
          <w:top w:w="0" w:type="dxa"/>
          <w:left w:w="0" w:type="dxa"/>
          <w:bottom w:w="0" w:type="dxa"/>
          <w:right w:w="0" w:type="dxa"/>
        </w:tblCellMar>
      </w:tblPr>
      <w:tr>
        <w:trPr>
          <w:trHeight w:val="208"/>
        </w:trPr>
        <w:tc>
          <w:tcPr>
            <w:tcW w:w="1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SUBSCRIBER:</w:t>
            </w:r>
          </w:p>
        </w:tc>
        <w:tc>
          <w:tcPr>
            <w:tcW w:w="3380" w:type="dxa"/>
            <w:vAlign w:val="bottom"/>
          </w:tcPr>
          <w:p>
            <w:pPr>
              <w:spacing w:after="0"/>
              <w:rPr>
                <w:sz w:val="18"/>
                <w:szCs w:val="18"/>
                <w:color w:val="auto"/>
              </w:rPr>
            </w:pPr>
          </w:p>
        </w:tc>
      </w:tr>
      <w:tr>
        <w:trPr>
          <w:trHeight w:val="386"/>
        </w:trPr>
        <w:tc>
          <w:tcPr>
            <w:tcW w:w="1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Print Name:</w:t>
            </w:r>
          </w:p>
        </w:tc>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Presto CA LLC</w:t>
            </w:r>
          </w:p>
        </w:tc>
      </w:tr>
      <w:tr>
        <w:trPr>
          <w:trHeight w:val="386"/>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/s/ Joseph McCoy</w:t>
            </w:r>
          </w:p>
        </w:tc>
      </w:tr>
      <w:tr>
        <w:trPr>
          <w:trHeight w:val="175"/>
        </w:trPr>
        <w:tc>
          <w:tcPr>
            <w:tcW w:w="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Joseph McCoy</w:t>
            </w:r>
          </w:p>
        </w:tc>
      </w:t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Authorized Signatory</w:t>
            </w:r>
          </w:p>
        </w:tc>
      </w:tr>
    </w:tbl>
    <w:p>
      <w:pPr>
        <w:spacing w:after="0" w:line="17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Address for Notices:</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222 N. Canal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15240</wp:posOffset>
            </wp:positionV>
            <wp:extent cx="2853055" cy="152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1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Third Floor Chicago, IL 60606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15240</wp:posOffset>
            </wp:positionV>
            <wp:extent cx="2853055" cy="152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1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Name in which shares are to be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257810</wp:posOffset>
            </wp:positionV>
            <wp:extent cx="2853055" cy="152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Number of Subscribed Shares subscribed for:</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6,593,687</w:t>
            </w:r>
          </w:p>
        </w:tc>
        <w:tc>
          <w:tcPr>
            <w:tcW w:w="120" w:type="dxa"/>
            <w:vAlign w:val="bottom"/>
            <w:shd w:val="clear" w:color="auto" w:fill="CCEEFF"/>
          </w:tcPr>
          <w:p>
            <w:pPr>
              <w:spacing w:after="0"/>
              <w:rPr>
                <w:sz w:val="16"/>
                <w:szCs w:val="16"/>
                <w:color w:val="auto"/>
              </w:rPr>
            </w:pPr>
          </w:p>
        </w:tc>
      </w:tr>
      <w:tr>
        <w:trPr>
          <w:trHeight w:val="191"/>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Price Per Subscribed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7.58</w:t>
            </w:r>
          </w:p>
        </w:tc>
      </w:tr>
      <w:tr>
        <w:trPr>
          <w:trHeight w:val="203"/>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Aggregate Purchase Price of Subscribed Shares: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50,000,000.00</w:t>
            </w:r>
          </w:p>
        </w:tc>
      </w:tr>
      <w:tr>
        <w:trPr>
          <w:trHeight w:val="24"/>
        </w:trPr>
        <w:tc>
          <w:tcPr>
            <w:tcW w:w="100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You must pay the Purchase Price by wire transfer of United States dollars in immediately available funds to the account of the Company specified by the Company in the Closing Notice.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Ventoux CCM Acquisition Corp Subscription Agreement]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56" w:name="page157"/>
    <w:bookmarkEnd w:id="156"/>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ANNEX A</w:t>
      </w:r>
    </w:p>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ELIGIBILITY REPRESENTATIONS OF SUBSCRIBER</w:t>
      </w:r>
    </w:p>
    <w:p>
      <w:pPr>
        <w:spacing w:after="0" w:line="2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This Annex A should be completed and signed by Subscriber</w:t>
      </w:r>
    </w:p>
    <w:p>
      <w:pPr>
        <w:spacing w:after="0" w:line="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and constitutes a part of the Subscription Agreement.</w:t>
      </w:r>
    </w:p>
    <w:p>
      <w:pPr>
        <w:spacing w:after="0" w:line="182" w:lineRule="exact"/>
        <w:rPr>
          <w:sz w:val="20"/>
          <w:szCs w:val="20"/>
          <w:color w:val="auto"/>
        </w:rPr>
      </w:pPr>
    </w:p>
    <w:p>
      <w:pPr>
        <w:ind w:left="564" w:hanging="564"/>
        <w:spacing w:after="0"/>
        <w:tabs>
          <w:tab w:leader="none" w:pos="564"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ACCREDITED INVESTOR STATUS (Please check the box)</w:t>
      </w:r>
    </w:p>
    <w:p>
      <w:pPr>
        <w:spacing w:after="0" w:line="198" w:lineRule="exact"/>
        <w:rPr>
          <w:rFonts w:ascii="Times New Roman" w:cs="Times New Roman" w:eastAsia="Times New Roman" w:hAnsi="Times New Roman"/>
          <w:sz w:val="16"/>
          <w:szCs w:val="16"/>
          <w:color w:val="auto"/>
        </w:rPr>
      </w:pPr>
    </w:p>
    <w:p>
      <w:pPr>
        <w:ind w:left="864" w:right="20" w:hanging="291"/>
        <w:spacing w:after="0" w:line="280" w:lineRule="auto"/>
        <w:tabs>
          <w:tab w:leader="none" w:pos="864" w:val="left"/>
        </w:tabs>
        <w:numPr>
          <w:ilvl w:val="1"/>
          <w:numId w:val="17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Subscriber is an “accredited investor” (within the meaning of Rule 501(a) under the Securities Act) and has marked and initialed the appropriate box below indicating the provision under which it qualifies as an “accredited investor.”</w:t>
      </w:r>
    </w:p>
    <w:p>
      <w:pPr>
        <w:spacing w:after="0" w:line="144" w:lineRule="exact"/>
        <w:rPr>
          <w:rFonts w:ascii="MS PGothic" w:cs="MS PGothic" w:eastAsia="MS PGothic" w:hAnsi="MS PGothic"/>
          <w:sz w:val="16"/>
          <w:szCs w:val="16"/>
          <w:color w:val="auto"/>
        </w:rPr>
      </w:pPr>
    </w:p>
    <w:p>
      <w:pPr>
        <w:ind w:left="564" w:hanging="564"/>
        <w:spacing w:after="0"/>
        <w:tabs>
          <w:tab w:leader="none" w:pos="564"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AFFILIATE STATUS</w:t>
      </w:r>
    </w:p>
    <w:p>
      <w:pPr>
        <w:spacing w:after="0" w:line="23" w:lineRule="exact"/>
        <w:rPr>
          <w:rFonts w:ascii="Times New Roman" w:cs="Times New Roman" w:eastAsia="Times New Roman" w:hAnsi="Times New Roman"/>
          <w:sz w:val="16"/>
          <w:szCs w:val="16"/>
          <w:color w:val="auto"/>
        </w:rPr>
      </w:pPr>
    </w:p>
    <w:p>
      <w:pPr>
        <w:ind w:left="56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(Please check the applicable box)</w:t>
      </w:r>
    </w:p>
    <w:p>
      <w:pPr>
        <w:spacing w:after="0" w:line="181" w:lineRule="exact"/>
        <w:rPr>
          <w:rFonts w:ascii="Times New Roman" w:cs="Times New Roman" w:eastAsia="Times New Roman" w:hAnsi="Times New Roman"/>
          <w:sz w:val="16"/>
          <w:szCs w:val="16"/>
          <w:color w:val="auto"/>
        </w:rPr>
      </w:pPr>
    </w:p>
    <w:p>
      <w:pPr>
        <w:ind w:left="56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w:t>
      </w:r>
    </w:p>
    <w:p>
      <w:pPr>
        <w:spacing w:after="0" w:line="198" w:lineRule="exact"/>
        <w:rPr>
          <w:rFonts w:ascii="Times New Roman" w:cs="Times New Roman" w:eastAsia="Times New Roman" w:hAnsi="Times New Roman"/>
          <w:sz w:val="16"/>
          <w:szCs w:val="16"/>
          <w:color w:val="auto"/>
        </w:rPr>
      </w:pPr>
    </w:p>
    <w:p>
      <w:pPr>
        <w:ind w:left="864" w:hanging="291"/>
        <w:spacing w:after="0"/>
        <w:tabs>
          <w:tab w:leader="none" w:pos="864" w:val="left"/>
        </w:tabs>
        <w:numPr>
          <w:ilvl w:val="1"/>
          <w:numId w:val="17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is:</w:t>
      </w:r>
    </w:p>
    <w:p>
      <w:pPr>
        <w:spacing w:after="0" w:line="198" w:lineRule="exact"/>
        <w:rPr>
          <w:rFonts w:ascii="MS PGothic" w:cs="MS PGothic" w:eastAsia="MS PGothic" w:hAnsi="MS PGothic"/>
          <w:sz w:val="16"/>
          <w:szCs w:val="16"/>
          <w:color w:val="auto"/>
        </w:rPr>
      </w:pPr>
    </w:p>
    <w:p>
      <w:pPr>
        <w:ind w:left="864" w:hanging="291"/>
        <w:spacing w:after="0"/>
        <w:tabs>
          <w:tab w:leader="none" w:pos="864" w:val="left"/>
        </w:tabs>
        <w:numPr>
          <w:ilvl w:val="1"/>
          <w:numId w:val="17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is not:</w:t>
      </w:r>
    </w:p>
    <w:p>
      <w:pPr>
        <w:spacing w:after="0" w:line="19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an “affiliate” (as defined in Rule 144 under the Securities Act) of the Company or acting on behalf of an affiliate of the Company.</w:t>
      </w:r>
    </w:p>
    <w:p>
      <w:pPr>
        <w:spacing w:after="0" w:line="198" w:lineRule="exact"/>
        <w:rPr>
          <w:sz w:val="20"/>
          <w:szCs w:val="20"/>
          <w:color w:val="auto"/>
        </w:rPr>
      </w:pPr>
    </w:p>
    <w:p>
      <w:pPr>
        <w:jc w:val="both"/>
        <w:ind w:left="4" w:firstLine="574"/>
        <w:spacing w:after="0" w:line="265" w:lineRule="auto"/>
        <w:rPr>
          <w:sz w:val="20"/>
          <w:szCs w:val="20"/>
          <w:color w:val="auto"/>
        </w:rPr>
      </w:pPr>
      <w:r>
        <w:rPr>
          <w:rFonts w:ascii="Times New Roman" w:cs="Times New Roman" w:eastAsia="Times New Roman" w:hAnsi="Times New Roman"/>
          <w:sz w:val="16"/>
          <w:szCs w:val="16"/>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Subscriber has indicated, by marking and initialing the appropriate box below, the provision(s) below which apply to Subscriber and under which Subscriber accordingly qualifies as an “accredited investor.”</w:t>
      </w:r>
    </w:p>
    <w:p>
      <w:pPr>
        <w:spacing w:after="0" w:line="155" w:lineRule="exact"/>
        <w:rPr>
          <w:sz w:val="20"/>
          <w:szCs w:val="20"/>
          <w:color w:val="auto"/>
        </w:rPr>
      </w:pPr>
    </w:p>
    <w:p>
      <w:pPr>
        <w:ind w:left="864" w:right="20" w:hanging="291"/>
        <w:spacing w:after="0" w:line="280" w:lineRule="auto"/>
        <w:tabs>
          <w:tab w:leader="none" w:pos="864" w:val="left"/>
        </w:tabs>
        <w:numPr>
          <w:ilvl w:val="0"/>
          <w:numId w:val="17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bank, registered broker or dealer, insurance company, registered investment company, business development company, or small business investment company;</w:t>
      </w:r>
    </w:p>
    <w:p>
      <w:pPr>
        <w:spacing w:after="0" w:line="144" w:lineRule="exact"/>
        <w:rPr>
          <w:rFonts w:ascii="MS PGothic" w:cs="MS PGothic" w:eastAsia="MS PGothic" w:hAnsi="MS PGothic"/>
          <w:sz w:val="16"/>
          <w:szCs w:val="16"/>
          <w:color w:val="auto"/>
        </w:rPr>
      </w:pPr>
    </w:p>
    <w:p>
      <w:pPr>
        <w:ind w:left="864" w:right="20" w:hanging="291"/>
        <w:spacing w:after="0" w:line="280" w:lineRule="auto"/>
        <w:tabs>
          <w:tab w:leader="none" w:pos="864" w:val="left"/>
        </w:tabs>
        <w:numPr>
          <w:ilvl w:val="0"/>
          <w:numId w:val="17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44" w:lineRule="exact"/>
        <w:rPr>
          <w:rFonts w:ascii="MS PGothic" w:cs="MS PGothic" w:eastAsia="MS PGothic" w:hAnsi="MS PGothic"/>
          <w:sz w:val="16"/>
          <w:szCs w:val="16"/>
          <w:color w:val="auto"/>
        </w:rPr>
      </w:pPr>
    </w:p>
    <w:p>
      <w:pPr>
        <w:ind w:left="864" w:right="20" w:hanging="291"/>
        <w:spacing w:after="0" w:line="280" w:lineRule="auto"/>
        <w:tabs>
          <w:tab w:leader="none" w:pos="864" w:val="left"/>
        </w:tabs>
        <w:numPr>
          <w:ilvl w:val="0"/>
          <w:numId w:val="17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144" w:lineRule="exact"/>
        <w:rPr>
          <w:rFonts w:ascii="MS PGothic" w:cs="MS PGothic" w:eastAsia="MS PGothic" w:hAnsi="MS PGothic"/>
          <w:sz w:val="16"/>
          <w:szCs w:val="16"/>
          <w:color w:val="auto"/>
        </w:rPr>
      </w:pPr>
    </w:p>
    <w:p>
      <w:pPr>
        <w:ind w:left="864" w:right="20" w:hanging="291"/>
        <w:spacing w:after="0" w:line="280" w:lineRule="auto"/>
        <w:tabs>
          <w:tab w:leader="none" w:pos="864" w:val="left"/>
        </w:tabs>
        <w:numPr>
          <w:ilvl w:val="0"/>
          <w:numId w:val="17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corporation, similar business trust, partnership or any organization described in Section 501(c)(3) of the Internal Revenue Code, not formed for the specific purpose of acquiring the securities offered, with total assets in excess of $5,000,000;</w:t>
      </w:r>
    </w:p>
    <w:p>
      <w:pPr>
        <w:spacing w:after="0" w:line="144" w:lineRule="exact"/>
        <w:rPr>
          <w:rFonts w:ascii="MS PGothic" w:cs="MS PGothic" w:eastAsia="MS PGothic" w:hAnsi="MS PGothic"/>
          <w:sz w:val="16"/>
          <w:szCs w:val="16"/>
          <w:color w:val="auto"/>
        </w:rPr>
      </w:pPr>
    </w:p>
    <w:p>
      <w:pPr>
        <w:ind w:left="864" w:hanging="291"/>
        <w:spacing w:after="0"/>
        <w:tabs>
          <w:tab w:leader="none" w:pos="864" w:val="left"/>
        </w:tabs>
        <w:numPr>
          <w:ilvl w:val="0"/>
          <w:numId w:val="17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trust with assets in excess of $5,000,000, not formed to acquire the securities offered, whose purchase is directed by a sophisticated person;</w:t>
      </w:r>
    </w:p>
    <w:p>
      <w:pPr>
        <w:spacing w:after="0" w:line="198" w:lineRule="exact"/>
        <w:rPr>
          <w:rFonts w:ascii="MS PGothic" w:cs="MS PGothic" w:eastAsia="MS PGothic" w:hAnsi="MS PGothic"/>
          <w:sz w:val="16"/>
          <w:szCs w:val="16"/>
          <w:color w:val="auto"/>
        </w:rPr>
      </w:pPr>
    </w:p>
    <w:p>
      <w:pPr>
        <w:ind w:left="864" w:hanging="291"/>
        <w:spacing w:after="0"/>
        <w:tabs>
          <w:tab w:leader="none" w:pos="864" w:val="left"/>
        </w:tabs>
        <w:numPr>
          <w:ilvl w:val="0"/>
          <w:numId w:val="17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entity in which all of the equity owners are accredited investors meeting one or more of the above tests or one of the following tests; or</w:t>
      </w:r>
    </w:p>
    <w:p>
      <w:pPr>
        <w:spacing w:after="0" w:line="198" w:lineRule="exact"/>
        <w:rPr>
          <w:rFonts w:ascii="MS PGothic" w:cs="MS PGothic" w:eastAsia="MS PGothic" w:hAnsi="MS PGothic"/>
          <w:sz w:val="16"/>
          <w:szCs w:val="16"/>
          <w:color w:val="auto"/>
        </w:rPr>
      </w:pPr>
    </w:p>
    <w:p>
      <w:pPr>
        <w:ind w:left="864" w:hanging="291"/>
        <w:spacing w:after="0"/>
        <w:tabs>
          <w:tab w:leader="none" w:pos="864" w:val="left"/>
        </w:tabs>
        <w:numPr>
          <w:ilvl w:val="0"/>
          <w:numId w:val="17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entity of a type not listed above and not formed for the specific purpose of acquiring the securities offered that owns investments in excess of $5,000,000.</w:t>
      </w:r>
    </w:p>
    <w:p>
      <w:pPr>
        <w:spacing w:after="0" w:line="38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8195" cy="152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157" w:name="page158"/>
    <w:bookmarkEnd w:id="157"/>
    <w:p>
      <w:pPr>
        <w:ind w:left="20"/>
        <w:spacing w:after="0"/>
        <w:tabs>
          <w:tab w:leader="none" w:pos="1540" w:val="left"/>
        </w:tabs>
        <w:rPr>
          <w:sz w:val="20"/>
          <w:szCs w:val="20"/>
          <w:color w:val="auto"/>
        </w:rPr>
      </w:pPr>
      <w:r>
        <w:rPr>
          <w:rFonts w:ascii="Times New Roman" w:cs="Times New Roman" w:eastAsia="Times New Roman" w:hAnsi="Times New Roman"/>
          <w:sz w:val="16"/>
          <w:szCs w:val="16"/>
          <w:color w:val="auto"/>
        </w:rPr>
        <w:t>[Specify which tests:</w:t>
        <w:tab/>
        <w:t>]</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SUBSCRIBER:</w:t>
      </w:r>
    </w:p>
    <w:p>
      <w:pPr>
        <w:spacing w:after="0" w:line="2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Print Name:</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15240</wp:posOffset>
            </wp:positionV>
            <wp:extent cx="2572385" cy="152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Name:</w:t>
      </w:r>
    </w:p>
    <w:p>
      <w:pPr>
        <w:spacing w:after="0" w:line="2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Title: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816" w:right="1440" w:bottom="1440" w:gutter="0" w:footer="0" w:header="0"/>
        </w:sectPr>
      </w:pPr>
    </w:p>
    <w:bookmarkStart w:id="158" w:name="page159"/>
    <w:bookmarkEnd w:id="158"/>
    <w:p>
      <w:pPr>
        <w:ind w:left="10420"/>
        <w:spacing w:after="0"/>
        <w:rPr>
          <w:sz w:val="20"/>
          <w:szCs w:val="20"/>
          <w:color w:val="auto"/>
        </w:rPr>
      </w:pPr>
      <w:r>
        <w:rPr>
          <w:rFonts w:ascii="Times New Roman" w:cs="Times New Roman" w:eastAsia="Times New Roman" w:hAnsi="Times New Roman"/>
          <w:sz w:val="16"/>
          <w:szCs w:val="16"/>
          <w:b w:val="1"/>
          <w:bCs w:val="1"/>
          <w:color w:val="auto"/>
        </w:rPr>
        <w:t>Exhibit 10.3</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OF SUBSCRIPTION AGREEMENT</w:t>
      </w:r>
    </w:p>
    <w:p>
      <w:pPr>
        <w:spacing w:after="0" w:line="200"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This SUBSCRIPTION AGREEMENT (this “</w:t>
      </w:r>
      <w:r>
        <w:rPr>
          <w:rFonts w:ascii="Times New Roman" w:cs="Times New Roman" w:eastAsia="Times New Roman" w:hAnsi="Times New Roman"/>
          <w:sz w:val="16"/>
          <w:szCs w:val="16"/>
          <w:u w:val="single" w:color="auto"/>
          <w:color w:val="auto"/>
        </w:rPr>
        <w:t>Subscription Agreement”)</w:t>
      </w:r>
      <w:r>
        <w:rPr>
          <w:rFonts w:ascii="Times New Roman" w:cs="Times New Roman" w:eastAsia="Times New Roman" w:hAnsi="Times New Roman"/>
          <w:sz w:val="16"/>
          <w:szCs w:val="16"/>
          <w:color w:val="auto"/>
        </w:rPr>
        <w:t xml:space="preserve"> is entered into on July 25, 2022, by and between Ventoux CCM Acquisition Corp.,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and the undersigned subscriber (“</w:t>
      </w:r>
      <w:r>
        <w:rPr>
          <w:rFonts w:ascii="Times New Roman" w:cs="Times New Roman" w:eastAsia="Times New Roman" w:hAnsi="Times New Roman"/>
          <w:sz w:val="16"/>
          <w:szCs w:val="16"/>
          <w:u w:val="single" w:color="auto"/>
          <w:color w:val="auto"/>
        </w:rPr>
        <w:t>Subscriber</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WHEREAS, on November 10, 2021, the Company entered into a definitive agreement with E la Carte, Inc., a Delaware corporation (“</w:t>
      </w:r>
      <w:r>
        <w:rPr>
          <w:rFonts w:ascii="Times New Roman" w:cs="Times New Roman" w:eastAsia="Times New Roman" w:hAnsi="Times New Roman"/>
          <w:sz w:val="16"/>
          <w:szCs w:val="16"/>
          <w:u w:val="single" w:color="auto"/>
          <w:color w:val="auto"/>
        </w:rPr>
        <w:t>Presto</w:t>
      </w:r>
      <w:r>
        <w:rPr>
          <w:rFonts w:ascii="Times New Roman" w:cs="Times New Roman" w:eastAsia="Times New Roman" w:hAnsi="Times New Roman"/>
          <w:sz w:val="16"/>
          <w:szCs w:val="16"/>
          <w:color w:val="auto"/>
        </w:rPr>
        <w:t>”), and the other parties thereto (as subsequently amended), providing for the combination of the Company and Presto (as amended, the “</w:t>
      </w:r>
      <w:r>
        <w:rPr>
          <w:rFonts w:ascii="Times New Roman" w:cs="Times New Roman" w:eastAsia="Times New Roman" w:hAnsi="Times New Roman"/>
          <w:sz w:val="16"/>
          <w:szCs w:val="16"/>
          <w:u w:val="single" w:color="auto"/>
          <w:color w:val="auto"/>
        </w:rPr>
        <w:t>Transaction Agreement</w:t>
      </w:r>
      <w:r>
        <w:rPr>
          <w:rFonts w:ascii="Times New Roman" w:cs="Times New Roman" w:eastAsia="Times New Roman" w:hAnsi="Times New Roman"/>
          <w:sz w:val="16"/>
          <w:szCs w:val="16"/>
          <w:color w:val="auto"/>
        </w:rPr>
        <w:t>” and the transactions contemplated by the Transaction Agreement, the “</w:t>
      </w:r>
      <w:r>
        <w:rPr>
          <w:rFonts w:ascii="Times New Roman" w:cs="Times New Roman" w:eastAsia="Times New Roman" w:hAnsi="Times New Roman"/>
          <w:sz w:val="16"/>
          <w:szCs w:val="16"/>
          <w:u w:val="single" w:color="auto"/>
          <w:color w:val="auto"/>
        </w:rPr>
        <w:t>Transaction</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6"/>
          <w:szCs w:val="16"/>
          <w:color w:val="auto"/>
        </w:rPr>
        <w:t>WHEREAS, in connection with the Transaction, Subscriber desires to subscribe for and purchase from the Company, immediately prior to the consummation of the Transaction, that number of shares of the Company’s common stock, par value $0.0001 per share (the “</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set forth on the signature page hereto (the “</w:t>
      </w:r>
      <w:r>
        <w:rPr>
          <w:rFonts w:ascii="Times New Roman" w:cs="Times New Roman" w:eastAsia="Times New Roman" w:hAnsi="Times New Roman"/>
          <w:sz w:val="16"/>
          <w:szCs w:val="16"/>
          <w:u w:val="single" w:color="auto"/>
          <w:color w:val="auto"/>
        </w:rPr>
        <w:t>Subscribed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 for a purchase price of $10.00 per share (the “</w:t>
      </w:r>
      <w:r>
        <w:rPr>
          <w:rFonts w:ascii="Times New Roman" w:cs="Times New Roman" w:eastAsia="Times New Roman" w:hAnsi="Times New Roman"/>
          <w:sz w:val="16"/>
          <w:szCs w:val="16"/>
          <w:u w:val="single" w:color="auto"/>
          <w:color w:val="auto"/>
        </w:rPr>
        <w:t>Per Share Price</w:t>
      </w:r>
      <w:r>
        <w:rPr>
          <w:rFonts w:ascii="Times New Roman" w:cs="Times New Roman" w:eastAsia="Times New Roman" w:hAnsi="Times New Roman"/>
          <w:sz w:val="16"/>
          <w:szCs w:val="16"/>
          <w:color w:val="auto"/>
        </w:rPr>
        <w:t>” and the aggregate of such Per Share Price for all Subscribed Shares being referred to herein as the “</w:t>
      </w:r>
      <w:r>
        <w:rPr>
          <w:rFonts w:ascii="Times New Roman" w:cs="Times New Roman" w:eastAsia="Times New Roman" w:hAnsi="Times New Roman"/>
          <w:sz w:val="16"/>
          <w:szCs w:val="16"/>
          <w:u w:val="single" w:color="auto"/>
          <w:color w:val="auto"/>
        </w:rPr>
        <w:t>Purchase Price</w:t>
      </w:r>
      <w:r>
        <w:rPr>
          <w:rFonts w:ascii="Times New Roman" w:cs="Times New Roman" w:eastAsia="Times New Roman" w:hAnsi="Times New Roman"/>
          <w:sz w:val="16"/>
          <w:szCs w:val="16"/>
          <w:color w:val="auto"/>
        </w:rPr>
        <w:t>”), and the Company desires to issue and sell to Subscriber the Subscribed Shares in consideration of the payment of the Purchase Price by or on behalf of Subscriber to the Company; and</w:t>
      </w:r>
    </w:p>
    <w:p>
      <w:pPr>
        <w:spacing w:after="0" w:line="162" w:lineRule="exact"/>
        <w:rPr>
          <w:sz w:val="20"/>
          <w:szCs w:val="20"/>
          <w:color w:val="auto"/>
        </w:rPr>
      </w:pPr>
    </w:p>
    <w:p>
      <w:pPr>
        <w:jc w:val="both"/>
        <w:ind w:firstLine="382"/>
        <w:spacing w:after="0" w:line="252" w:lineRule="auto"/>
        <w:rPr>
          <w:sz w:val="20"/>
          <w:szCs w:val="20"/>
          <w:color w:val="auto"/>
        </w:rPr>
      </w:pPr>
      <w:r>
        <w:rPr>
          <w:rFonts w:ascii="Times New Roman" w:cs="Times New Roman" w:eastAsia="Times New Roman" w:hAnsi="Times New Roman"/>
          <w:sz w:val="16"/>
          <w:szCs w:val="16"/>
          <w:color w:val="auto"/>
        </w:rPr>
        <w:t>WHEREAS, substantially concurrently with the execution of the Transaction Agreement or prior to the closing date of the Transaction (the “</w:t>
      </w:r>
      <w:r>
        <w:rPr>
          <w:rFonts w:ascii="Times New Roman" w:cs="Times New Roman" w:eastAsia="Times New Roman" w:hAnsi="Times New Roman"/>
          <w:sz w:val="16"/>
          <w:szCs w:val="16"/>
          <w:u w:val="single" w:color="auto"/>
          <w:color w:val="auto"/>
        </w:rPr>
        <w:t>Closing Date</w:t>
      </w:r>
      <w:r>
        <w:rPr>
          <w:rFonts w:ascii="Times New Roman" w:cs="Times New Roman" w:eastAsia="Times New Roman" w:hAnsi="Times New Roman"/>
          <w:sz w:val="16"/>
          <w:szCs w:val="16"/>
          <w:color w:val="auto"/>
        </w:rPr>
        <w:t>”), the Company entered into or will enter into subscription agreements (the “</w:t>
      </w:r>
      <w:r>
        <w:rPr>
          <w:rFonts w:ascii="Times New Roman" w:cs="Times New Roman" w:eastAsia="Times New Roman" w:hAnsi="Times New Roman"/>
          <w:sz w:val="16"/>
          <w:szCs w:val="16"/>
          <w:u w:val="single" w:color="auto"/>
          <w:color w:val="auto"/>
        </w:rPr>
        <w:t>Other Subscription Agreements</w:t>
      </w:r>
      <w:r>
        <w:rPr>
          <w:rFonts w:ascii="Times New Roman" w:cs="Times New Roman" w:eastAsia="Times New Roman" w:hAnsi="Times New Roman"/>
          <w:sz w:val="16"/>
          <w:szCs w:val="16"/>
          <w:color w:val="auto"/>
        </w:rPr>
        <w:t>” and together with this Subscription Agreement, the “</w:t>
      </w:r>
      <w:r>
        <w:rPr>
          <w:rFonts w:ascii="Times New Roman" w:cs="Times New Roman" w:eastAsia="Times New Roman" w:hAnsi="Times New Roman"/>
          <w:sz w:val="16"/>
          <w:szCs w:val="16"/>
          <w:u w:val="single" w:color="auto"/>
          <w:color w:val="auto"/>
        </w:rPr>
        <w:t>Subscription Agreements</w:t>
      </w:r>
      <w:r>
        <w:rPr>
          <w:rFonts w:ascii="Times New Roman" w:cs="Times New Roman" w:eastAsia="Times New Roman" w:hAnsi="Times New Roman"/>
          <w:sz w:val="16"/>
          <w:szCs w:val="16"/>
          <w:color w:val="auto"/>
        </w:rPr>
        <w:t>”) with certain other accredited investors (the “</w:t>
      </w:r>
      <w:r>
        <w:rPr>
          <w:rFonts w:ascii="Times New Roman" w:cs="Times New Roman" w:eastAsia="Times New Roman" w:hAnsi="Times New Roman"/>
          <w:sz w:val="16"/>
          <w:szCs w:val="16"/>
          <w:u w:val="single" w:color="auto"/>
          <w:color w:val="auto"/>
        </w:rPr>
        <w:t>Other Subscribers</w:t>
      </w:r>
      <w:r>
        <w:rPr>
          <w:rFonts w:ascii="Times New Roman" w:cs="Times New Roman" w:eastAsia="Times New Roman" w:hAnsi="Times New Roman"/>
          <w:sz w:val="16"/>
          <w:szCs w:val="16"/>
          <w:color w:val="auto"/>
        </w:rPr>
        <w:t>” and together with Subscriber, the “</w:t>
      </w:r>
      <w:r>
        <w:rPr>
          <w:rFonts w:ascii="Times New Roman" w:cs="Times New Roman" w:eastAsia="Times New Roman" w:hAnsi="Times New Roman"/>
          <w:sz w:val="16"/>
          <w:szCs w:val="16"/>
          <w:u w:val="single" w:color="auto"/>
          <w:color w:val="auto"/>
        </w:rPr>
        <w:t>Subscribers</w:t>
      </w:r>
      <w:r>
        <w:rPr>
          <w:rFonts w:ascii="Times New Roman" w:cs="Times New Roman" w:eastAsia="Times New Roman" w:hAnsi="Times New Roman"/>
          <w:sz w:val="16"/>
          <w:szCs w:val="16"/>
          <w:color w:val="auto"/>
        </w:rPr>
        <w:t>”), which are on substantially the same terms as the terms of this Subscription Agreement (other than with respect to (t) the amounts, price and types of the Company’s securities to be subscribed for and purchased by the Other Subscribers and any terms relating to such other types of the Company’s securities, (u) certain fees payable by Presto to and certain board observer rights granted to Silver Rock Contingent Credit Fund LP, Silver Rock Tactical Allocation Fund LP, Lake Vineyard Fund LP and Silver Rock Empire Fund LP and their affiliates (collectively, “</w:t>
      </w:r>
      <w:r>
        <w:rPr>
          <w:rFonts w:ascii="Times New Roman" w:cs="Times New Roman" w:eastAsia="Times New Roman" w:hAnsi="Times New Roman"/>
          <w:sz w:val="16"/>
          <w:szCs w:val="16"/>
          <w:u w:val="single" w:color="auto"/>
          <w:color w:val="auto"/>
        </w:rPr>
        <w:t>Silver Rock</w:t>
      </w:r>
      <w:r>
        <w:rPr>
          <w:rFonts w:ascii="Times New Roman" w:cs="Times New Roman" w:eastAsia="Times New Roman" w:hAnsi="Times New Roman"/>
          <w:sz w:val="16"/>
          <w:szCs w:val="16"/>
          <w:color w:val="auto"/>
        </w:rPr>
        <w:t>”), (v) the purchase of Common Stock from the Sponsors (as defined herein), (w) certain rights to nominate a member of the Company’s board of directors after and contingent upon the Closing, (x) certain closing conditions in the Other Subscription Agreements relating to the Notes (as defined below) and certain representations related to the payment of expenses in the Transaction, (y) (i) any rights or benefits granted to an Other Subscriber in connection with such Other Subscriber’s compliance with any law, regulation or policy specifically applicable to such Other Subscriber or in connection with the taxable status of an Other Subscriber and (ii) any rights with respect to the confidentiality or disclosure of an Other Subscriber’s identity and (z) certain registration rights), pursuant to which such investors shall agree or have agreed to purchase on the Closing Date, as applicable (i) shares of Common Stock, at the Per Share Price and (ii) the Company’s convertible senior notes due 2026 (the “</w:t>
      </w:r>
      <w:r>
        <w:rPr>
          <w:rFonts w:ascii="Times New Roman" w:cs="Times New Roman" w:eastAsia="Times New Roman" w:hAnsi="Times New Roman"/>
          <w:sz w:val="16"/>
          <w:szCs w:val="16"/>
          <w:u w:val="single" w:color="auto"/>
          <w:color w:val="auto"/>
        </w:rPr>
        <w:t>Notes</w:t>
      </w:r>
      <w:r>
        <w:rPr>
          <w:rFonts w:ascii="Times New Roman" w:cs="Times New Roman" w:eastAsia="Times New Roman" w:hAnsi="Times New Roman"/>
          <w:sz w:val="16"/>
          <w:szCs w:val="16"/>
          <w:color w:val="auto"/>
        </w:rPr>
        <w:t>”) and related warrants (the “</w:t>
      </w:r>
      <w:r>
        <w:rPr>
          <w:rFonts w:ascii="Times New Roman" w:cs="Times New Roman" w:eastAsia="Times New Roman" w:hAnsi="Times New Roman"/>
          <w:sz w:val="16"/>
          <w:szCs w:val="16"/>
          <w:u w:val="single" w:color="auto"/>
          <w:color w:val="auto"/>
        </w:rPr>
        <w:t>Warrants</w:t>
      </w:r>
      <w:r>
        <w:rPr>
          <w:rFonts w:ascii="Times New Roman" w:cs="Times New Roman" w:eastAsia="Times New Roman" w:hAnsi="Times New Roman"/>
          <w:sz w:val="16"/>
          <w:szCs w:val="16"/>
          <w:color w:val="auto"/>
        </w:rPr>
        <w:t>”) to purchase shares of Common Stock (together with the Subscribed Shares, the “</w:t>
      </w:r>
      <w:r>
        <w:rPr>
          <w:rFonts w:ascii="Times New Roman" w:cs="Times New Roman" w:eastAsia="Times New Roman" w:hAnsi="Times New Roman"/>
          <w:sz w:val="16"/>
          <w:szCs w:val="16"/>
          <w:u w:val="single" w:color="auto"/>
          <w:color w:val="auto"/>
        </w:rPr>
        <w:t>Aggregate Subscribed Securities</w:t>
      </w:r>
      <w:r>
        <w:rPr>
          <w:rFonts w:ascii="Times New Roman" w:cs="Times New Roman" w:eastAsia="Times New Roman" w:hAnsi="Times New Roman"/>
          <w:sz w:val="16"/>
          <w:szCs w:val="16"/>
          <w:color w:val="auto"/>
        </w:rPr>
        <w:t>”); and</w:t>
      </w:r>
    </w:p>
    <w:p>
      <w:pPr>
        <w:spacing w:after="0" w:line="165"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WHEREAS, William Blair &amp; Company, L.L.C. (“</w:t>
      </w:r>
      <w:r>
        <w:rPr>
          <w:rFonts w:ascii="Times New Roman" w:cs="Times New Roman" w:eastAsia="Times New Roman" w:hAnsi="Times New Roman"/>
          <w:sz w:val="16"/>
          <w:szCs w:val="16"/>
          <w:u w:val="single" w:color="auto"/>
          <w:color w:val="auto"/>
        </w:rPr>
        <w:t>William Blair</w:t>
      </w:r>
      <w:r>
        <w:rPr>
          <w:rFonts w:ascii="Times New Roman" w:cs="Times New Roman" w:eastAsia="Times New Roman" w:hAnsi="Times New Roman"/>
          <w:sz w:val="16"/>
          <w:szCs w:val="16"/>
          <w:color w:val="auto"/>
        </w:rPr>
        <w:t>”), Truist Securities, Inc. (“</w:t>
      </w:r>
      <w:r>
        <w:rPr>
          <w:rFonts w:ascii="Times New Roman" w:cs="Times New Roman" w:eastAsia="Times New Roman" w:hAnsi="Times New Roman"/>
          <w:sz w:val="16"/>
          <w:szCs w:val="16"/>
          <w:u w:val="single" w:color="auto"/>
          <w:color w:val="auto"/>
        </w:rPr>
        <w:t>Truist</w:t>
      </w:r>
      <w:r>
        <w:rPr>
          <w:rFonts w:ascii="Times New Roman" w:cs="Times New Roman" w:eastAsia="Times New Roman" w:hAnsi="Times New Roman"/>
          <w:sz w:val="16"/>
          <w:szCs w:val="16"/>
          <w:color w:val="auto"/>
        </w:rPr>
        <w:t>”) and Chardan Capital Markets, LLC (“</w:t>
      </w:r>
      <w:r>
        <w:rPr>
          <w:rFonts w:ascii="Times New Roman" w:cs="Times New Roman" w:eastAsia="Times New Roman" w:hAnsi="Times New Roman"/>
          <w:sz w:val="16"/>
          <w:szCs w:val="16"/>
          <w:u w:val="single" w:color="auto"/>
          <w:color w:val="auto"/>
        </w:rPr>
        <w:t>Chardan”</w:t>
      </w:r>
      <w:r>
        <w:rPr>
          <w:rFonts w:ascii="Times New Roman" w:cs="Times New Roman" w:eastAsia="Times New Roman" w:hAnsi="Times New Roman"/>
          <w:sz w:val="16"/>
          <w:szCs w:val="16"/>
          <w:color w:val="auto"/>
        </w:rPr>
        <w:t>) are acting as placement agents to the Company in connection with the issuance and sale of Common Stock to Other Subscribers.</w:t>
      </w:r>
    </w:p>
    <w:p>
      <w:pPr>
        <w:spacing w:after="0" w:line="144"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NOW, THEREFORE, in consideration of the foregoing and the mutual representations, warranties and covenants, and subject to the conditions, herein contained, and intending to be legally bound hereby, the parties hereto hereby agree as follows:</w:t>
      </w:r>
    </w:p>
    <w:p>
      <w:pPr>
        <w:spacing w:after="0" w:line="144" w:lineRule="exact"/>
        <w:rPr>
          <w:sz w:val="20"/>
          <w:szCs w:val="20"/>
          <w:color w:val="auto"/>
        </w:rPr>
      </w:pPr>
    </w:p>
    <w:p>
      <w:pPr>
        <w:ind w:right="20" w:firstLine="378"/>
        <w:spacing w:after="0" w:line="280" w:lineRule="auto"/>
        <w:tabs>
          <w:tab w:leader="none" w:pos="542"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Subscription</w:t>
      </w:r>
      <w:r>
        <w:rPr>
          <w:rFonts w:ascii="Times New Roman" w:cs="Times New Roman" w:eastAsia="Times New Roman" w:hAnsi="Times New Roman"/>
          <w:sz w:val="16"/>
          <w:szCs w:val="16"/>
          <w:color w:val="auto"/>
        </w:rPr>
        <w:t>. Subject to the terms and conditions hereof, at the Closing (as defined below), Subscriber hereby agrees to subscribe for and purchase, and the Company hereby agrees to issue and sell to Subscriber, upon the payment of the Purchase Price, the Subscribed Shares (such subscription and issuance, the “</w:t>
      </w:r>
      <w:r>
        <w:rPr>
          <w:rFonts w:ascii="Times New Roman" w:cs="Times New Roman" w:eastAsia="Times New Roman" w:hAnsi="Times New Roman"/>
          <w:sz w:val="16"/>
          <w:szCs w:val="16"/>
          <w:u w:val="single" w:color="auto"/>
          <w:color w:val="auto"/>
        </w:rPr>
        <w:t>Subscription</w:t>
      </w:r>
      <w:r>
        <w:rPr>
          <w:rFonts w:ascii="Times New Roman" w:cs="Times New Roman" w:eastAsia="Times New Roman" w:hAnsi="Times New Roman"/>
          <w:sz w:val="16"/>
          <w:szCs w:val="16"/>
          <w:color w:val="auto"/>
        </w:rPr>
        <w:t>”).</w:t>
      </w:r>
    </w:p>
    <w:p>
      <w:pPr>
        <w:spacing w:after="0" w:line="144" w:lineRule="exact"/>
        <w:rPr>
          <w:rFonts w:ascii="Times New Roman" w:cs="Times New Roman" w:eastAsia="Times New Roman" w:hAnsi="Times New Roman"/>
          <w:sz w:val="16"/>
          <w:szCs w:val="16"/>
          <w:color w:val="auto"/>
        </w:rPr>
      </w:pPr>
    </w:p>
    <w:p>
      <w:pPr>
        <w:ind w:left="540" w:hanging="162"/>
        <w:spacing w:after="0"/>
        <w:tabs>
          <w:tab w:leader="none" w:pos="540"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ind w:right="20" w:firstLine="765"/>
        <w:spacing w:after="0" w:line="28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Subject to the terms of this Subscription Agreement, the consummation of the Subscription contemplated hereby (the “</w:t>
      </w: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shall occur on the Closing Date immediately prior to or substantially concurrently with the consummation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360045</wp:posOffset>
            </wp:positionV>
            <wp:extent cx="7148195" cy="152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59" w:name="page160"/>
    <w:bookmarkEnd w:id="159"/>
    <w:p>
      <w:pPr>
        <w:jc w:val="both"/>
        <w:ind w:firstLine="765"/>
        <w:spacing w:after="0" w:line="251" w:lineRule="auto"/>
        <w:rPr>
          <w:sz w:val="20"/>
          <w:szCs w:val="20"/>
          <w:color w:val="auto"/>
        </w:rPr>
      </w:pPr>
      <w:r>
        <w:rPr>
          <w:rFonts w:ascii="Times New Roman" w:cs="Times New Roman" w:eastAsia="Times New Roman" w:hAnsi="Times New Roman"/>
          <w:sz w:val="16"/>
          <w:szCs w:val="16"/>
          <w:color w:val="auto"/>
        </w:rPr>
        <w:t>b. At least five (5) Business Days before the anticipated Closing Date, the Company shall deliver written notice to Subscriber (the “</w:t>
      </w:r>
      <w:r>
        <w:rPr>
          <w:rFonts w:ascii="Times New Roman" w:cs="Times New Roman" w:eastAsia="Times New Roman" w:hAnsi="Times New Roman"/>
          <w:sz w:val="16"/>
          <w:szCs w:val="16"/>
          <w:u w:val="single" w:color="auto"/>
          <w:color w:val="auto"/>
        </w:rPr>
        <w:t>Closing Notice</w:t>
      </w:r>
      <w:r>
        <w:rPr>
          <w:rFonts w:ascii="Times New Roman" w:cs="Times New Roman" w:eastAsia="Times New Roman" w:hAnsi="Times New Roman"/>
          <w:sz w:val="16"/>
          <w:szCs w:val="16"/>
          <w:color w:val="auto"/>
        </w:rPr>
        <w:t xml:space="preserve">”) specifying (i) the anticipated Closing Date and (ii) the wire instructions for delivery of the Purchase Price to the Company. No later than two (2) Business Days after receiving the Closing Notice, Subscriber shall deliver to the Company such information as is reasonably requested in the Closing Notice in order for the Company to issue the Subscribed Shares to Subscriber. Subscriber shall deliver to the Company, no later than one (1) Business Day prior to the Closing Date as set forth in the Closing Notice, (a) the Purchase Price for the Subscribed Shares by wire transfer of United States dollars in immediately available funds to the account specified by the Company in the Closing Notice, such funds to be held by the Company in escrow until the Closing and (b) such information as is reasonably requested in the Closing Notice in order for the Company to issue the Subscribed Shares to Subscriber at the Closing. Upon satisfaction (or, if applicable, waiver) of the conditions set forth in this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the Company shall deliver to Subscriber (i) at the Closing, the Subscribed Shares in book entry form, free and clear of any liens or other restrictions (other than those arising under this Subscription Agreement or applicable state or federal securities laws), in the name of Subscriber (or its nominee in accordance with its delivery instructions) or to a custodian designated by Subscriber, as applicable, and (ii) written notice from the Company or its transfer agent evidencing the issuance to Subscriber of the Subscribed Shares on and as of the Closing Date. In the event that the consummation of the Transaction does not occur within two (2) Business Days after the anticipated Closing Date specified in the Closing Notice, unless otherwise agreed to in writing by the Company and Subscriber, the Company shall promptly (but in no event later than one (1) Business Day thereafter) return the funds so delivered by Subscriber to the Company by wire transfer in immediately available funds to the account specified by Subscriber and any book entries shall be deemed cancelled. Subscriber shall not be required to deliver to the Company on more than two (2) occasions, the Purchase Price pursuant to a Closing Notice. Notwithstanding such return or cancellation, a failure to close on the anticipated Closing Date shall not, by itself, be deemed to be a failure of any of the conditions to Closing set forth in this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to be satisfied or waived on or prior to the Closing Date. For the purposes of this Subscription Agreement, “Business Day” means any day other than a Saturday, Sunday or a day on which the Federal Reserve Bank of New York is closed.</w:t>
      </w:r>
    </w:p>
    <w:p>
      <w:pPr>
        <w:spacing w:after="0" w:line="170" w:lineRule="exact"/>
        <w:rPr>
          <w:sz w:val="20"/>
          <w:szCs w:val="20"/>
          <w:color w:val="auto"/>
        </w:rPr>
      </w:pPr>
    </w:p>
    <w:p>
      <w:pPr>
        <w:jc w:val="both"/>
        <w:ind w:right="20" w:firstLine="765"/>
        <w:spacing w:after="0" w:line="280" w:lineRule="auto"/>
        <w:rPr>
          <w:sz w:val="20"/>
          <w:szCs w:val="20"/>
          <w:color w:val="auto"/>
        </w:rPr>
      </w:pPr>
      <w:r>
        <w:rPr>
          <w:rFonts w:ascii="Times New Roman" w:cs="Times New Roman" w:eastAsia="Times New Roman" w:hAnsi="Times New Roman"/>
          <w:sz w:val="16"/>
          <w:szCs w:val="16"/>
          <w:color w:val="auto"/>
        </w:rPr>
        <w:t>c. The Closing shall be subject to the satisfaction or valid waiver in writing by each of the parties hereto (to the extent a valid waiver is capable of being issued) by the Company, on the one hand, or Subscriber, on the other, of the conditions that, on the Closing Date:</w:t>
      </w:r>
    </w:p>
    <w:p>
      <w:pPr>
        <w:spacing w:after="0" w:line="144" w:lineRule="exact"/>
        <w:rPr>
          <w:sz w:val="20"/>
          <w:szCs w:val="20"/>
          <w:color w:val="auto"/>
        </w:rPr>
      </w:pPr>
    </w:p>
    <w:p>
      <w:pPr>
        <w:jc w:val="both"/>
        <w:ind w:right="20" w:firstLine="1143"/>
        <w:spacing w:after="0" w:line="265" w:lineRule="auto"/>
        <w:tabs>
          <w:tab w:leader="none" w:pos="1337"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suspension of the qualification of the Common Stock for offering or sale or trading in any jurisdiction, or initiation or threatening of any proceedings for any of such purposes, shall have occurred and the Subscribed Shares shall have been approved for listing on The Nasdaq Stock Market LLC (“</w:t>
      </w:r>
      <w:r>
        <w:rPr>
          <w:rFonts w:ascii="Times New Roman" w:cs="Times New Roman" w:eastAsia="Times New Roman" w:hAnsi="Times New Roman"/>
          <w:sz w:val="16"/>
          <w:szCs w:val="16"/>
          <w:u w:val="single" w:color="auto"/>
          <w:color w:val="auto"/>
        </w:rPr>
        <w:t>NASDAQ</w:t>
      </w:r>
      <w:r>
        <w:rPr>
          <w:rFonts w:ascii="Times New Roman" w:cs="Times New Roman" w:eastAsia="Times New Roman" w:hAnsi="Times New Roman"/>
          <w:sz w:val="16"/>
          <w:szCs w:val="16"/>
          <w:color w:val="auto"/>
        </w:rPr>
        <w:t>”), subject to official notice of issuance;</w:t>
      </w:r>
    </w:p>
    <w:p>
      <w:pPr>
        <w:spacing w:after="0" w:line="155" w:lineRule="exact"/>
        <w:rPr>
          <w:rFonts w:ascii="Times New Roman" w:cs="Times New Roman" w:eastAsia="Times New Roman" w:hAnsi="Times New Roman"/>
          <w:sz w:val="16"/>
          <w:szCs w:val="16"/>
          <w:color w:val="auto"/>
        </w:rPr>
      </w:pPr>
    </w:p>
    <w:p>
      <w:pPr>
        <w:ind w:right="20" w:firstLine="1143"/>
        <w:spacing w:after="0" w:line="280" w:lineRule="auto"/>
        <w:tabs>
          <w:tab w:leader="none" w:pos="1382"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conditions precedent to the closing of the Transaction set forth in the Transaction Agreement, including the approval of the Company’s stockholders, shall have been satisfied or waived, and the closing of the Transaction shall be scheduled to occur concurrently with or immediately following the Closing; and</w:t>
      </w:r>
    </w:p>
    <w:p>
      <w:pPr>
        <w:spacing w:after="0" w:line="144" w:lineRule="exact"/>
        <w:rPr>
          <w:rFonts w:ascii="Times New Roman" w:cs="Times New Roman" w:eastAsia="Times New Roman" w:hAnsi="Times New Roman"/>
          <w:sz w:val="16"/>
          <w:szCs w:val="16"/>
          <w:color w:val="auto"/>
        </w:rPr>
      </w:pPr>
    </w:p>
    <w:p>
      <w:pPr>
        <w:jc w:val="both"/>
        <w:ind w:firstLine="1143"/>
        <w:spacing w:after="0" w:line="255" w:lineRule="auto"/>
        <w:tabs>
          <w:tab w:leader="none" w:pos="1510"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governmental authority shall have enacted, issued, promulgated, enforced or entered any judgment, order, law, rule or regulation (whether temporary, preliminary or permanent) which is then in effect and has the effect of making consummation of the transactions contemplated hereby illegal or otherwise restraining or prohibiting consummation of the transactions contemplated hereby (except in the case of a governmental authority located outside the United States where such judgment, order, law, rule or regulation would not be reasonably expected to have a Company Material Adverse Effect (as defined below)); and no such governmental authority shall have instituted or threatened in writing a proceeding seeking to impose any such restraint or prohibition (except in the case of a governmental authority located outside the United States where such restraint or prohibition would not be reasonably expected to have a Company Material Adverse Effect).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60" w:name="page161"/>
    <w:bookmarkEnd w:id="160"/>
    <w:p>
      <w:pPr>
        <w:ind w:firstLine="765"/>
        <w:spacing w:after="0" w:line="280" w:lineRule="auto"/>
        <w:rPr>
          <w:sz w:val="20"/>
          <w:szCs w:val="20"/>
          <w:color w:val="auto"/>
        </w:rPr>
      </w:pPr>
      <w:r>
        <w:rPr>
          <w:rFonts w:ascii="Times New Roman" w:cs="Times New Roman" w:eastAsia="Times New Roman" w:hAnsi="Times New Roman"/>
          <w:sz w:val="16"/>
          <w:szCs w:val="16"/>
          <w:color w:val="auto"/>
        </w:rPr>
        <w:t>d. The obligation of the Company to consummate the Closing shall be subject to the satisfaction or valid waiver in writing by the Company of the additional conditions that, on the Closing Date:</w:t>
      </w:r>
    </w:p>
    <w:p>
      <w:pPr>
        <w:spacing w:after="0" w:line="144" w:lineRule="exact"/>
        <w:rPr>
          <w:sz w:val="20"/>
          <w:szCs w:val="20"/>
          <w:color w:val="auto"/>
        </w:rPr>
      </w:pPr>
    </w:p>
    <w:p>
      <w:pPr>
        <w:jc w:val="both"/>
        <w:ind w:right="20" w:firstLine="1143"/>
        <w:spacing w:after="0" w:line="259" w:lineRule="auto"/>
        <w:tabs>
          <w:tab w:leader="none" w:pos="1337" w:val="left"/>
        </w:tabs>
        <w:numPr>
          <w:ilvl w:val="1"/>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representations and warranties of Subscriber contained in this Subscription Agreement are true and correct in all material respects (other than (x) those representations and warranties expressly made as of an earlier date, which shall be true and correct in all material respects as of such date, and (y) representations and warranties that are qualified as to materiality or Subscriber Material Adverse Effect (as defined below), which representations and warranties shall be true in all respects) at and as of the Closing Date; and</w:t>
      </w:r>
    </w:p>
    <w:p>
      <w:pPr>
        <w:spacing w:after="0" w:line="161"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417" w:val="left"/>
        </w:tabs>
        <w:numPr>
          <w:ilvl w:val="1"/>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shall have performed, satisfied and complied in all material respects with all covenants, agreements and conditions required by this Subscription Agreement to be performed, satisfied or complied with by it at or prior to the Closing, except where the failure of such performance or compliance would not reasonably be expected to prevent, materially delay or materially impair the ability of the Company to consummate the Closing.</w:t>
      </w:r>
    </w:p>
    <w:p>
      <w:pPr>
        <w:spacing w:after="0" w:line="155" w:lineRule="exact"/>
        <w:rPr>
          <w:rFonts w:ascii="Times New Roman" w:cs="Times New Roman" w:eastAsia="Times New Roman" w:hAnsi="Times New Roman"/>
          <w:sz w:val="16"/>
          <w:szCs w:val="16"/>
          <w:color w:val="auto"/>
        </w:rPr>
      </w:pPr>
    </w:p>
    <w:p>
      <w:pPr>
        <w:ind w:left="920" w:hanging="160"/>
        <w:spacing w:after="0"/>
        <w:tabs>
          <w:tab w:leader="none" w:pos="920"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obligation of Subscriber to consummate the Closing shall be subject to the satisfaction or valid waiver by Subscriber of the additional conditions that, on the</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Closing Date:</w:t>
      </w:r>
    </w:p>
    <w:p>
      <w:pPr>
        <w:spacing w:after="0" w:line="181"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49" w:val="left"/>
        </w:tabs>
        <w:numPr>
          <w:ilvl w:val="1"/>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representations and warranties of the Company contained in this Subscription Agreement are true and correct in all material respects (other than (x) those representations and warranties expressly made as of an earlier date, which shall be true and correct in all material respects as of such date, and (y) representations and warranties that are qualified as to materiality or Company Material Adverse Effect (as defined below), which representations and warranties shall be true in all respects) at and as of the Closing Date;</w:t>
      </w:r>
    </w:p>
    <w:p>
      <w:pPr>
        <w:spacing w:after="0" w:line="161" w:lineRule="exact"/>
        <w:rPr>
          <w:rFonts w:ascii="Times New Roman" w:cs="Times New Roman" w:eastAsia="Times New Roman" w:hAnsi="Times New Roman"/>
          <w:sz w:val="16"/>
          <w:szCs w:val="16"/>
          <w:color w:val="auto"/>
        </w:rPr>
      </w:pPr>
    </w:p>
    <w:p>
      <w:pPr>
        <w:ind w:right="20" w:firstLine="1143"/>
        <w:spacing w:after="0" w:line="280" w:lineRule="auto"/>
        <w:tabs>
          <w:tab w:leader="none" w:pos="1411" w:val="left"/>
        </w:tabs>
        <w:numPr>
          <w:ilvl w:val="1"/>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performed, satisfied and complied in all material respects with all covenants, agreements and conditions required by this Subscription Agreement to be performed, satisfied or complied with by it at or prior to the Closing;</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432" w:val="left"/>
        </w:tabs>
        <w:numPr>
          <w:ilvl w:val="1"/>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shall have been no amendment, waiver or modification to the Transaction Agreement after the date hereof that materially and adversely affects the Company or the economic benefits that Subscriber would reasonably expect to receive under this Subscription Agreement without having received Subscriber’s prior written consent;</w:t>
      </w:r>
    </w:p>
    <w:p>
      <w:pPr>
        <w:spacing w:after="0" w:line="155" w:lineRule="exact"/>
        <w:rPr>
          <w:rFonts w:ascii="Times New Roman" w:cs="Times New Roman" w:eastAsia="Times New Roman" w:hAnsi="Times New Roman"/>
          <w:sz w:val="16"/>
          <w:szCs w:val="16"/>
          <w:color w:val="auto"/>
        </w:rPr>
      </w:pPr>
    </w:p>
    <w:p>
      <w:pPr>
        <w:jc w:val="both"/>
        <w:ind w:firstLine="1143"/>
        <w:spacing w:after="0" w:line="253" w:lineRule="auto"/>
        <w:tabs>
          <w:tab w:leader="none" w:pos="1437" w:val="left"/>
        </w:tabs>
        <w:numPr>
          <w:ilvl w:val="1"/>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have entered into any Other Subscription Agreement relating to Common Stock with a lower Per Share Price or other terms (economic or otherwise) more favorable to such Other Subscriber than as set forth in this Subscription Agreement, other than with respect to (a) the amounts, price and types of the Company’s securities to be subscribed for and purchased by the Other Subscribers and any terms relating to such other types of the Company’s securities, (b) certain fees payable by Presto to and certain board observer rights granted to Silver Rock, (c) the purchase of Common Stock from the Sponsors, (d) certain rights to nominate a member of the Company’s board of directors after and contingent upon the Closing, (e) certain closing conditions in the Other Subscription Agreements relating to the Notes and certain representations related to the payment of expenses in the Transaction, (f) (i) any rights or benefits granted to an Other Subscriber in connection with such Other Subscriber’s compliance with any law, regulation or policy specifically applicable to such Other Subscriber or in connection with the taxable status of an Other Subscriber and (ii) any rights with respect to the confidentiality or disclosure of an Other Subscriber’s identity and (g) certain registration rights;</w:t>
      </w:r>
    </w:p>
    <w:p>
      <w:pPr>
        <w:spacing w:after="0" w:line="169"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1"/>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has not occurred a Company Material Adverse Effect; and</w:t>
      </w:r>
    </w:p>
    <w:p>
      <w:pPr>
        <w:spacing w:after="0" w:line="198" w:lineRule="exact"/>
        <w:rPr>
          <w:rFonts w:ascii="Times New Roman" w:cs="Times New Roman" w:eastAsia="Times New Roman" w:hAnsi="Times New Roman"/>
          <w:sz w:val="16"/>
          <w:szCs w:val="16"/>
          <w:color w:val="auto"/>
        </w:rPr>
      </w:pPr>
    </w:p>
    <w:p>
      <w:pPr>
        <w:jc w:val="both"/>
        <w:ind w:firstLine="1143"/>
        <w:spacing w:after="0" w:line="257" w:lineRule="auto"/>
        <w:tabs>
          <w:tab w:leader="none" w:pos="1445" w:val="left"/>
        </w:tabs>
        <w:numPr>
          <w:ilvl w:val="1"/>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not have received any consideration from any Other Subscriber that is not otherwise contemplated in such Other Subscription Agreement as in effect as of the date hereof in order to, directly or indirectly, induce the Company or any Subsidiary (i) to treat such Other Subscriber in a manner that is more favorable than the Subscriber, or (ii) to treat the Subscriber in a manner that is less favorable than any Other Subscriber;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determination of whether the Subscriber has been treated more or less favorably than any Other Subscriber shall disregard any other securities (other than the Subscribed Shares) of the Company purchased by the Subscriber or Other Subscriber, respectively.</w:t>
      </w:r>
    </w:p>
    <w:p>
      <w:pPr>
        <w:spacing w:after="0" w:line="162" w:lineRule="exact"/>
        <w:rPr>
          <w:rFonts w:ascii="Times New Roman" w:cs="Times New Roman" w:eastAsia="Times New Roman" w:hAnsi="Times New Roman"/>
          <w:sz w:val="16"/>
          <w:szCs w:val="16"/>
          <w:color w:val="auto"/>
        </w:rPr>
      </w:pPr>
    </w:p>
    <w:p>
      <w:pPr>
        <w:ind w:left="900" w:hanging="140"/>
        <w:spacing w:after="0"/>
        <w:tabs>
          <w:tab w:leader="none" w:pos="900"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or at the Closing, Subscriber shall deliver to the Company a duly completed and executed Internal Revenue Service Form W-9 or appropriate Form W-8.</w:t>
      </w:r>
    </w:p>
    <w:p>
      <w:pPr>
        <w:spacing w:after="0" w:line="198" w:lineRule="exact"/>
        <w:rPr>
          <w:rFonts w:ascii="Times New Roman" w:cs="Times New Roman" w:eastAsia="Times New Roman" w:hAnsi="Times New Roman"/>
          <w:sz w:val="16"/>
          <w:szCs w:val="16"/>
          <w:color w:val="auto"/>
        </w:rPr>
      </w:pPr>
    </w:p>
    <w:p>
      <w:pPr>
        <w:ind w:left="920" w:hanging="160"/>
        <w:spacing w:after="0"/>
        <w:tabs>
          <w:tab w:leader="none" w:pos="920"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avoidance of doubt, the Closing shall not be subject to Company’s consummation of the transactions pursuant to the Other Subscription Agreements.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61" w:name="page162"/>
    <w:bookmarkEnd w:id="161"/>
    <w:p>
      <w:pPr>
        <w:ind w:left="540" w:hanging="162"/>
        <w:spacing w:after="0"/>
        <w:tabs>
          <w:tab w:leader="none" w:pos="540"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Company Representations and Warranties</w:t>
      </w:r>
      <w:r>
        <w:rPr>
          <w:rFonts w:ascii="Times New Roman" w:cs="Times New Roman" w:eastAsia="Times New Roman" w:hAnsi="Times New Roman"/>
          <w:sz w:val="16"/>
          <w:szCs w:val="16"/>
          <w:color w:val="auto"/>
        </w:rPr>
        <w:t>. The Company represents and warrants to Subscriber that:</w:t>
      </w:r>
    </w:p>
    <w:p>
      <w:pPr>
        <w:spacing w:after="0" w:line="198" w:lineRule="exact"/>
        <w:rPr>
          <w:rFonts w:ascii="Times New Roman" w:cs="Times New Roman" w:eastAsia="Times New Roman" w:hAnsi="Times New Roman"/>
          <w:sz w:val="16"/>
          <w:szCs w:val="16"/>
          <w:color w:val="auto"/>
        </w:rPr>
      </w:pPr>
    </w:p>
    <w:p>
      <w:pPr>
        <w:jc w:val="both"/>
        <w:ind w:firstLine="760"/>
        <w:spacing w:after="0" w:line="252" w:lineRule="auto"/>
        <w:tabs>
          <w:tab w:leader="none" w:pos="932" w:val="left"/>
        </w:tabs>
        <w:numPr>
          <w:ilvl w:val="1"/>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 is duly organized, validly existing and in good standing under the laws of its jurisdiction of incorporation; (ii) has the requisite power and authority to own, lease and operate its properties, to carry on its business as it is now being conducted and to enter into, deliver and perform its obligations under this Subscription Agreement;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Subscription Agreement, a “</w:t>
      </w:r>
      <w:r>
        <w:rPr>
          <w:rFonts w:ascii="Times New Roman" w:cs="Times New Roman" w:eastAsia="Times New Roman" w:hAnsi="Times New Roman"/>
          <w:sz w:val="16"/>
          <w:szCs w:val="16"/>
          <w:u w:val="single" w:color="auto"/>
          <w:color w:val="auto"/>
        </w:rPr>
        <w:t>Company Material Adverse Effect</w:t>
      </w:r>
      <w:r>
        <w:rPr>
          <w:rFonts w:ascii="Times New Roman" w:cs="Times New Roman" w:eastAsia="Times New Roman" w:hAnsi="Times New Roman"/>
          <w:sz w:val="16"/>
          <w:szCs w:val="16"/>
          <w:color w:val="auto"/>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Subscription Agreement, including the sale of the Subscribed Shares, the Transaction Agreement or the consummation of the Transaction.</w:t>
      </w:r>
    </w:p>
    <w:p>
      <w:pPr>
        <w:spacing w:after="0" w:line="171" w:lineRule="exact"/>
        <w:rPr>
          <w:rFonts w:ascii="Times New Roman" w:cs="Times New Roman" w:eastAsia="Times New Roman" w:hAnsi="Times New Roman"/>
          <w:sz w:val="16"/>
          <w:szCs w:val="16"/>
          <w:color w:val="auto"/>
        </w:rPr>
      </w:pPr>
    </w:p>
    <w:p>
      <w:pPr>
        <w:jc w:val="both"/>
        <w:ind w:right="20" w:firstLine="760"/>
        <w:spacing w:after="0" w:line="257" w:lineRule="auto"/>
        <w:tabs>
          <w:tab w:leader="none" w:pos="930" w:val="left"/>
        </w:tabs>
        <w:numPr>
          <w:ilvl w:val="1"/>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Closing Date, the Subscribed Shares will be duly authorized and, when issued and delivered to Subscriber against full payment therefor in accordance with the terms of this Subscription Agreement, will be validly issued and will constitute legal, valid and binding obligations of the Company, enforceable against the Company in accordance with their terms, except that the enforcement thereof may be subject to applicable bankruptcy, insolvency or similar laws affecting creditors’ rights generally or by equitable principles relating to enforceability (collectively, the “</w:t>
      </w:r>
      <w:r>
        <w:rPr>
          <w:rFonts w:ascii="Times New Roman" w:cs="Times New Roman" w:eastAsia="Times New Roman" w:hAnsi="Times New Roman"/>
          <w:sz w:val="16"/>
          <w:szCs w:val="16"/>
          <w:u w:val="single" w:color="auto"/>
          <w:color w:val="auto"/>
        </w:rPr>
        <w:t>Enforceability Exceptions</w:t>
      </w:r>
      <w:r>
        <w:rPr>
          <w:rFonts w:ascii="Times New Roman" w:cs="Times New Roman" w:eastAsia="Times New Roman" w:hAnsi="Times New Roman"/>
          <w:sz w:val="16"/>
          <w:szCs w:val="16"/>
          <w:color w:val="auto"/>
        </w:rPr>
        <w:t>”), and will not have been issued in violation of any preemptive rights created under the Company’s organizational documents or the laws of the State of Delaware.</w:t>
      </w:r>
    </w:p>
    <w:p>
      <w:pPr>
        <w:spacing w:after="0" w:line="162" w:lineRule="exact"/>
        <w:rPr>
          <w:rFonts w:ascii="Times New Roman" w:cs="Times New Roman" w:eastAsia="Times New Roman" w:hAnsi="Times New Roman"/>
          <w:sz w:val="16"/>
          <w:szCs w:val="16"/>
          <w:color w:val="auto"/>
        </w:rPr>
      </w:pPr>
    </w:p>
    <w:p>
      <w:pPr>
        <w:jc w:val="both"/>
        <w:ind w:firstLine="760"/>
        <w:spacing w:after="0" w:line="265" w:lineRule="auto"/>
        <w:tabs>
          <w:tab w:leader="none" w:pos="923" w:val="left"/>
        </w:tabs>
        <w:numPr>
          <w:ilvl w:val="1"/>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Subscription Agreement has been duly authorized, executed and delivered by the Company, and assuming the due authorization, execution and delivery of the same by Subscriber, this Subscription Agreement shall constitute the valid and legally binding obligation of the Company, enforceable against the Company in accordance with its terms, except that the enforcement thereof may be subject to the Enforceability Exceptions.</w:t>
      </w:r>
    </w:p>
    <w:p>
      <w:pPr>
        <w:spacing w:after="0" w:line="155" w:lineRule="exact"/>
        <w:rPr>
          <w:rFonts w:ascii="Times New Roman" w:cs="Times New Roman" w:eastAsia="Times New Roman" w:hAnsi="Times New Roman"/>
          <w:sz w:val="16"/>
          <w:szCs w:val="16"/>
          <w:color w:val="auto"/>
        </w:rPr>
      </w:pPr>
    </w:p>
    <w:p>
      <w:pPr>
        <w:jc w:val="both"/>
        <w:ind w:firstLine="760"/>
        <w:spacing w:after="0" w:line="253" w:lineRule="auto"/>
        <w:tabs>
          <w:tab w:leader="none" w:pos="933" w:val="left"/>
        </w:tabs>
        <w:numPr>
          <w:ilvl w:val="1"/>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execution and delivery of this Subscription Agreement, the issuance and sale of the Subscribed Shares and the compliance by the Company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 (i) and (iii), would reasonably be expected to have a Company Material Adverse Effect or have a material adverse effect on the Company’s ability to consummate the transactions contemplated hereby, including the issuance and sale of the Subscribed Shares.</w:t>
      </w:r>
    </w:p>
    <w:p>
      <w:pPr>
        <w:spacing w:after="0" w:line="169" w:lineRule="exact"/>
        <w:rPr>
          <w:rFonts w:ascii="Times New Roman" w:cs="Times New Roman" w:eastAsia="Times New Roman" w:hAnsi="Times New Roman"/>
          <w:sz w:val="16"/>
          <w:szCs w:val="16"/>
          <w:color w:val="auto"/>
        </w:rPr>
      </w:pPr>
    </w:p>
    <w:p>
      <w:pPr>
        <w:jc w:val="both"/>
        <w:ind w:firstLine="760"/>
        <w:spacing w:after="0" w:line="252" w:lineRule="auto"/>
        <w:tabs>
          <w:tab w:leader="none" w:pos="919" w:val="left"/>
        </w:tabs>
        <w:numPr>
          <w:ilvl w:val="1"/>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Assuming the accuracy of the representations and warranties of Subscriber, the Company is not required to obtain any consent, waiver, authorization or order of, give any notice to, or make any filing or registration with, any court or other federal, state, local or other governmental authority, self-regulatory organization (including the Nasdaq Stock Market) or other person in connection with the execution, delivery and performance of this Subscription Agreement (including, without limitation, the issuance of the Subscribed Shares), other than (i) filings required by applicable state securities laws; (ii) the filing of a shelf registration statement pursuant to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below; (iii) the filing of a Notice of Exempt Offering of Securities on Form D with the United States Securities and Exchange Commission (“</w:t>
      </w:r>
      <w:r>
        <w:rPr>
          <w:rFonts w:ascii="Times New Roman" w:cs="Times New Roman" w:eastAsia="Times New Roman" w:hAnsi="Times New Roman"/>
          <w:sz w:val="16"/>
          <w:szCs w:val="16"/>
          <w:u w:val="single" w:color="auto"/>
          <w:color w:val="auto"/>
        </w:rPr>
        <w:t>Commission</w:t>
      </w:r>
      <w:r>
        <w:rPr>
          <w:rFonts w:ascii="Times New Roman" w:cs="Times New Roman" w:eastAsia="Times New Roman" w:hAnsi="Times New Roman"/>
          <w:sz w:val="16"/>
          <w:szCs w:val="16"/>
          <w:color w:val="auto"/>
        </w:rPr>
        <w:t>”) under Regulation D of the Securities Act of 1933, as amended (the “</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if applicable; (iv) those required by the Nasdaq Stock Market, including with respect to obtaining shareholder approval; (v) those required to consummate the Transaction as provided under the Transaction Agreement; (vi) the filing of notification under the Hart-Scott-Rodino Antitrust Improvements Act of 1976, if applicable; (vii) such as have been or will have been obtained, made or given on or prior to the Closing Date, and (viii) the failure of which to obtain would not be reasonably likely to have a Company Material Adverse Effect or have a material adverse effect on the Company’s ability to consummate the transactions contemplated hereby, including the issuance and sale of the Subscribed Shares.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62" w:name="page163"/>
    <w:bookmarkEnd w:id="162"/>
    <w:p>
      <w:pPr>
        <w:jc w:val="both"/>
        <w:ind w:firstLine="760"/>
        <w:spacing w:after="0" w:line="252" w:lineRule="auto"/>
        <w:tabs>
          <w:tab w:leader="none" w:pos="936"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their respective dates, all reports required to be filed by the Company with the Commission (the “</w:t>
      </w:r>
      <w:r>
        <w:rPr>
          <w:rFonts w:ascii="Times New Roman" w:cs="Times New Roman" w:eastAsia="Times New Roman" w:hAnsi="Times New Roman"/>
          <w:sz w:val="16"/>
          <w:szCs w:val="16"/>
          <w:u w:val="single" w:color="auto"/>
          <w:color w:val="auto"/>
        </w:rPr>
        <w:t>SEC Reports</w:t>
      </w:r>
      <w:r>
        <w:rPr>
          <w:rFonts w:ascii="Times New Roman" w:cs="Times New Roman" w:eastAsia="Times New Roman" w:hAnsi="Times New Roman"/>
          <w:sz w:val="16"/>
          <w:szCs w:val="16"/>
          <w:color w:val="auto"/>
        </w:rPr>
        <w:t>”) complied in all material respects with the requirements of the Securities Act and the Securities Exchange Act of 1934, as amended (the “</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and the rules and regulations of the Commission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and fairly present in all material respects the financial position of the Company as of and for the dates thereof and the results of operations and cash flows for the periods then ended, subject, in the case of unaudited statements, to normal, year-end audit adjustments. The description of the business and financial information of Presto set forth in the presentation dated April 2022 (the “</w:t>
      </w:r>
      <w:r>
        <w:rPr>
          <w:rFonts w:ascii="Times New Roman" w:cs="Times New Roman" w:eastAsia="Times New Roman" w:hAnsi="Times New Roman"/>
          <w:sz w:val="16"/>
          <w:szCs w:val="16"/>
          <w:u w:val="single" w:color="auto"/>
          <w:color w:val="auto"/>
        </w:rPr>
        <w:t>Investor Presentation</w:t>
      </w:r>
      <w:r>
        <w:rPr>
          <w:rFonts w:ascii="Times New Roman" w:cs="Times New Roman" w:eastAsia="Times New Roman" w:hAnsi="Times New Roman"/>
          <w:sz w:val="16"/>
          <w:szCs w:val="16"/>
          <w:color w:val="auto"/>
        </w:rPr>
        <w:t>”) made available to the undersigned prior to the execution of this Subscription Agreement, and as amended through the Closing Date, shall be consistent in all material respects with the description of the business and financial information of Presto described or included in the definitive proxy statement of the Company filed in connection with the approval of the Transaction by the stockholders of the Company. Notwithstanding the foregoing, with respect to the proxy statement/prospectus filed or to be filed by the Company with respect to the Transactions or any other information relating to the Transactions or to Presto or any of its affiliates included in any SEC Report or filed as an exhibit thereto, the representation and warranty in this sentence is made to the Company’s knowledge.</w:t>
      </w:r>
    </w:p>
    <w:p>
      <w:pPr>
        <w:spacing w:after="0" w:line="165" w:lineRule="exact"/>
        <w:rPr>
          <w:rFonts w:ascii="Times New Roman" w:cs="Times New Roman" w:eastAsia="Times New Roman" w:hAnsi="Times New Roman"/>
          <w:sz w:val="16"/>
          <w:szCs w:val="16"/>
          <w:color w:val="auto"/>
        </w:rPr>
      </w:pPr>
    </w:p>
    <w:p>
      <w:pPr>
        <w:jc w:val="both"/>
        <w:ind w:firstLine="760"/>
        <w:spacing w:after="0" w:line="250" w:lineRule="auto"/>
        <w:tabs>
          <w:tab w:leader="none" w:pos="924"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date hereof and as of immediately prior to the Closing, the authorized share capital of the Company consists of 50,000,000 shares of Common stock and 1,000,000 preferred shares, par value $0.0001 per share (“</w:t>
      </w:r>
      <w:r>
        <w:rPr>
          <w:rFonts w:ascii="Times New Roman" w:cs="Times New Roman" w:eastAsia="Times New Roman" w:hAnsi="Times New Roman"/>
          <w:sz w:val="16"/>
          <w:szCs w:val="16"/>
          <w:u w:val="single" w:color="auto"/>
          <w:color w:val="auto"/>
        </w:rPr>
        <w:t>Preferred Shares</w:t>
      </w:r>
      <w:r>
        <w:rPr>
          <w:rFonts w:ascii="Times New Roman" w:cs="Times New Roman" w:eastAsia="Times New Roman" w:hAnsi="Times New Roman"/>
          <w:sz w:val="16"/>
          <w:szCs w:val="16"/>
          <w:color w:val="auto"/>
        </w:rPr>
        <w:t>”). As of the Closing Date (and immediately after the consummation of the Transaction), the authorized share capital of the Company will consist of 180,000,000 shares of Common Stock and 1,500,000 Preferred Shares. As of the date hereof and as of immediately prior to the Closing: (i) 1,255,018 shares of Common Stock (excluding shares of Common Stock that are owned by the Sponsors and other insiders of the Company (the “</w:t>
      </w:r>
      <w:r>
        <w:rPr>
          <w:rFonts w:ascii="Times New Roman" w:cs="Times New Roman" w:eastAsia="Times New Roman" w:hAnsi="Times New Roman"/>
          <w:sz w:val="16"/>
          <w:szCs w:val="16"/>
          <w:u w:val="single" w:color="auto"/>
          <w:color w:val="auto"/>
        </w:rPr>
        <w:t>Founder Shares</w:t>
      </w:r>
      <w:r>
        <w:rPr>
          <w:rFonts w:ascii="Times New Roman" w:cs="Times New Roman" w:eastAsia="Times New Roman" w:hAnsi="Times New Roman"/>
          <w:sz w:val="16"/>
          <w:szCs w:val="16"/>
          <w:color w:val="auto"/>
        </w:rPr>
        <w:t>”)), 4,312,500 Founder Shares and no Preferred Shares were issued and outstanding; (ii) 17,250,000 public warrants, each exercisable to purchase one-half of one share of Common Stock at $11.50 per full share and 6,675,000 private placement warrants, (including 900,000 private placement warrants that will be cancelled at the Closing Date) each exercisable to purchase one share of Common Stock at $11.50 per full share (together “</w:t>
      </w:r>
      <w:r>
        <w:rPr>
          <w:rFonts w:ascii="Times New Roman" w:cs="Times New Roman" w:eastAsia="Times New Roman" w:hAnsi="Times New Roman"/>
          <w:sz w:val="16"/>
          <w:szCs w:val="16"/>
          <w:u w:val="single" w:color="auto"/>
          <w:color w:val="auto"/>
        </w:rPr>
        <w:t>Warrants</w:t>
      </w:r>
      <w:r>
        <w:rPr>
          <w:rFonts w:ascii="Times New Roman" w:cs="Times New Roman" w:eastAsia="Times New Roman" w:hAnsi="Times New Roman"/>
          <w:sz w:val="16"/>
          <w:szCs w:val="16"/>
          <w:color w:val="auto"/>
        </w:rPr>
        <w:t>”), were issued and outstanding; (iii) 17,250,000 rights, each right entitling the holder to receive one-twentieth of one share of common stock upon the consummation of the Transaction; and (iv) no Common Stock was subject to issuance upon exercise of outstanding options. As of the date hereof, the Company has no outstanding long-term indebtedness for borrowed money that is or would be required to be recognized as a long-term liability in accordance with generally accepted accounting principles (other than fees payable under the business combination marketing agreement entered into in connection with its initial public offering and/or warrant liability accounting treatment of the Company’s private placement warrants and/or public warrants) and will not have any long-term indebtedness for borrowed money that is or would be required to be recognized as a long-term liability in accordance with generally accepted accounting principles immediately prior to and as of the Closing (other than indebtedness disclosed in the SEC Reports or the Company’s registration statement on Form S-4 (No. 333-263516), as amended, prior to the Closing Date) and all outstanding convertible promissory notes heretofore issued by Presto will have been converted into Common Stock pursuant to the terms of the Transaction Agreement as of the Closing. Immediately following the Closing, (i) 2,689,187 Founder Shares (including 90,000 Founder Shares not held by the Sponsors) and 6,675,000 private placement warrants (including 900,000 private placement warrants that will be cancelled at the Closing Date) will be fully vested, (ii) 444,500433,250 Founder Shares are subject to vesting pursuant to the vesting provisions set forth in that certain Amended and Restated Sponsors Support Agreement dated July 25, 2022 and (iii) the public warrants will have an exercise price $8.21. No Warrants are exercisable on or prior to the Closing. All (i) issued and outstanding Common Stock has been duly authorized and validly issued, is fully paid and non-assessable and is not subject to preemptive rights and (ii) outstanding Warrants have been duly authorized and validly issued, are fully paid and are not subject to preemptive rights. As of the date hereof, except as set forth above and pursuant to (i) this Agreement, (ii) the Other Subscription Agreements, (iii) the Transaction Agreement, or (iv) any agreement(s) that the Company may enter into with third parties for the purpose of recapturing or reducing the shares of Common Stock redeemed by public shareholders, (such agreement(s), the “</w:t>
      </w:r>
      <w:r>
        <w:rPr>
          <w:rFonts w:ascii="Times New Roman" w:cs="Times New Roman" w:eastAsia="Times New Roman" w:hAnsi="Times New Roman"/>
          <w:sz w:val="16"/>
          <w:szCs w:val="16"/>
          <w:u w:val="single" w:color="auto"/>
          <w:color w:val="auto"/>
        </w:rPr>
        <w:t>Forward Purchase Agreement</w:t>
      </w:r>
      <w:r>
        <w:rPr>
          <w:rFonts w:ascii="Times New Roman" w:cs="Times New Roman" w:eastAsia="Times New Roman" w:hAnsi="Times New Roman"/>
          <w:sz w:val="16"/>
          <w:szCs w:val="16"/>
          <w:color w:val="auto"/>
        </w:rPr>
        <w:t>”), there are no outstanding options, warrants or other rights to subscribe for, purchase or acquire from the Company any Common Stock or other equity interests in the Company (collectively, “</w:t>
      </w:r>
      <w:r>
        <w:rPr>
          <w:rFonts w:ascii="Times New Roman" w:cs="Times New Roman" w:eastAsia="Times New Roman" w:hAnsi="Times New Roman"/>
          <w:sz w:val="16"/>
          <w:szCs w:val="16"/>
          <w:u w:val="single" w:color="auto"/>
          <w:color w:val="auto"/>
        </w:rPr>
        <w:t>Equity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Interests</w:t>
      </w:r>
      <w:r>
        <w:rPr>
          <w:rFonts w:ascii="Times New Roman" w:cs="Times New Roman" w:eastAsia="Times New Roman" w:hAnsi="Times New Roman"/>
          <w:sz w:val="16"/>
          <w:szCs w:val="16"/>
          <w:color w:val="auto"/>
        </w:rPr>
        <w:t>”) or securities convertible into or exchangeable or exercisable for Equity Interests. As of the date hereof, the Company has no subsidiaries and does not own, directly or indirectly, interests or investments (whether equity or debt) in any person, whether incorporated or unincorporated. There are no stockholder agreements, voting trusts or other agreements or understandings to which the Company is a party or by which it is bound relating to the voting of any Equity Interests, other than (A) the letter agreements entered into by the Company in connection with the Company’s initial public offering on December 30, 2020 pursuant to which the Company’s sponsor and the Company’s executive officers and independent directors agreed to vote in favor of any proposed Business Combination (as defined therein), which includes the Transaction, (B) as contemplated by the Transaction Agreement and (C) the Forward Purchase Agreement. With the exception of the Warrants, there are no securities or instruments issued by or to which the Company is a party containing anti-dilution or similar provisions that will be triggered by the issuance of (i) the Subscribed Shares or (ii) the securities to be issued pursuant to any Other Subscription Agreement. Subscriber understands and acknowledges the Sponsors may from time to time enter into various agreements relating to the transfer of the Founder Shares and private placement warrants in furtherance of the Transaction, and that such agreements shall not be in violation of this Subscription Agreement so long as the aggregate number of outstanding Founder Shares or private placement warrants do not increase, the Sponsors shall promptly notify Subscriber if the aggregate number of Founder Shares or private placement warrants decrease as a result of such agreements.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63" w:name="page164"/>
    <w:bookmarkEnd w:id="163"/>
    <w:p>
      <w:pPr>
        <w:jc w:val="both"/>
        <w:ind w:firstLine="765"/>
        <w:spacing w:after="0" w:line="257" w:lineRule="auto"/>
        <w:rPr>
          <w:sz w:val="20"/>
          <w:szCs w:val="20"/>
          <w:color w:val="auto"/>
        </w:rPr>
      </w:pPr>
      <w:r>
        <w:rPr>
          <w:rFonts w:ascii="Times New Roman" w:cs="Times New Roman" w:eastAsia="Times New Roman" w:hAnsi="Times New Roman"/>
          <w:sz w:val="16"/>
          <w:szCs w:val="16"/>
          <w:color w:val="auto"/>
        </w:rPr>
        <w:t xml:space="preserve">h. Except for such matters as have not had and would not be reasonably likely to have a Company Material Adverse Effect or have a material adverse effect on the Company’s ability to consummate the transactions contemplated hereby, including the issuance and sale of the Subscribed Shares, as of the date hereof, there is no (i) suit, action, investigation, proceeding or arbitration before a governmental authority or arbitrator pending, or, to the knowledge of the Company, threatened in writing against the Company or any of its directors or officers in their capacities as such or (ii) judgment, decree, injunction, ruling or order of any governmental authority or arbitrator outstanding </w:t>
      </w:r>
      <w:r>
        <w:rPr>
          <w:rFonts w:ascii="Times New Roman" w:cs="Times New Roman" w:eastAsia="Times New Roman" w:hAnsi="Times New Roman"/>
          <w:sz w:val="16"/>
          <w:szCs w:val="16"/>
          <w:i w:val="1"/>
          <w:iCs w:val="1"/>
          <w:color w:val="auto"/>
        </w:rPr>
        <w:t xml:space="preserve">against </w:t>
      </w:r>
      <w:r>
        <w:rPr>
          <w:rFonts w:ascii="Times New Roman" w:cs="Times New Roman" w:eastAsia="Times New Roman" w:hAnsi="Times New Roman"/>
          <w:sz w:val="16"/>
          <w:szCs w:val="16"/>
          <w:color w:val="auto"/>
        </w:rPr>
        <w:t>the Company or any of its directors or officers in their capacities as such.</w:t>
      </w:r>
    </w:p>
    <w:p>
      <w:pPr>
        <w:spacing w:after="0" w:line="162" w:lineRule="exact"/>
        <w:rPr>
          <w:sz w:val="20"/>
          <w:szCs w:val="20"/>
          <w:color w:val="auto"/>
        </w:rPr>
      </w:pPr>
    </w:p>
    <w:p>
      <w:pPr>
        <w:jc w:val="both"/>
        <w:ind w:firstLine="760"/>
        <w:spacing w:after="0" w:line="253" w:lineRule="auto"/>
        <w:tabs>
          <w:tab w:leader="none" w:pos="946"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issued and outstanding shares of Common Stock are registered pursuant to Section 12(b) of Exchange Act, and are listed for trading on the Nasdaq Stock Market under the symbol “VTAQ.” There is no suit, action, proceeding or investigation pending or, to the knowledge of the Company, threatened against the Company by the Nasdaq Stock Market or the Commission with respect to any intention by such entity to deregister the shares of Common Stock or prohibit or terminate the listing of the shares of Common Stock on the Nasdaq Stock Market. The Company has taken no action that is designed to terminate the registration of the shares of Common Stock under the Exchange Act. The Company has filed a listing application with NASDAQ for the Subscribed Shares and such application has been, or prior to Closing will be, approved by</w:t>
      </w:r>
    </w:p>
    <w:p>
      <w:pPr>
        <w:spacing w:after="0" w:line="2"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w:t>
      </w:r>
    </w:p>
    <w:p>
      <w:pPr>
        <w:spacing w:after="0" w:line="181" w:lineRule="exact"/>
        <w:rPr>
          <w:rFonts w:ascii="Times New Roman" w:cs="Times New Roman" w:eastAsia="Times New Roman" w:hAnsi="Times New Roman"/>
          <w:sz w:val="16"/>
          <w:szCs w:val="16"/>
          <w:color w:val="auto"/>
        </w:rPr>
      </w:pPr>
    </w:p>
    <w:p>
      <w:pPr>
        <w:ind w:right="20" w:firstLine="760"/>
        <w:spacing w:after="0" w:line="280" w:lineRule="auto"/>
        <w:tabs>
          <w:tab w:leader="none" w:pos="948"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consummation of the Transaction, the issued and outstanding shares of Common Stock will be registered pursuant to Section 12(b) of the Exchange Act and will be listed for trading on the Nasdaq Stock Market.</w:t>
      </w:r>
    </w:p>
    <w:p>
      <w:pPr>
        <w:spacing w:after="0" w:line="144" w:lineRule="exact"/>
        <w:rPr>
          <w:rFonts w:ascii="Times New Roman" w:cs="Times New Roman" w:eastAsia="Times New Roman" w:hAnsi="Times New Roman"/>
          <w:sz w:val="16"/>
          <w:szCs w:val="16"/>
          <w:color w:val="auto"/>
        </w:rPr>
      </w:pPr>
    </w:p>
    <w:p>
      <w:pPr>
        <w:ind w:right="20" w:firstLine="760"/>
        <w:spacing w:after="0" w:line="280" w:lineRule="auto"/>
        <w:tabs>
          <w:tab w:leader="none" w:pos="931"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Assuming the accuracy of Subscriber’s representations and warranties set forth in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of this Subscription Agreement, no registration under the Securities Act is required for the offer and sale of the Subscribed Shares by the Company to Subscriber.</w:t>
      </w:r>
    </w:p>
    <w:p>
      <w:pPr>
        <w:spacing w:after="0" w:line="144" w:lineRule="exact"/>
        <w:rPr>
          <w:rFonts w:ascii="Times New Roman" w:cs="Times New Roman" w:eastAsia="Times New Roman" w:hAnsi="Times New Roman"/>
          <w:sz w:val="16"/>
          <w:szCs w:val="16"/>
          <w:color w:val="auto"/>
        </w:rPr>
      </w:pPr>
    </w:p>
    <w:p>
      <w:pPr>
        <w:ind w:left="920" w:hanging="160"/>
        <w:spacing w:after="0"/>
        <w:tabs>
          <w:tab w:leader="none" w:pos="920"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broker or finder is entitled to any brokerage or finder’s fee or commission solely in connection with the sale of the Subscribed Shares to Subscriber.</w:t>
      </w:r>
    </w:p>
    <w:p>
      <w:pPr>
        <w:spacing w:after="0" w:line="198" w:lineRule="exact"/>
        <w:rPr>
          <w:rFonts w:ascii="Times New Roman" w:cs="Times New Roman" w:eastAsia="Times New Roman" w:hAnsi="Times New Roman"/>
          <w:sz w:val="16"/>
          <w:szCs w:val="16"/>
          <w:color w:val="auto"/>
        </w:rPr>
      </w:pPr>
    </w:p>
    <w:p>
      <w:pPr>
        <w:jc w:val="both"/>
        <w:ind w:right="20" w:firstLine="760"/>
        <w:spacing w:after="0" w:line="257" w:lineRule="auto"/>
        <w:tabs>
          <w:tab w:leader="none" w:pos="1011"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such matters as have not had and would not be reasonably likely to have a Company Material Adverse Effect or have a material adverse effect on the Company’s ability to consummate the transactions contemplated hereby, including the issuance and sale of the Subscribed Shares,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64" w:name="page165"/>
    <w:bookmarkEnd w:id="164"/>
    <w:p>
      <w:pPr>
        <w:jc w:val="both"/>
        <w:ind w:right="20" w:firstLine="765"/>
        <w:spacing w:after="0" w:line="280" w:lineRule="auto"/>
        <w:rPr>
          <w:sz w:val="20"/>
          <w:szCs w:val="20"/>
          <w:color w:val="auto"/>
        </w:rPr>
      </w:pPr>
      <w:r>
        <w:rPr>
          <w:rFonts w:ascii="Times New Roman" w:cs="Times New Roman" w:eastAsia="Times New Roman" w:hAnsi="Times New Roman"/>
          <w:sz w:val="16"/>
          <w:szCs w:val="16"/>
          <w:color w:val="auto"/>
        </w:rPr>
        <w:t>n. The Company has not in the past nor will it hereafter take any action to sell, offer for sale or solicit offers to buy any securities of the Company that could result in the initial sale of the Subscribed Shares not being exempt from the registration requirements of Section 5 of the Securities Act.</w:t>
      </w:r>
    </w:p>
    <w:p>
      <w:pPr>
        <w:spacing w:after="0" w:line="144" w:lineRule="exact"/>
        <w:rPr>
          <w:sz w:val="20"/>
          <w:szCs w:val="20"/>
          <w:color w:val="auto"/>
        </w:rPr>
      </w:pPr>
    </w:p>
    <w:p>
      <w:pPr>
        <w:jc w:val="both"/>
        <w:ind w:firstLine="765"/>
        <w:spacing w:after="0" w:line="265" w:lineRule="auto"/>
        <w:rPr>
          <w:sz w:val="20"/>
          <w:szCs w:val="20"/>
          <w:color w:val="auto"/>
        </w:rPr>
      </w:pPr>
      <w:r>
        <w:rPr>
          <w:rFonts w:ascii="Times New Roman" w:cs="Times New Roman" w:eastAsia="Times New Roman" w:hAnsi="Times New Roman"/>
          <w:sz w:val="16"/>
          <w:szCs w:val="16"/>
          <w:color w:val="auto"/>
        </w:rPr>
        <w:t>o. 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spacing w:after="0" w:line="155" w:lineRule="exact"/>
        <w:rPr>
          <w:sz w:val="20"/>
          <w:szCs w:val="20"/>
          <w:color w:val="auto"/>
        </w:rPr>
      </w:pPr>
    </w:p>
    <w:p>
      <w:pPr>
        <w:jc w:val="both"/>
        <w:ind w:right="20" w:firstLine="765"/>
        <w:spacing w:after="0" w:line="265" w:lineRule="auto"/>
        <w:rPr>
          <w:sz w:val="20"/>
          <w:szCs w:val="20"/>
          <w:color w:val="auto"/>
        </w:rPr>
      </w:pPr>
      <w:r>
        <w:rPr>
          <w:rFonts w:ascii="Times New Roman" w:cs="Times New Roman" w:eastAsia="Times New Roman" w:hAnsi="Times New Roman"/>
          <w:sz w:val="16"/>
          <w:szCs w:val="16"/>
          <w:color w:val="auto"/>
        </w:rPr>
        <w:t>p. There is no action, suit, proceeding or investigation pending or, to the Company’s knowledge, currently threatened in writing against the Company that questions the validity of this Agreement or the right of the Company to enter into this Agreement, or to consummate the transactions contemplated thereby, or that might result, if determined adversely to the Company, in a material adverse effect, or in any material change in the current equity ownership of the Company.</w:t>
      </w:r>
    </w:p>
    <w:p>
      <w:pPr>
        <w:spacing w:after="0" w:line="155" w:lineRule="exact"/>
        <w:rPr>
          <w:sz w:val="20"/>
          <w:szCs w:val="20"/>
          <w:color w:val="auto"/>
        </w:rPr>
      </w:pPr>
    </w:p>
    <w:p>
      <w:pPr>
        <w:jc w:val="both"/>
        <w:ind w:firstLine="765"/>
        <w:spacing w:after="0" w:line="255" w:lineRule="auto"/>
        <w:rPr>
          <w:sz w:val="20"/>
          <w:szCs w:val="20"/>
          <w:color w:val="auto"/>
        </w:rPr>
      </w:pPr>
      <w:r>
        <w:rPr>
          <w:rFonts w:ascii="Times New Roman" w:cs="Times New Roman" w:eastAsia="Times New Roman" w:hAnsi="Times New Roman"/>
          <w:sz w:val="16"/>
          <w:szCs w:val="16"/>
          <w:color w:val="auto"/>
        </w:rPr>
        <w:t>q. To the Company’s knowledge, the Company owns or possesses sufficient legal rights to all (a) patents, patent applications and inventions; (b) trademarks, service marks, trade names, 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spacing w:after="0" w:line="165" w:lineRule="exact"/>
        <w:rPr>
          <w:sz w:val="20"/>
          <w:szCs w:val="20"/>
          <w:color w:val="auto"/>
        </w:rPr>
      </w:pPr>
    </w:p>
    <w:p>
      <w:pPr>
        <w:jc w:val="both"/>
        <w:ind w:firstLine="760"/>
        <w:spacing w:after="0" w:line="252" w:lineRule="auto"/>
        <w:tabs>
          <w:tab w:leader="none" w:pos="952" w:val="left"/>
        </w:tabs>
        <w:numPr>
          <w:ilvl w:val="1"/>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not entered into any subscription agreement, side letter or similar agreement with any investor in connection with such investor’s direct or indirect investment in the Company other than (i) the Transaction Agreement, (ii) any agreement or arrangement contemplated by the Transaction Agreement, which for the avoidance of doubt, includes the Forward Purchase Agreement, (iii) as disclosed in the Company’s filings with the Commission and (iv) the Other Subscription Agreements. The Other Subscription Agreements reflect terms with respect to the purchase of the Notes that are no more favorable to such subscriber thereunder than the terms of this Subscription Agreement other than such Other Subscription Agreements containing any of the following: (t) the amounts, prices and types of the Company’s securities to be subscribed for and purchased by the Other Subscribers and any terms relating to such other types of the Company’s securities, (u) certain fees payable by Presto to and certain board observer rights granted to Silver Rock, (v) the purchase of Common Stock from the Sponsors, (w) certain rights to nominate a member of the Company’s board of directors after and contingent upon the Closing, (x) certain closing conditions in the Other Subscription Agreements relating to the Notes and certain representations related to the payment of expenses in the Transaction, (y) (i) any rights or benefits granted to an Other Subscriber in connection with such Other Subscriber’s compliance with any law, regulation or policy specifically applicable to such Other Subscriber or in connection with the taxable status of an Other Subscriber and (ii) any rights with respect to the confidentiality or disclosure of an Other Subscriber’s identity and (z) certain registration rights.</w:t>
      </w:r>
    </w:p>
    <w:p>
      <w:pPr>
        <w:spacing w:after="0" w:line="169" w:lineRule="exact"/>
        <w:rPr>
          <w:rFonts w:ascii="Times New Roman" w:cs="Times New Roman" w:eastAsia="Times New Roman" w:hAnsi="Times New Roman"/>
          <w:sz w:val="16"/>
          <w:szCs w:val="16"/>
          <w:color w:val="auto"/>
        </w:rPr>
      </w:pPr>
    </w:p>
    <w:p>
      <w:pPr>
        <w:ind w:left="540" w:hanging="162"/>
        <w:spacing w:after="0"/>
        <w:tabs>
          <w:tab w:leader="none" w:pos="540"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Subscriber Representations and Warranties</w:t>
      </w:r>
      <w:r>
        <w:rPr>
          <w:rFonts w:ascii="Times New Roman" w:cs="Times New Roman" w:eastAsia="Times New Roman" w:hAnsi="Times New Roman"/>
          <w:sz w:val="16"/>
          <w:szCs w:val="16"/>
          <w:color w:val="auto"/>
        </w:rPr>
        <w:t>. Subscriber represents and warrants to the Company that:</w:t>
      </w:r>
    </w:p>
    <w:p>
      <w:pPr>
        <w:spacing w:after="0" w:line="198" w:lineRule="exact"/>
        <w:rPr>
          <w:rFonts w:ascii="Times New Roman" w:cs="Times New Roman" w:eastAsia="Times New Roman" w:hAnsi="Times New Roman"/>
          <w:sz w:val="16"/>
          <w:szCs w:val="16"/>
          <w:color w:val="auto"/>
        </w:rPr>
      </w:pPr>
    </w:p>
    <w:p>
      <w:pPr>
        <w:ind w:right="20" w:firstLine="760"/>
        <w:spacing w:after="0" w:line="280" w:lineRule="auto"/>
        <w:tabs>
          <w:tab w:leader="none" w:pos="930" w:val="left"/>
        </w:tabs>
        <w:numPr>
          <w:ilvl w:val="1"/>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(i) is duly organized, validly existing and in good standing under the laws of its jurisdiction of incorporation, and (ii) has the requisite power and authority to enter into and perform its obligations under this Subscription Agreement.</w:t>
      </w:r>
    </w:p>
    <w:p>
      <w:pPr>
        <w:spacing w:after="0" w:line="144" w:lineRule="exact"/>
        <w:rPr>
          <w:rFonts w:ascii="Times New Roman" w:cs="Times New Roman" w:eastAsia="Times New Roman" w:hAnsi="Times New Roman"/>
          <w:sz w:val="16"/>
          <w:szCs w:val="16"/>
          <w:color w:val="auto"/>
        </w:rPr>
      </w:pPr>
    </w:p>
    <w:p>
      <w:pPr>
        <w:jc w:val="both"/>
        <w:ind w:right="20" w:firstLine="760"/>
        <w:spacing w:after="0" w:line="259" w:lineRule="auto"/>
        <w:tabs>
          <w:tab w:leader="none" w:pos="926" w:val="left"/>
        </w:tabs>
        <w:numPr>
          <w:ilvl w:val="1"/>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Subscription Agreement has been duly executed and delivered by Subscriber, and assuming the due authorization, execution and delivery of the same by the Company, this Subscription Agreement shall constitute the valid and legally binding obligation of Subscriber, enforceable against Subscriber in accordance with its terms, except as such enforceability may be limited by bankruptcy, insolvency, reorganization, moratorium and similar laws affecting creditors generally and by the availability of equitable remedies.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65" w:name="page166"/>
    <w:bookmarkEnd w:id="165"/>
    <w:p>
      <w:pPr>
        <w:jc w:val="both"/>
        <w:ind w:left="4" w:right="20" w:firstLine="765"/>
        <w:spacing w:after="0" w:line="253" w:lineRule="auto"/>
        <w:rPr>
          <w:sz w:val="20"/>
          <w:szCs w:val="20"/>
          <w:color w:val="auto"/>
        </w:rPr>
      </w:pPr>
      <w:r>
        <w:rPr>
          <w:rFonts w:ascii="Times New Roman" w:cs="Times New Roman" w:eastAsia="Times New Roman" w:hAnsi="Times New Roman"/>
          <w:sz w:val="16"/>
          <w:szCs w:val="16"/>
          <w:color w:val="auto"/>
        </w:rPr>
        <w:t>c. The execution and delivery of this Subscription Agreement, the purchase of the Subscribed Shares and the compliance by Subscriber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Subscriber pursuant to the terms of (i) any indenture, mortgage, deed of trust, loan agreement, lease, license or other agreement or instrument to which Subscriber is a party or by which Subscriber is bound or to which any of the property or assets of Subscriber is subject; (ii) the organizational documents of Subscriber; or (iii) any statute or any judgment, order, rule or regulation of any court or governmental agency or body, domestic or foreign, having jurisdiction over Subscriber or any of its properties that, in the case of clauses (i) and (iii), would reasonably be expected to have a Subscriber Material Adverse Effect. For purposes of this Subscription Agreement, a “</w:t>
      </w:r>
      <w:r>
        <w:rPr>
          <w:rFonts w:ascii="Times New Roman" w:cs="Times New Roman" w:eastAsia="Times New Roman" w:hAnsi="Times New Roman"/>
          <w:sz w:val="16"/>
          <w:szCs w:val="16"/>
          <w:u w:val="single" w:color="auto"/>
          <w:color w:val="auto"/>
        </w:rPr>
        <w:t>Subscriber Material Adverse Effect</w:t>
      </w:r>
      <w:r>
        <w:rPr>
          <w:rFonts w:ascii="Times New Roman" w:cs="Times New Roman" w:eastAsia="Times New Roman" w:hAnsi="Times New Roman"/>
          <w:sz w:val="16"/>
          <w:szCs w:val="16"/>
          <w:color w:val="auto"/>
        </w:rPr>
        <w:t>” means an event, change, development, occurrence, condition or effect with respect to Subscriber that would reasonably be expected to have a material adverse effect on Subscriber’s ability to consummate the transactions contemplated hereby, including the purchase of the Subscribed Shares.</w:t>
      </w:r>
    </w:p>
    <w:p>
      <w:pPr>
        <w:spacing w:after="0" w:line="166" w:lineRule="exact"/>
        <w:rPr>
          <w:sz w:val="20"/>
          <w:szCs w:val="20"/>
          <w:color w:val="auto"/>
        </w:rPr>
      </w:pPr>
    </w:p>
    <w:p>
      <w:pPr>
        <w:jc w:val="both"/>
        <w:ind w:left="4" w:right="20" w:firstLine="765"/>
        <w:spacing w:after="0" w:line="253" w:lineRule="auto"/>
        <w:rPr>
          <w:sz w:val="20"/>
          <w:szCs w:val="20"/>
          <w:color w:val="auto"/>
        </w:rPr>
      </w:pPr>
      <w:r>
        <w:rPr>
          <w:rFonts w:ascii="Times New Roman" w:cs="Times New Roman" w:eastAsia="Times New Roman" w:hAnsi="Times New Roman"/>
          <w:sz w:val="16"/>
          <w:szCs w:val="16"/>
          <w:color w:val="auto"/>
        </w:rPr>
        <w:t>d. Subscriber is an “accredited investor” (within the meaning of Rule 501 under the Securities Act) satisfying the applicable requirements set forth on Annex A; (ii) is acquiring the Subscribed Shares only for its own account and not for the account of others, or if Subscriber is subscribing for the Subscribed Shares as a fiduciary or agent for one or more investor accounts, each owner of such account is an “accredited investor” (within the meaning of Rule 501 under the Securities Act) and Subscriber has full investment discretion with respect to each such account, and the full power and authority to make the acknowledgements, representations and agreements herein on behalf of each owner of each such account, and (iii) is not acquiring the Subscribed Shares with a view to, or for offer or sale in connection with, any distribution thereof in violation of the Securities Act (and has provided the Company with the requested information on Annex A following the signature page hereto). Subscriber has provided to the Company prior to the date of this Subscription Agreement true and correct copies of such documents that verify its status as an “accredited investor,” which documents may include, but are not limited to, bank statements, brokerage statements, Form W-2s, Form 1040s, Form 1099s, Schedule K-1 to Form 1065, and any other documents that the Company may reasonably request, in each case, for the years ended December 31, 2020 and December 31, 2021, respectively.</w:t>
      </w:r>
    </w:p>
    <w:p>
      <w:pPr>
        <w:spacing w:after="0" w:line="166" w:lineRule="exact"/>
        <w:rPr>
          <w:sz w:val="20"/>
          <w:szCs w:val="20"/>
          <w:color w:val="auto"/>
        </w:rPr>
      </w:pPr>
    </w:p>
    <w:p>
      <w:pPr>
        <w:jc w:val="both"/>
        <w:ind w:left="4" w:firstLine="765"/>
        <w:spacing w:after="0" w:line="253" w:lineRule="auto"/>
        <w:rPr>
          <w:sz w:val="20"/>
          <w:szCs w:val="20"/>
          <w:color w:val="auto"/>
        </w:rPr>
      </w:pPr>
      <w:r>
        <w:rPr>
          <w:rFonts w:ascii="Times New Roman" w:cs="Times New Roman" w:eastAsia="Times New Roman" w:hAnsi="Times New Roman"/>
          <w:sz w:val="16"/>
          <w:szCs w:val="16"/>
          <w:color w:val="auto"/>
        </w:rPr>
        <w:t>e. Subscriber understands that the Subscribed Shares are being offered in a transaction not involving any public offering within the meaning of the Securities Act and that the Subscribed Shares have not been registered under the Securities Act. Subscriber understands that the Subscribed Shares may not be offered, resold, transferred, pledged or otherwise disposed of by Subscriber absent an effective registration statement under the Securities Act, except (i) to the Company or a subsidiary thereof, or (ii) pursuant to an applicable exemption from the registration requirements of the Securities Act, and, in each of cases (i) and (ii), in accordance with any applicable securities laws of the applicable states and other jurisdictions of the United States, and as a result of these transfer restrictions, Subscriber may not be able to readily resell the Subscribed Shares and may be required to bear the financial risk of an investment in the Subscribed Shares for an indefinite period of time. Subscriber acknowledges and agrees that the Subscribed Shares will not be eligible for offer, resale, transfer, pledge or disposition pursuant to Rule 144 promulgated under the Securities Act (“</w:t>
      </w:r>
      <w:r>
        <w:rPr>
          <w:rFonts w:ascii="Times New Roman" w:cs="Times New Roman" w:eastAsia="Times New Roman" w:hAnsi="Times New Roman"/>
          <w:sz w:val="16"/>
          <w:szCs w:val="16"/>
          <w:u w:val="single" w:color="auto"/>
          <w:color w:val="auto"/>
        </w:rPr>
        <w:t>Rule 144</w:t>
      </w:r>
      <w:r>
        <w:rPr>
          <w:rFonts w:ascii="Times New Roman" w:cs="Times New Roman" w:eastAsia="Times New Roman" w:hAnsi="Times New Roman"/>
          <w:sz w:val="16"/>
          <w:szCs w:val="16"/>
          <w:color w:val="auto"/>
        </w:rPr>
        <w:t>”) until at least one year from the Closing Date. Subscriber understands that it has been advised to consult legal counsel prior to making any offer, resale, pledge or transfer of any of the Subscribed Shares.</w:t>
      </w:r>
    </w:p>
    <w:p>
      <w:pPr>
        <w:spacing w:after="0" w:line="166" w:lineRule="exact"/>
        <w:rPr>
          <w:sz w:val="20"/>
          <w:szCs w:val="20"/>
          <w:color w:val="auto"/>
        </w:rPr>
      </w:pPr>
    </w:p>
    <w:p>
      <w:pPr>
        <w:ind w:left="4" w:right="20" w:firstLine="760"/>
        <w:spacing w:after="0" w:line="280" w:lineRule="auto"/>
        <w:tabs>
          <w:tab w:leader="none" w:pos="952"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book entry for the Subscribed Shares shall contain a notation, and each certificate (if any) evidencing the Subscribed Shares shall be stamped or otherwise imprinted with a legend, in substantially the following form:</w:t>
      </w:r>
    </w:p>
    <w:p>
      <w:pPr>
        <w:spacing w:after="0" w:line="142" w:lineRule="exact"/>
        <w:rPr>
          <w:sz w:val="20"/>
          <w:szCs w:val="20"/>
          <w:color w:val="auto"/>
        </w:rPr>
      </w:pPr>
    </w:p>
    <w:p>
      <w:pPr>
        <w:jc w:val="both"/>
        <w:ind w:left="4" w:right="20"/>
        <w:spacing w:after="0" w:line="266" w:lineRule="auto"/>
        <w:rPr>
          <w:sz w:val="20"/>
          <w:szCs w:val="20"/>
          <w:color w:val="auto"/>
        </w:rPr>
      </w:pPr>
      <w:r>
        <w:rPr>
          <w:rFonts w:ascii="Times New Roman" w:cs="Times New Roman" w:eastAsia="Times New Roman" w:hAnsi="Times New Roman"/>
          <w:sz w:val="16"/>
          <w:szCs w:val="16"/>
          <w:color w:val="auto"/>
        </w:rPr>
        <w:t>THIS SECURITY HAS NOT BEEN REGISTERED UNDER THE SECURITIES ACT OF 1933, AS AMENDED (THE “</w:t>
      </w:r>
      <w:r>
        <w:rPr>
          <w:rFonts w:ascii="Times New Roman" w:cs="Times New Roman" w:eastAsia="Times New Roman" w:hAnsi="Times New Roman"/>
          <w:sz w:val="16"/>
          <w:szCs w:val="16"/>
          <w:b w:val="1"/>
          <w:bCs w:val="1"/>
          <w:color w:val="auto"/>
        </w:rPr>
        <w:t>SECURITIES ACT</w:t>
      </w:r>
      <w:r>
        <w:rPr>
          <w:rFonts w:ascii="Times New Roman" w:cs="Times New Roman" w:eastAsia="Times New Roman" w:hAnsi="Times New Roman"/>
          <w:sz w:val="16"/>
          <w:szCs w:val="16"/>
          <w:color w:val="auto"/>
        </w:rPr>
        <w:t>”), AND MAY NOT BE OFFERED, SOLD, PLEDGED OR OTHERWISE TRANSFERRED EXCEPT IN ACCORDANCE WITH THE FOLLOWING SENTENCE. BY ITS ACQUISITION HEREOF OR OF A BENEFICIAL INTEREST HEREIN, THE ACQUIRER:</w:t>
      </w:r>
    </w:p>
    <w:p>
      <w:pPr>
        <w:spacing w:after="0" w:line="155" w:lineRule="exact"/>
        <w:rPr>
          <w:sz w:val="20"/>
          <w:szCs w:val="20"/>
          <w:color w:val="auto"/>
        </w:rPr>
      </w:pPr>
    </w:p>
    <w:p>
      <w:pPr>
        <w:jc w:val="both"/>
        <w:ind w:left="4" w:hanging="4"/>
        <w:spacing w:after="0" w:line="257" w:lineRule="auto"/>
        <w:tabs>
          <w:tab w:leader="none" w:pos="238"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THAT IT IS AN “ACCREDITED INVESTOR” (WITHIN THE MEANING OF RULE 501 UNDER THE SECURITIES ACT) AND (2) AGREES FOR THE BENEFIT OF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THAT IT WILL NOT OFFER, SELL, PLEDGE OR OTHERWISE TRANSFER THIS SECURITY OR ANY BENEFICIAL INTEREST 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 TO THE COMPANY OR ANY SUBSIDIARY THEREOF, OR</w:t>
      </w:r>
    </w:p>
    <w:p>
      <w:pPr>
        <w:spacing w:after="0" w:line="3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66" w:name="page167"/>
    <w:bookmarkEnd w:id="166"/>
    <w:p>
      <w:pPr>
        <w:ind w:left="4" w:right="20" w:hanging="4"/>
        <w:spacing w:after="0" w:line="280" w:lineRule="auto"/>
        <w:tabs>
          <w:tab w:leader="none" w:pos="271"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A REGISTRATION STATEMENT THAT HAS BECOME EFFECTIVE UNDER THE SECURITIES ACT AND IS EFFECTIVE AT THE TIME OF SUCH TRANSFER, OR</w:t>
      </w:r>
    </w:p>
    <w:p>
      <w:pPr>
        <w:spacing w:after="0" w:line="144" w:lineRule="exact"/>
        <w:rPr>
          <w:rFonts w:ascii="Times New Roman" w:cs="Times New Roman" w:eastAsia="Times New Roman" w:hAnsi="Times New Roman"/>
          <w:sz w:val="16"/>
          <w:szCs w:val="16"/>
          <w:color w:val="auto"/>
        </w:rPr>
      </w:pPr>
    </w:p>
    <w:p>
      <w:pPr>
        <w:ind w:left="4" w:right="20" w:hanging="4"/>
        <w:spacing w:after="0" w:line="280" w:lineRule="auto"/>
        <w:tabs>
          <w:tab w:leader="none" w:pos="301"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AN EXEMPTION FROM REGISTRATION PROVIDED BY RULE 144 UNDER THE SECURITIES ACT OR ANY OTHER AVAILABLE EXEMPTION FROM THE REGISTRATION REQUIREMENTS OF THE SECURITIES ACT.</w:t>
      </w:r>
    </w:p>
    <w:p>
      <w:pPr>
        <w:spacing w:after="0" w:line="144" w:lineRule="exact"/>
        <w:rPr>
          <w:sz w:val="20"/>
          <w:szCs w:val="20"/>
          <w:color w:val="auto"/>
        </w:rPr>
      </w:pPr>
    </w:p>
    <w:p>
      <w:pPr>
        <w:jc w:val="both"/>
        <w:ind w:left="4"/>
        <w:spacing w:after="0" w:line="257" w:lineRule="auto"/>
        <w:rPr>
          <w:sz w:val="20"/>
          <w:szCs w:val="20"/>
          <w:color w:val="auto"/>
        </w:rPr>
      </w:pPr>
      <w:r>
        <w:rPr>
          <w:rFonts w:ascii="Times New Roman" w:cs="Times New Roman" w:eastAsia="Times New Roman" w:hAnsi="Times New Roman"/>
          <w:sz w:val="16"/>
          <w:szCs w:val="16"/>
          <w:color w:val="auto"/>
        </w:rPr>
        <w:t>PRIOR TO THE REGISTRATION OF ANY TRANSFER IN ACCORDANCE WITH CLAUSE (2)(C) ABOVE, THE COMPANY AND THE TRANSFER AGENT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62" w:lineRule="exact"/>
        <w:rPr>
          <w:sz w:val="20"/>
          <w:szCs w:val="20"/>
          <w:color w:val="auto"/>
        </w:rPr>
      </w:pPr>
    </w:p>
    <w:p>
      <w:pPr>
        <w:jc w:val="both"/>
        <w:ind w:left="4" w:right="20"/>
        <w:spacing w:after="0" w:line="265" w:lineRule="auto"/>
        <w:rPr>
          <w:sz w:val="20"/>
          <w:szCs w:val="20"/>
          <w:color w:val="auto"/>
        </w:rPr>
      </w:pPr>
      <w:r>
        <w:rPr>
          <w:rFonts w:ascii="Times New Roman" w:cs="Times New Roman" w:eastAsia="Times New Roman" w:hAnsi="Times New Roman"/>
          <w:sz w:val="16"/>
          <w:szCs w:val="16"/>
          <w:color w:val="auto"/>
        </w:rPr>
        <w:t>THE SECURITIES REPRESENTED HEREBY ARE ALSO SUBJECT TO A LOCK-UP PERIOD AS SET FORTH IN THE SUBSCRIPTION AGREEMENT, DATED AS OF JULY 25, 2022, THE TERMS OF WHICH MAY BE OBTAINED UPON WRITTEN REQUEST OF THE SECRETARY OF THE COMPANY. SUCH LOCK-UP PERIOD IS BINDING ON TRANSFEREES OF THESE SECURITIES.</w:t>
      </w:r>
    </w:p>
    <w:p>
      <w:pPr>
        <w:spacing w:after="0" w:line="155" w:lineRule="exact"/>
        <w:rPr>
          <w:sz w:val="20"/>
          <w:szCs w:val="20"/>
          <w:color w:val="auto"/>
        </w:rPr>
      </w:pPr>
    </w:p>
    <w:p>
      <w:pPr>
        <w:jc w:val="both"/>
        <w:ind w:left="4" w:right="20" w:firstLine="765"/>
        <w:spacing w:after="0" w:line="255" w:lineRule="auto"/>
        <w:rPr>
          <w:sz w:val="20"/>
          <w:szCs w:val="20"/>
          <w:color w:val="auto"/>
        </w:rPr>
      </w:pPr>
      <w:r>
        <w:rPr>
          <w:rFonts w:ascii="Times New Roman" w:cs="Times New Roman" w:eastAsia="Times New Roman" w:hAnsi="Times New Roman"/>
          <w:sz w:val="16"/>
          <w:szCs w:val="16"/>
          <w:color w:val="auto"/>
        </w:rPr>
        <w:t>g. Subscriber understands and agrees that Subscriber is purchasing the Subscribed Shares directly from the Company. Subscriber further acknowledges that there have not been, and Subscriber hereby agrees that it is not relying on, any representations, warranties, covenants or agreements made to Subscriber by the Company, any other party to the Transaction or any other person or entity, expressly or by implication, other than those representations, warranties, covenants and agreements of the Company set forth in this Subscription Agreement. Subscriber acknowledges that certain information provided by the Company was based on projections, and such projections were prepared based on assumptions and estimates that are inherently uncertain and are subject to a wide variety of significant business, economic and competitive risks and uncertainties that could cause actual results to differ materially from those contained in the projections.</w:t>
      </w:r>
    </w:p>
    <w:p>
      <w:pPr>
        <w:spacing w:after="0" w:line="165" w:lineRule="exact"/>
        <w:rPr>
          <w:sz w:val="20"/>
          <w:szCs w:val="20"/>
          <w:color w:val="auto"/>
        </w:rPr>
      </w:pPr>
    </w:p>
    <w:p>
      <w:pPr>
        <w:jc w:val="both"/>
        <w:ind w:left="4" w:firstLine="765"/>
        <w:spacing w:after="0" w:line="259" w:lineRule="auto"/>
        <w:rPr>
          <w:sz w:val="20"/>
          <w:szCs w:val="20"/>
          <w:color w:val="auto"/>
        </w:rPr>
      </w:pPr>
      <w:r>
        <w:rPr>
          <w:rFonts w:ascii="Times New Roman" w:cs="Times New Roman" w:eastAsia="Times New Roman" w:hAnsi="Times New Roman"/>
          <w:sz w:val="16"/>
          <w:szCs w:val="16"/>
          <w:color w:val="auto"/>
        </w:rPr>
        <w:t>h. Subscriber agrees that none of the William Blair, Truist or Chardan, nor any of their respective affiliates or any of their or their respective affiliates’ control persons, officers, directors or employees, shall be liable to Subscriber pursuant to this Subscription Agreement. On behalf of itself and its affiliates, Subscriber releases each of William Blair, Truist or Chardan in respect of any losses, claims, damages, obligations, penalties, judgments, awards, liabilities, costs, expenses or disbursements related to this Subscription Agreement or the transactions contemplated hereby.</w:t>
      </w:r>
    </w:p>
    <w:p>
      <w:pPr>
        <w:spacing w:after="0" w:line="162" w:lineRule="exact"/>
        <w:rPr>
          <w:sz w:val="20"/>
          <w:szCs w:val="20"/>
          <w:color w:val="auto"/>
        </w:rPr>
      </w:pPr>
    </w:p>
    <w:p>
      <w:pPr>
        <w:jc w:val="both"/>
        <w:ind w:left="4" w:firstLine="760"/>
        <w:spacing w:after="0" w:line="251" w:lineRule="auto"/>
        <w:tabs>
          <w:tab w:leader="none" w:pos="990"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making its decision to purchase the Subscribed Shares, Subscriber has relied solely upon independent investigation made by Subscriber and upon the representations, warranties and covenants set forth herein. Subscriber acknowledges and agrees that Subscriber has received such information as Subscriber deems necessary in order to make an investment decision with respect to the Subscribed Shares, including with respect to the Company and the Transaction (including Presto and their respective subsidiaries (collectively, the “</w:t>
      </w:r>
      <w:r>
        <w:rPr>
          <w:rFonts w:ascii="Times New Roman" w:cs="Times New Roman" w:eastAsia="Times New Roman" w:hAnsi="Times New Roman"/>
          <w:sz w:val="16"/>
          <w:szCs w:val="16"/>
          <w:u w:val="single" w:color="auto"/>
          <w:color w:val="auto"/>
        </w:rPr>
        <w:t>Acquired Companies</w:t>
      </w:r>
      <w:r>
        <w:rPr>
          <w:rFonts w:ascii="Times New Roman" w:cs="Times New Roman" w:eastAsia="Times New Roman" w:hAnsi="Times New Roman"/>
          <w:sz w:val="16"/>
          <w:szCs w:val="16"/>
          <w:color w:val="auto"/>
        </w:rPr>
        <w:t>”)). Subscriber represents and agrees that Subscriber and Subscriber’s professional advisor(s), if any, have had the full opportunity to ask such questions, receive such answers and obtain such information as Subscriber and such undersigned’s professional advisor(s), if any, have deemed necessary to make an investment decision with respect to the Subscribed Shares. Subscriber acknowledges and agrees that none of William Blair, Truist or Chardan, nor any respective affiliates of William Blair, Truist or Chardan have provided Subscriber with any information or advice with respect to the Subscribed Shares nor is such information or advice necessary or desired. None of William Blair, Truist or Chardan nor any of their respective affiliates have made or make any representation as to the Company or the Acquired Companies or the quality or value of the Subscribed Shares. Each of William Blair, Truist or Chardan has acting solely as a placement agent to the Company with respect to the Other Subscription Agreements and is not acting as an underwriter or in any other capacity or as a fiduciary for the Company or any other person or entity in connection with the Transaction and none of William Blair, Truist or Chardan or any of their respective affiliates has prepared any disclosure or offering document in connection with the offer and sale of the Subscribed Shares. Subscriber acknowledges that William Blair, Truist or Chardan and their respective directors, officers, employees, representatives and controlling persons have made no independent investigation with respect to the Company or the Subscribed Shares or the accuracy, completeness or adequacy of any information supplied to Subscriber by the Company.</w:t>
      </w:r>
    </w:p>
    <w:p>
      <w:pPr>
        <w:spacing w:after="0" w:line="36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67" w:name="page168"/>
    <w:bookmarkEnd w:id="167"/>
    <w:p>
      <w:pPr>
        <w:jc w:val="both"/>
        <w:ind w:firstLine="765"/>
        <w:spacing w:after="0" w:line="265" w:lineRule="auto"/>
        <w:rPr>
          <w:sz w:val="20"/>
          <w:szCs w:val="20"/>
          <w:color w:val="auto"/>
        </w:rPr>
      </w:pPr>
      <w:r>
        <w:rPr>
          <w:rFonts w:ascii="Times New Roman" w:cs="Times New Roman" w:eastAsia="Times New Roman" w:hAnsi="Times New Roman"/>
          <w:sz w:val="16"/>
          <w:szCs w:val="16"/>
          <w:color w:val="auto"/>
        </w:rPr>
        <w:t>j. Subscriber agrees and acknowledges that (i) as of the date hereof, Subscriber has had no contact, whether oral or in writing, with any of William Blair, Truist or Chardan with respect to the Transaction, including this Subscription Agreement and (ii) the Company represents and warrants that the Subscribed Shares are not being offered in a manner involving a public offering under, or in a distribution in violation of, the Securities Act, or any state securities laws.</w:t>
      </w:r>
    </w:p>
    <w:p>
      <w:pPr>
        <w:spacing w:after="0" w:line="155" w:lineRule="exact"/>
        <w:rPr>
          <w:sz w:val="20"/>
          <w:szCs w:val="20"/>
          <w:color w:val="auto"/>
        </w:rPr>
      </w:pPr>
    </w:p>
    <w:p>
      <w:pPr>
        <w:jc w:val="both"/>
        <w:ind w:right="20" w:firstLine="765"/>
        <w:spacing w:after="0" w:line="265" w:lineRule="auto"/>
        <w:rPr>
          <w:sz w:val="20"/>
          <w:szCs w:val="20"/>
          <w:color w:val="auto"/>
        </w:rPr>
      </w:pPr>
      <w:r>
        <w:rPr>
          <w:rFonts w:ascii="Times New Roman" w:cs="Times New Roman" w:eastAsia="Times New Roman" w:hAnsi="Times New Roman"/>
          <w:sz w:val="16"/>
          <w:szCs w:val="16"/>
          <w:color w:val="auto"/>
        </w:rPr>
        <w:t>k. Subscriber acknowledges that it is aware that there are substantial risks incident to the purchase and ownership of the Subscribed Shares. Subscriber has such knowledge and experience in financial and business matters as to be capable of evaluating the merits and risks of an investment in the Subscribed Shares, and Subscriber has had an opportunity to seek, and has sought, such accounting, legal, business and tax advice as Subscriber has considered necessary to make an informed investment decision.</w:t>
      </w:r>
    </w:p>
    <w:p>
      <w:pPr>
        <w:spacing w:after="0" w:line="155" w:lineRule="exact"/>
        <w:rPr>
          <w:sz w:val="20"/>
          <w:szCs w:val="20"/>
          <w:color w:val="auto"/>
        </w:rPr>
      </w:pPr>
    </w:p>
    <w:p>
      <w:pPr>
        <w:jc w:val="both"/>
        <w:ind w:right="20" w:firstLine="765"/>
        <w:spacing w:after="0" w:line="265" w:lineRule="auto"/>
        <w:rPr>
          <w:sz w:val="20"/>
          <w:szCs w:val="20"/>
          <w:color w:val="auto"/>
        </w:rPr>
      </w:pPr>
      <w:r>
        <w:rPr>
          <w:rFonts w:ascii="Times New Roman" w:cs="Times New Roman" w:eastAsia="Times New Roman" w:hAnsi="Times New Roman"/>
          <w:sz w:val="16"/>
          <w:szCs w:val="16"/>
          <w:color w:val="auto"/>
        </w:rPr>
        <w:t>l. Subscriber has adequately analyzed and fully considered the risks of an investment in the Subscribed Shares and determined that the Subscribed Shares are a suitable investment for Subscriber and that Subscriber is able at this time and in the foreseeable future to bear the economic risk of a total loss of Subscriber’s investment in the Company. Subscriber acknowledges specifically that a possibility of total loss exists.</w:t>
      </w:r>
    </w:p>
    <w:p>
      <w:pPr>
        <w:spacing w:after="0" w:line="155" w:lineRule="exact"/>
        <w:rPr>
          <w:sz w:val="20"/>
          <w:szCs w:val="20"/>
          <w:color w:val="auto"/>
        </w:rPr>
      </w:pPr>
    </w:p>
    <w:p>
      <w:pPr>
        <w:jc w:val="both"/>
        <w:ind w:right="20" w:firstLine="765"/>
        <w:spacing w:after="0" w:line="280" w:lineRule="auto"/>
        <w:rPr>
          <w:sz w:val="20"/>
          <w:szCs w:val="20"/>
          <w:color w:val="auto"/>
        </w:rPr>
      </w:pPr>
      <w:r>
        <w:rPr>
          <w:rFonts w:ascii="Times New Roman" w:cs="Times New Roman" w:eastAsia="Times New Roman" w:hAnsi="Times New Roman"/>
          <w:sz w:val="16"/>
          <w:szCs w:val="16"/>
          <w:color w:val="auto"/>
        </w:rPr>
        <w:t>m. Subscriber understands and agrees that no federal or state agency has passed upon or endorsed the merits of the offering of the Subscribed Shares or made any findings or determination as to the fairness of this investment.</w:t>
      </w:r>
    </w:p>
    <w:p>
      <w:pPr>
        <w:spacing w:after="0" w:line="144" w:lineRule="exact"/>
        <w:rPr>
          <w:sz w:val="20"/>
          <w:szCs w:val="20"/>
          <w:color w:val="auto"/>
        </w:rPr>
      </w:pPr>
    </w:p>
    <w:p>
      <w:pPr>
        <w:jc w:val="both"/>
        <w:ind w:firstLine="765"/>
        <w:spacing w:after="0" w:line="252" w:lineRule="auto"/>
        <w:rPr>
          <w:sz w:val="20"/>
          <w:szCs w:val="20"/>
          <w:color w:val="auto"/>
        </w:rPr>
      </w:pPr>
      <w:r>
        <w:rPr>
          <w:rFonts w:ascii="Times New Roman" w:cs="Times New Roman" w:eastAsia="Times New Roman" w:hAnsi="Times New Roman"/>
          <w:sz w:val="16"/>
          <w:szCs w:val="16"/>
          <w:color w:val="auto"/>
        </w:rPr>
        <w:t>n. Subscriber is not (i) a person or entity named on the List of Specially Designated Nationals and Blocked Persons administered by the U.S. Treasury Department’s Office of Foreign Assets Control (“</w:t>
      </w:r>
      <w:r>
        <w:rPr>
          <w:rFonts w:ascii="Times New Roman" w:cs="Times New Roman" w:eastAsia="Times New Roman" w:hAnsi="Times New Roman"/>
          <w:sz w:val="16"/>
          <w:szCs w:val="16"/>
          <w:u w:val="single" w:color="auto"/>
          <w:color w:val="auto"/>
        </w:rPr>
        <w:t>OFAC</w:t>
      </w:r>
      <w:r>
        <w:rPr>
          <w:rFonts w:ascii="Times New Roman" w:cs="Times New Roman" w:eastAsia="Times New Roman" w:hAnsi="Times New Roman"/>
          <w:sz w:val="16"/>
          <w:szCs w:val="16"/>
          <w:color w:val="auto"/>
        </w:rPr>
        <w:t>”) or in any Executive Order issued by the President of the United States and administered by OFAC (“</w:t>
      </w:r>
      <w:r>
        <w:rPr>
          <w:rFonts w:ascii="Times New Roman" w:cs="Times New Roman" w:eastAsia="Times New Roman" w:hAnsi="Times New Roman"/>
          <w:sz w:val="16"/>
          <w:szCs w:val="16"/>
          <w:u w:val="single" w:color="auto"/>
          <w:color w:val="auto"/>
        </w:rPr>
        <w:t>OFAC List</w:t>
      </w:r>
      <w:r>
        <w:rPr>
          <w:rFonts w:ascii="Times New Roman" w:cs="Times New Roman" w:eastAsia="Times New Roman" w:hAnsi="Times New Roman"/>
          <w:sz w:val="16"/>
          <w:szCs w:val="16"/>
          <w:color w:val="auto"/>
        </w:rPr>
        <w:t>”), or a person or entity prohibited by any OFAC sanctions program; (ii) a Designated National as defined in the Cuban Assets Control Regulations, 31 C.F.R. Part 515; or (iii) a non-U.S. shell bank or providing banking services indirectly to a non-U.S. shell bank (collectively, a “</w:t>
      </w:r>
      <w:r>
        <w:rPr>
          <w:rFonts w:ascii="Times New Roman" w:cs="Times New Roman" w:eastAsia="Times New Roman" w:hAnsi="Times New Roman"/>
          <w:sz w:val="16"/>
          <w:szCs w:val="16"/>
          <w:u w:val="single" w:color="auto"/>
          <w:color w:val="auto"/>
        </w:rPr>
        <w:t>Prohibited Investor</w:t>
      </w:r>
      <w:r>
        <w:rPr>
          <w:rFonts w:ascii="Times New Roman" w:cs="Times New Roman" w:eastAsia="Times New Roman" w:hAnsi="Times New Roman"/>
          <w:sz w:val="16"/>
          <w:szCs w:val="16"/>
          <w:color w:val="auto"/>
        </w:rPr>
        <w:t>”). Subscriber agrees to provide law enforcement agencies, if requested thereby, such records as required by applicable law, provided that Subscriber is permitted to do so under applicable law. Subscriber represents that if it is a financial institution subject to the Bank Secrecy Act (31 U.S.C. Section 5311 et seq.), as amended by the USA PATRIOT Act of 2001 and its implementing regulations (collectively, the “</w:t>
      </w:r>
      <w:r>
        <w:rPr>
          <w:rFonts w:ascii="Times New Roman" w:cs="Times New Roman" w:eastAsia="Times New Roman" w:hAnsi="Times New Roman"/>
          <w:sz w:val="16"/>
          <w:szCs w:val="16"/>
          <w:u w:val="single" w:color="auto"/>
          <w:color w:val="auto"/>
        </w:rPr>
        <w:t>BSA/PATRIOT Act</w:t>
      </w:r>
      <w:r>
        <w:rPr>
          <w:rFonts w:ascii="Times New Roman" w:cs="Times New Roman" w:eastAsia="Times New Roman" w:hAnsi="Times New Roman"/>
          <w:sz w:val="16"/>
          <w:szCs w:val="16"/>
          <w:color w:val="auto"/>
        </w:rPr>
        <w:t>”), that Subscriber maintains policies and procedures reasonably designed to comply with applicable obligations under the BSA/PATRIOT Act. Subscriber also represents that, to the extent required, it maintains policies and procedures reasonably designed for the screening of its investors against the OFAC sanctions programs, including the OFAC List. Subscriber further represents and warrants that, to the extent required, it maintains policies and procedures reasonably designed to ensure that the funds held by Subscriber and used to purchase the Subscribed Shares were legally derived.</w:t>
      </w:r>
    </w:p>
    <w:p>
      <w:pPr>
        <w:spacing w:after="0" w:line="171" w:lineRule="exact"/>
        <w:rPr>
          <w:sz w:val="20"/>
          <w:szCs w:val="20"/>
          <w:color w:val="auto"/>
        </w:rPr>
      </w:pPr>
    </w:p>
    <w:p>
      <w:pPr>
        <w:jc w:val="both"/>
        <w:ind w:firstLine="765"/>
        <w:spacing w:after="0" w:line="255" w:lineRule="auto"/>
        <w:rPr>
          <w:sz w:val="20"/>
          <w:szCs w:val="20"/>
          <w:color w:val="auto"/>
        </w:rPr>
      </w:pPr>
      <w:r>
        <w:rPr>
          <w:rFonts w:ascii="Times New Roman" w:cs="Times New Roman" w:eastAsia="Times New Roman" w:hAnsi="Times New Roman"/>
          <w:sz w:val="16"/>
          <w:szCs w:val="16"/>
          <w:color w:val="auto"/>
        </w:rPr>
        <w:t>o. As of the date hereof, and during the 30-day period immediately prior to the date hereof Subscriber has not entered into, any “put equivalent position” as such term is defined in Rule 16a-1 under the Exchange Act or short sale positions with respect to the securities of the Company. Notwithstanding the foregoing, in the case of a Subscriber that is a multi-managed investment vehicle whereby separate portfolio managers manage separate portions of such Subscriber’s assets and the portfolio managers have no direct knowledge of the investment decisions made by the portfolio managers managing other portions of such Subscriber’s assets, the representation set forth above shall only apply with respect to the portion of assets managed by the portfolio manager that made the investment decision to purchase the Subscribed Shares covered by this Agreement.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68" w:name="page169"/>
    <w:bookmarkEnd w:id="168"/>
    <w:p>
      <w:pPr>
        <w:jc w:val="both"/>
        <w:ind w:firstLine="765"/>
        <w:spacing w:after="0" w:line="253" w:lineRule="auto"/>
        <w:rPr>
          <w:sz w:val="20"/>
          <w:szCs w:val="20"/>
          <w:color w:val="auto"/>
        </w:rPr>
      </w:pPr>
      <w:r>
        <w:rPr>
          <w:rFonts w:ascii="Times New Roman" w:cs="Times New Roman" w:eastAsia="Times New Roman" w:hAnsi="Times New Roman"/>
          <w:sz w:val="16"/>
          <w:szCs w:val="16"/>
          <w:color w:val="auto"/>
        </w:rPr>
        <w:t>p. If Subscriber is an employee benefit plan that is subject to Title I of ERISA, a plan, an individual retirement account or other arrangement that is subject to section 4975 of the Code or an employee benefit plan that is a governmental plan (as defined in section 3(32) of ERISA), a church plan (as defined in section 3(33) of ERISA), a non-U.S. plan (as described in section 4(b)(4) of ERISA) or other plan that is not subject to the foregoing but may be subject to provisions under any other federal, state, local, non-U.S. or other laws or regulations that are similar to such provisions of ERISA or the Internal Revenue Code of 1986, as amended, or an entity whose underlying assets are considered to include “plan assets” of any such plan, account or arrangement (each, a “</w:t>
      </w:r>
      <w:r>
        <w:rPr>
          <w:rFonts w:ascii="Times New Roman" w:cs="Times New Roman" w:eastAsia="Times New Roman" w:hAnsi="Times New Roman"/>
          <w:sz w:val="16"/>
          <w:szCs w:val="16"/>
          <w:u w:val="single" w:color="auto"/>
          <w:color w:val="auto"/>
        </w:rPr>
        <w:t>Plan</w:t>
      </w:r>
      <w:r>
        <w:rPr>
          <w:rFonts w:ascii="Times New Roman" w:cs="Times New Roman" w:eastAsia="Times New Roman" w:hAnsi="Times New Roman"/>
          <w:sz w:val="16"/>
          <w:szCs w:val="16"/>
          <w:color w:val="auto"/>
        </w:rPr>
        <w:t>”) subject to the fiduciary or prohibited transaction provisions of ERISA or section 4975 of the Code, Subscriber represents and warrants that neither the Company, nor any of its respective affiliates (the “</w:t>
      </w:r>
      <w:r>
        <w:rPr>
          <w:rFonts w:ascii="Times New Roman" w:cs="Times New Roman" w:eastAsia="Times New Roman" w:hAnsi="Times New Roman"/>
          <w:sz w:val="16"/>
          <w:szCs w:val="16"/>
          <w:u w:val="single" w:color="auto"/>
          <w:color w:val="auto"/>
        </w:rPr>
        <w:t>Transaction Parties</w:t>
      </w:r>
      <w:r>
        <w:rPr>
          <w:rFonts w:ascii="Times New Roman" w:cs="Times New Roman" w:eastAsia="Times New Roman" w:hAnsi="Times New Roman"/>
          <w:sz w:val="16"/>
          <w:szCs w:val="16"/>
          <w:color w:val="auto"/>
        </w:rPr>
        <w:t>”) has acted as the Plan’s fiduciary, or has been relied on for advice, with respect to its decision to acquire and hold the Subscribed Shares, and none of the Transaction Parties shall at any time be relied upon as the Plan’s fiduciary with respect to any decision to acquire, continue to hold or transfer the Subscribed Shares and none of the acquisition, holding and/or transfer or disposition of the Subscribed Shares will result in a non-exempt prohibited Transactions under ERISA or Section 4975 of the Code or any similar law or regulation.</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 xml:space="preserve">q. Subscriber at the Closing will have sufficient funds to pay the Purchase Price pursuant to </w:t>
      </w:r>
      <w:r>
        <w:rPr>
          <w:rFonts w:ascii="Times New Roman" w:cs="Times New Roman" w:eastAsia="Times New Roman" w:hAnsi="Times New Roman"/>
          <w:sz w:val="16"/>
          <w:szCs w:val="16"/>
          <w:u w:val="single" w:color="auto"/>
          <w:color w:val="auto"/>
        </w:rPr>
        <w:t>Section 2(a)</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765"/>
        <w:spacing w:after="0" w:line="257" w:lineRule="auto"/>
        <w:rPr>
          <w:sz w:val="20"/>
          <w:szCs w:val="20"/>
          <w:color w:val="auto"/>
        </w:rPr>
      </w:pPr>
      <w:r>
        <w:rPr>
          <w:rFonts w:ascii="Times New Roman" w:cs="Times New Roman" w:eastAsia="Times New Roman" w:hAnsi="Times New Roman"/>
          <w:sz w:val="16"/>
          <w:szCs w:val="16"/>
          <w:color w:val="auto"/>
        </w:rPr>
        <w:t xml:space="preserve">r. Subscriber acknowledges and understands that the Subscribed Shares are, and following the Closing will be, subject to Transfer Restrictions. For purposes of this </w:t>
      </w:r>
      <w:r>
        <w:rPr>
          <w:rFonts w:ascii="Times New Roman" w:cs="Times New Roman" w:eastAsia="Times New Roman" w:hAnsi="Times New Roman"/>
          <w:sz w:val="16"/>
          <w:szCs w:val="16"/>
          <w:u w:val="single" w:color="auto"/>
          <w:color w:val="auto"/>
        </w:rPr>
        <w:t>Section 4(r)</w:t>
      </w:r>
      <w:r>
        <w:rPr>
          <w:rFonts w:ascii="Times New Roman" w:cs="Times New Roman" w:eastAsia="Times New Roman" w:hAnsi="Times New Roman"/>
          <w:sz w:val="16"/>
          <w:szCs w:val="16"/>
          <w:color w:val="auto"/>
        </w:rPr>
        <w:t>, the term “</w:t>
      </w:r>
      <w:r>
        <w:rPr>
          <w:rFonts w:ascii="Times New Roman" w:cs="Times New Roman" w:eastAsia="Times New Roman" w:hAnsi="Times New Roman"/>
          <w:sz w:val="16"/>
          <w:szCs w:val="16"/>
          <w:u w:val="single" w:color="auto"/>
          <w:color w:val="auto"/>
        </w:rPr>
        <w:t>Transfer Restrictions</w:t>
      </w:r>
      <w:r>
        <w:rPr>
          <w:rFonts w:ascii="Times New Roman" w:cs="Times New Roman" w:eastAsia="Times New Roman" w:hAnsi="Times New Roman"/>
          <w:sz w:val="16"/>
          <w:szCs w:val="16"/>
          <w:color w:val="auto"/>
        </w:rPr>
        <w:t xml:space="preserve">” means a condition to or restriction on the ability of the undersigned to pledge, sell, assign or otherwise transfer the Subscribed Shares under any organizational document, policy or agreement of, by or with the Company, including the restrictions on transfer described in </w:t>
      </w:r>
      <w:r>
        <w:rPr>
          <w:rFonts w:ascii="Times New Roman" w:cs="Times New Roman" w:eastAsia="Times New Roman" w:hAnsi="Times New Roman"/>
          <w:sz w:val="16"/>
          <w:szCs w:val="16"/>
          <w:u w:val="single" w:color="auto"/>
          <w:color w:val="auto"/>
        </w:rPr>
        <w:t>Section 4(e)</w:t>
      </w:r>
      <w:r>
        <w:rPr>
          <w:rFonts w:ascii="Times New Roman" w:cs="Times New Roman" w:eastAsia="Times New Roman" w:hAnsi="Times New Roman"/>
          <w:sz w:val="16"/>
          <w:szCs w:val="16"/>
          <w:color w:val="auto"/>
        </w:rPr>
        <w:t xml:space="preserve"> of this Subscription Agreement with respect to the status of the Subscribed Shares as “restricted securities” pending their registration for resale under the Securities Act, and described in </w:t>
      </w:r>
      <w:r>
        <w:rPr>
          <w:rFonts w:ascii="Times New Roman" w:cs="Times New Roman" w:eastAsia="Times New Roman" w:hAnsi="Times New Roman"/>
          <w:sz w:val="16"/>
          <w:szCs w:val="16"/>
          <w:u w:val="single" w:color="auto"/>
          <w:color w:val="auto"/>
        </w:rPr>
        <w:t>Section 5</w:t>
      </w:r>
      <w:r>
        <w:rPr>
          <w:rFonts w:ascii="Times New Roman" w:cs="Times New Roman" w:eastAsia="Times New Roman" w:hAnsi="Times New Roman"/>
          <w:sz w:val="16"/>
          <w:szCs w:val="16"/>
          <w:color w:val="auto"/>
        </w:rPr>
        <w:t xml:space="preserve"> of this Subscription Agreement with respect to an eighteen (18) month lock-up, in accordance with the terms of this Subscription Agreement.</w:t>
      </w:r>
    </w:p>
    <w:p>
      <w:pPr>
        <w:spacing w:after="0" w:line="162" w:lineRule="exact"/>
        <w:rPr>
          <w:sz w:val="20"/>
          <w:szCs w:val="20"/>
          <w:color w:val="auto"/>
        </w:rPr>
      </w:pPr>
    </w:p>
    <w:p>
      <w:pPr>
        <w:jc w:val="both"/>
        <w:ind w:right="20" w:firstLine="378"/>
        <w:spacing w:after="0" w:line="252" w:lineRule="auto"/>
        <w:tabs>
          <w:tab w:leader="none" w:pos="542"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Restriction on Transfer of Subscribed Shares</w:t>
      </w:r>
      <w:r>
        <w:rPr>
          <w:rFonts w:ascii="Times New Roman" w:cs="Times New Roman" w:eastAsia="Times New Roman" w:hAnsi="Times New Roman"/>
          <w:sz w:val="16"/>
          <w:szCs w:val="16"/>
          <w:color w:val="auto"/>
        </w:rPr>
        <w:t xml:space="preserve">. Until the date that is eighteen (18) months after the Closing Date, the Subscriber shall not be permitted to, voluntarily or involuntarily, sell, assign, transfer (including by operation of law), create any lien or pledge, dispose of or otherwise encumber any of the Subscribed Shares or otherwise agree to do any of the foregoing, (b) deposit any of such shares of Common Stock into a voting trust or enter into a voting agreement or arrangement or grant any proxy or power of attorney with respect thereto that is inconsistent with this Agreement (c) enter into any contract, option or other arrangement or undertaking requiring the direct acquisition or sale, assignment, transfer or other disposition of any such shares of Common Stock, or (d) make any public announcement of any intention to take any of the foregoing actions, in each case, without the prior written consent of the Company;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any transfer to an affiliate of the Subscriber that complies with the terms hereof shall not require such consent of the Company. Notwithstanding anything to the contrary contained herein, each transferee of such shares of Common Stock shall, on or prior to the date of this Agreement or (if later) the date that it first acquires any such shares of Common Stock, deliver to the Company a valid and duly completed IRS Form W-9 (and, for the avoidance of doubt, at all times during which a person is holder of such Common Stock, such person shall (i) have delivered to the Company such a valid and duly completed IRS Form W-9; and (ii) be eligible to deliver a valid and duly completed IRS Form W-9 to the Company).</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69" w:name="page170"/>
    <w:bookmarkEnd w:id="169"/>
    <w:p>
      <w:pPr>
        <w:ind w:left="544" w:hanging="162"/>
        <w:spacing w:after="0"/>
        <w:tabs>
          <w:tab w:leader="none" w:pos="544" w:val="left"/>
        </w:tabs>
        <w:numPr>
          <w:ilvl w:val="1"/>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Registration of Subscribed Shares</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jc w:val="both"/>
        <w:ind w:left="4" w:firstLine="765"/>
        <w:spacing w:after="0" w:line="26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a. The Company agrees that, within thirty (30) days after the Closing Date, the Company will file with the SEC (at the Company’s sole cost and expense) a registration statement registering the resale of the Subscribed Shares (the “</w:t>
      </w:r>
      <w:r>
        <w:rPr>
          <w:rFonts w:ascii="Times New Roman" w:cs="Times New Roman" w:eastAsia="Times New Roman" w:hAnsi="Times New Roman"/>
          <w:sz w:val="15"/>
          <w:szCs w:val="15"/>
          <w:u w:val="single" w:color="auto"/>
          <w:color w:val="auto"/>
        </w:rPr>
        <w:t>Registration Statement</w:t>
      </w:r>
      <w:r>
        <w:rPr>
          <w:rFonts w:ascii="Times New Roman" w:cs="Times New Roman" w:eastAsia="Times New Roman" w:hAnsi="Times New Roman"/>
          <w:sz w:val="15"/>
          <w:szCs w:val="15"/>
          <w:color w:val="auto"/>
        </w:rPr>
        <w:t>”), and the Company shall use its commercially reasonable efforts to have the Registration Statement declared effective upon the Closing, but no later than sixty (60) calendar days following the Closing Date (the “</w:t>
      </w:r>
      <w:r>
        <w:rPr>
          <w:rFonts w:ascii="Times New Roman" w:cs="Times New Roman" w:eastAsia="Times New Roman" w:hAnsi="Times New Roman"/>
          <w:sz w:val="15"/>
          <w:szCs w:val="15"/>
          <w:u w:val="single" w:color="auto"/>
          <w:color w:val="auto"/>
        </w:rPr>
        <w:t>Effectiveness Deadline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Effectiveness Deadline shall be extended to ninety (90) calendar days after the Closing Date if the Registration Statement is reviewed by, and receives comments from, the SEC. The Company will provide a draft of the Registration Statement to the undersigned for review at least two (2) business days in advance of filing the Registration Statement. In no event shall the undersigned be identified as a statutory underwriter in the Registration Statement unless requested by the SEC. Notwithstanding the foregoing, if the SEC prevents the Company from including any or all of the shares proposed to be registered under the Registration Statement due to limitations on the use of Rule 415 of the Securities Act for the resale of the Subscribed Shares by the applicable stockholders or otherwise, such Registration Statement shall register for resale such number of Subscribed Shares which is equal to the maximum number of Subscribed Shares as is permitted by the SEC. In such event, the number of Subscribed Shares to be registered for each selling stockholder named in the Registration Statement shall be reduced </w:t>
      </w:r>
      <w:r>
        <w:rPr>
          <w:rFonts w:ascii="Times New Roman" w:cs="Times New Roman" w:eastAsia="Times New Roman" w:hAnsi="Times New Roman"/>
          <w:sz w:val="15"/>
          <w:szCs w:val="15"/>
          <w:i w:val="1"/>
          <w:iCs w:val="1"/>
          <w:color w:val="auto"/>
        </w:rPr>
        <w:t>pro rata</w:t>
      </w:r>
      <w:r>
        <w:rPr>
          <w:rFonts w:ascii="Times New Roman" w:cs="Times New Roman" w:eastAsia="Times New Roman" w:hAnsi="Times New Roman"/>
          <w:sz w:val="15"/>
          <w:szCs w:val="15"/>
          <w:color w:val="auto"/>
        </w:rPr>
        <w:t xml:space="preserve"> among all such selling stockholders. The Company agrees that the Company will cause such Registration Statement to remain effective until the earlier of (i) two years from the issuance of the Subscribed Shares, (ii) the date on which all of the Subscribed Shares shall have been sold, or (iii) on the first date on which the undersigned can sell all of its Subscribed Shares (or shares received in exchange therefor) under Rule 144 of the Securities Act without limitation as to the manner of sale or the amount of such securities that may be sold. For as long as the Registration Statement shall remain effective pursuant to the immediately preceding sentence, the Company will use its reasonable best efforts to file all reports, and will provide all customary and reasonable cooperation, necessary to enable the undersigned to resell the Subscribed Shares pursuant to the Registration Statement or Rule 144 of the Securities Act, as applicable, qualify the Subscribed Shares for listing on the applicable stock exchange, update or amend the Registration Statement as necessary to include the Subscribed Shares and provide customary notice to holders of Subscribed Shares. The undersigned agrees to disclose its beneficial ownership, as determined in accordance with Rule 13d-3 of the Securities Exchange Act of 1934 (as amended, the “</w:t>
      </w:r>
      <w:r>
        <w:rPr>
          <w:rFonts w:ascii="Times New Roman" w:cs="Times New Roman" w:eastAsia="Times New Roman" w:hAnsi="Times New Roman"/>
          <w:sz w:val="15"/>
          <w:szCs w:val="15"/>
          <w:u w:val="single" w:color="auto"/>
          <w:color w:val="auto"/>
        </w:rPr>
        <w:t>Exchange Act</w:t>
      </w:r>
      <w:r>
        <w:rPr>
          <w:rFonts w:ascii="Times New Roman" w:cs="Times New Roman" w:eastAsia="Times New Roman" w:hAnsi="Times New Roman"/>
          <w:sz w:val="15"/>
          <w:szCs w:val="15"/>
          <w:color w:val="auto"/>
        </w:rPr>
        <w:t>”), of Subscribed Shares to the Company (or its successor) upon request to assist the Company in making the determination described above. The Company’s obligations to include the Subscribed Shares in the Registration Statement are contingent upon the undersigned furnishing in writing to the Company such information regarding the undersigned, the securities of the Company held by the undersigned and the intended method of disposition of the Subscribed Shares as shall be reasonably requested by the Company to effect the registration of the Subscribed Shares, and shall execute such documents in connection with such registration as the Company may reasonably request that are customary of a selling stockholder in similar situations. Subscriber shall not be entitled to use the Registration Statement for an underwritten offering of Subscribed Shares. The Company may delay filing or suspend the use of any such registration statement if it determines that in order for the registration statement to not contain a material misstatement or omission, an amendment thereto would be needed, or if such filing or use could materially affect a bona fide business or financing transaction of the Company or would require premature disclosure of information that could materially adversely affect the Company (each such circumstance, a “</w:t>
      </w:r>
      <w:r>
        <w:rPr>
          <w:rFonts w:ascii="Times New Roman" w:cs="Times New Roman" w:eastAsia="Times New Roman" w:hAnsi="Times New Roman"/>
          <w:sz w:val="15"/>
          <w:szCs w:val="15"/>
          <w:u w:val="single" w:color="auto"/>
          <w:color w:val="auto"/>
        </w:rPr>
        <w:t>Suspension Event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 the Company shall not so delay filing or so suspend the use of the Registration Statement for a period of more than sixty (60) consecutive days or more than two (2) times in any three hundred sixty (360) day period and (ii) the Company shall use commercially reasonable efforts to make such registration statement available for the sale by the undersigned of such securities as soon as practicable thereafter. Upon receipt of any written notice from the Company (which notice shall not contain any material non-public information regarding the Company) of the happening of any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the undersigned agrees that (i) it will immediately discontinue offers and sales of the Subscribed Shares under the Registration Statement (excluding, for the avoidance of doubt, sales conducted pursuant to Rule 144) until the undersigned receives copies of a supplemental or amended prospectus (which the Company agrees to promptly prepare) that corrects the misstatement(s) or omission(s) referred to above and receives notice that any post-effective amendment has become effective or unless otherwise notified by the Company that it may resume such offers and sales, and (ii) it will maintain the confidentiality of any information included in such written notice delivered by the Company unless otherwise required by law or subpoena. If so directed by the Company, the undersigned will deliver to the Company or, in the undersigned’s sole discretion, destroy all copies of the prospectus covering the Subscribed Shares in the undersigned’s possession;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this obligation to deliver or destroy all copies of the prospectus covering the Subscribed Shares shall not apply (i) to the extent the undersigned is required to retain a copy of such prospectus (a) in order to comply with applicable legal, regulatory, self-regulatory or professional requirements or (b) in accordance with a bona fide pre-existing document retention policy or</w:t>
      </w:r>
    </w:p>
    <w:p>
      <w:pPr>
        <w:spacing w:after="0" w:line="373" w:lineRule="exact"/>
        <w:rPr>
          <w:rFonts w:ascii="Times New Roman" w:cs="Times New Roman" w:eastAsia="Times New Roman" w:hAnsi="Times New Roman"/>
          <w:sz w:val="16"/>
          <w:szCs w:val="16"/>
          <w:color w:val="auto"/>
        </w:rPr>
      </w:pPr>
    </w:p>
    <w:p>
      <w:pPr>
        <w:ind w:left="244" w:hanging="244"/>
        <w:spacing w:after="0"/>
        <w:tabs>
          <w:tab w:leader="none" w:pos="244"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copies stored electronically on archival servers as a result of automatic data back-up.</w:t>
      </w:r>
    </w:p>
    <w:p>
      <w:pPr>
        <w:spacing w:after="0" w:line="37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70" w:name="page171"/>
    <w:bookmarkEnd w:id="170"/>
    <w:p>
      <w:pPr>
        <w:jc w:val="both"/>
        <w:ind w:firstLine="765"/>
        <w:spacing w:after="0" w:line="251" w:lineRule="auto"/>
        <w:rPr>
          <w:sz w:val="20"/>
          <w:szCs w:val="20"/>
          <w:color w:val="auto"/>
        </w:rPr>
      </w:pPr>
      <w:r>
        <w:rPr>
          <w:rFonts w:ascii="Times New Roman" w:cs="Times New Roman" w:eastAsia="Times New Roman" w:hAnsi="Times New Roman"/>
          <w:sz w:val="16"/>
          <w:szCs w:val="16"/>
          <w:color w:val="auto"/>
        </w:rPr>
        <w:t>b. The Company shall, notwithstanding any termination of this Subscription Agreement, indemnify, defend and hold harmless the undersigned (to the extent a seller under the Registration Statement), the officers, directors, agents, partners, members, managers, stockholders, affiliates, employees and investment advisers of the undersigned, each person who controls the undersigned (within the meaning of Section 15 of the Securities Act or Section 20 of the Exchange Act) and the officers, directors, partners, members, managers, stockholders, agents, affiliates, employees and investment advisers of each such controlling person, to the fullest extent permitted by applicable law, from and against any and all losses, claims, damages, liabilities, costs (including, without limitation, reasonable attorneys’ fees) and expenses (collectively, “</w:t>
      </w:r>
      <w:r>
        <w:rPr>
          <w:rFonts w:ascii="Times New Roman" w:cs="Times New Roman" w:eastAsia="Times New Roman" w:hAnsi="Times New Roman"/>
          <w:sz w:val="16"/>
          <w:szCs w:val="16"/>
          <w:u w:val="single" w:color="auto"/>
          <w:color w:val="auto"/>
        </w:rPr>
        <w:t>Losses</w:t>
      </w:r>
      <w:r>
        <w:rPr>
          <w:rFonts w:ascii="Times New Roman" w:cs="Times New Roman" w:eastAsia="Times New Roman" w:hAnsi="Times New Roman"/>
          <w:sz w:val="16"/>
          <w:szCs w:val="16"/>
          <w:color w:val="auto"/>
        </w:rPr>
        <w:t xml:space="preserve">”) that arise out of or are based upon (i) any untrue or alleged untrue statement of a material fact contained (or incorporated by reference) in the Registration Statement, any prospectus included in the Registration Statement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or (ii) any violation or alleged violation by the Company of the Securities Act, the Exchange Act or any state securities law or any rule or regulation thereunder, in connection with the performance of its obligations under this </w:t>
      </w:r>
      <w:r>
        <w:rPr>
          <w:rFonts w:ascii="Times New Roman" w:cs="Times New Roman" w:eastAsia="Times New Roman" w:hAnsi="Times New Roman"/>
          <w:sz w:val="16"/>
          <w:szCs w:val="16"/>
          <w:u w:val="single" w:color="auto"/>
          <w:color w:val="auto"/>
        </w:rPr>
        <w:t>Section 5</w:t>
      </w:r>
      <w:r>
        <w:rPr>
          <w:rFonts w:ascii="Times New Roman" w:cs="Times New Roman" w:eastAsia="Times New Roman" w:hAnsi="Times New Roman"/>
          <w:sz w:val="16"/>
          <w:szCs w:val="16"/>
          <w:color w:val="auto"/>
        </w:rPr>
        <w:t xml:space="preserve">, except to the extent, but only to the extent, that such untrue statements, alleged untrue statements, omissions or alleged omissions are based upon information regarding the undersigned furnished in writing to the Company by the undersigned expressly for use therein. The Company shall notify the undersigned promptly of the institution, threat or assertion of any proceeding arising from or in connection with the transactions contemplated by this </w:t>
      </w:r>
      <w:r>
        <w:rPr>
          <w:rFonts w:ascii="Times New Roman" w:cs="Times New Roman" w:eastAsia="Times New Roman" w:hAnsi="Times New Roman"/>
          <w:sz w:val="16"/>
          <w:szCs w:val="16"/>
          <w:u w:val="single" w:color="auto"/>
          <w:color w:val="auto"/>
        </w:rPr>
        <w:t>Section 5</w:t>
      </w:r>
      <w:r>
        <w:rPr>
          <w:rFonts w:ascii="Times New Roman" w:cs="Times New Roman" w:eastAsia="Times New Roman" w:hAnsi="Times New Roman"/>
          <w:sz w:val="16"/>
          <w:szCs w:val="16"/>
          <w:color w:val="auto"/>
        </w:rPr>
        <w:t xml:space="preserve"> of which the Company is aware. Such indemnity shall remain in full force and effect regardless of any investigation made by or on behalf of an indemnified party and shall survive the transfer of the Subscribed Shares by the undersigned. Notwithstanding the forgoing, the Company’s indemnification obligations shall not apply to amounts paid in settlement of any Losses or action if such settlement is effected without the prior written consent of the Company (which consent shall not be unreasonably withheld or delayed), nor shall the Company be liable for any Losses to the extent they arise out of or are based upon a violation which occurs (A) in connection with any failure of such person to deliver or cause to be delivered a prospectus made available by the Company in a timely manner or (B) in connection with any offers or sales effected by or on behalf of the undersigned in violation of this Agreement.</w:t>
      </w:r>
    </w:p>
    <w:p>
      <w:pPr>
        <w:spacing w:after="0" w:line="169" w:lineRule="exact"/>
        <w:rPr>
          <w:sz w:val="20"/>
          <w:szCs w:val="20"/>
          <w:color w:val="auto"/>
        </w:rPr>
      </w:pPr>
    </w:p>
    <w:p>
      <w:pPr>
        <w:jc w:val="both"/>
        <w:ind w:firstLine="765"/>
        <w:spacing w:after="0" w:line="252" w:lineRule="auto"/>
        <w:rPr>
          <w:sz w:val="20"/>
          <w:szCs w:val="20"/>
          <w:color w:val="auto"/>
        </w:rPr>
      </w:pPr>
      <w:r>
        <w:rPr>
          <w:rFonts w:ascii="Times New Roman" w:cs="Times New Roman" w:eastAsia="Times New Roman" w:hAnsi="Times New Roman"/>
          <w:sz w:val="16"/>
          <w:szCs w:val="16"/>
          <w:color w:val="auto"/>
        </w:rPr>
        <w:t>c. The undersigned shall, severally and not jointly with any other subscriber in the offering,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arising out of or based upon any untrue or alleged untrue statement of a material fact contained in any Registration Statement, any prospectus included in the Registration Statement,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any form of prospectus or supplement thereto, in light of the circumstances under which they were made) not misleading to the extent, but only to the extent, that such untrue statements or omissions are based upon information regarding the undersigned furnished in writing to the Company by the undersigned expressly for use therein. In no event shall the liability of the undersigned be greater in amount than the dollar amount of the net proceeds received by the undersigned upon the sale of the Subscribed Shares giving rise to such indemnification obligation. Notwithstanding the forgoing, the undersigned’s indemnification obligations shall not apply to amounts paid in settlement of any Losses or action if such settlement is effected without the prior written consent of the undersigned (which consent shall not be unreasonably withheld or delayed).</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71" w:name="page172"/>
    <w:bookmarkEnd w:id="171"/>
    <w:p>
      <w:pPr>
        <w:jc w:val="both"/>
        <w:ind w:left="4" w:right="20" w:firstLine="378"/>
        <w:spacing w:after="0" w:line="253" w:lineRule="auto"/>
        <w:tabs>
          <w:tab w:leader="none" w:pos="546" w:val="left"/>
        </w:tabs>
        <w:numPr>
          <w:ilvl w:val="1"/>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xml:space="preserve">. This Subscription Agreement shall terminate and be void and of no further force and effect, and all rights and obligations of the parties hereunder shall terminate without any further liability on the part of any party in respect thereof, upon the earlier to occur of (a) such date and time as the Transaction Agreement is terminated in accordance with its terms; (b) upon the mutual written agreement of the Company and Subscriber to terminate this Subscription Agreement; (c) if, on the Closing Date of the Transaction, any of the conditions to Closing set forth in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of this Subscription Agreement have not been satisfied as of the time required hereunder to be so satisfied or waived (to the extent a valid waiver is capable of being issued) by the party entitled to grant such waiver and, as a result thereof, the transactions contemplated by this Subscription Agreement are not consummated; or (d) the “Termination Date” as defined in the Transaction Agreement (as such Termination Date may be amended or extended from time to time) (the “</w:t>
      </w:r>
      <w:r>
        <w:rPr>
          <w:rFonts w:ascii="Times New Roman" w:cs="Times New Roman" w:eastAsia="Times New Roman" w:hAnsi="Times New Roman"/>
          <w:sz w:val="16"/>
          <w:szCs w:val="16"/>
          <w:u w:val="single" w:color="auto"/>
          <w:color w:val="auto"/>
        </w:rPr>
        <w:t>Termination Date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nothing herein will relieve any party from liability for any willful breach hereof prior to the time of termination, and each party will be entitled to any remedies at law or in equity to recover losses, liabilities or damages arising from such breach. The Company shall notify Subscriber of the termination of the Transaction Agreement promptly after the termination thereof.</w:t>
      </w:r>
    </w:p>
    <w:p>
      <w:pPr>
        <w:spacing w:after="0" w:line="166" w:lineRule="exact"/>
        <w:rPr>
          <w:rFonts w:ascii="Times New Roman" w:cs="Times New Roman" w:eastAsia="Times New Roman" w:hAnsi="Times New Roman"/>
          <w:sz w:val="16"/>
          <w:szCs w:val="16"/>
          <w:color w:val="auto"/>
        </w:rPr>
      </w:pPr>
    </w:p>
    <w:p>
      <w:pPr>
        <w:jc w:val="both"/>
        <w:ind w:left="4" w:firstLine="378"/>
        <w:spacing w:after="0" w:line="268" w:lineRule="auto"/>
        <w:tabs>
          <w:tab w:leader="none" w:pos="546" w:val="left"/>
        </w:tabs>
        <w:numPr>
          <w:ilvl w:val="1"/>
          <w:numId w:val="1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Trust Account Waiver</w:t>
      </w:r>
      <w:r>
        <w:rPr>
          <w:rFonts w:ascii="Times New Roman" w:cs="Times New Roman" w:eastAsia="Times New Roman" w:hAnsi="Times New Roman"/>
          <w:sz w:val="15"/>
          <w:szCs w:val="15"/>
          <w:color w:val="auto"/>
        </w:rPr>
        <w:t>. Subscriber hereby acknowledges that the Company has established a trust account (the “</w:t>
      </w:r>
      <w:r>
        <w:rPr>
          <w:rFonts w:ascii="Times New Roman" w:cs="Times New Roman" w:eastAsia="Times New Roman" w:hAnsi="Times New Roman"/>
          <w:sz w:val="15"/>
          <w:szCs w:val="15"/>
          <w:u w:val="single" w:color="auto"/>
          <w:color w:val="auto"/>
        </w:rPr>
        <w:t>Trust Account</w:t>
      </w:r>
      <w:r>
        <w:rPr>
          <w:rFonts w:ascii="Times New Roman" w:cs="Times New Roman" w:eastAsia="Times New Roman" w:hAnsi="Times New Roman"/>
          <w:sz w:val="15"/>
          <w:szCs w:val="15"/>
          <w:color w:val="auto"/>
        </w:rPr>
        <w:t>”) containing the proceeds of its initial public offering (the “</w:t>
      </w:r>
      <w:r>
        <w:rPr>
          <w:rFonts w:ascii="Times New Roman" w:cs="Times New Roman" w:eastAsia="Times New Roman" w:hAnsi="Times New Roman"/>
          <w:sz w:val="15"/>
          <w:szCs w:val="15"/>
          <w:u w:val="single" w:color="auto"/>
          <w:color w:val="auto"/>
        </w:rPr>
        <w:t>IPO</w:t>
      </w:r>
      <w:r>
        <w:rPr>
          <w:rFonts w:ascii="Times New Roman" w:cs="Times New Roman" w:eastAsia="Times New Roman" w:hAnsi="Times New Roman"/>
          <w:sz w:val="15"/>
          <w:szCs w:val="15"/>
          <w:color w:val="auto"/>
        </w:rPr>
        <w:t>”) and from certain private placements occurring simultaneously with the IPO (including interest accrued from time to time thereon) for the benefit of the Company’s public stockholders and certain other parties (including the underwriters of the IPO). For and in consideration of the Company entering into this Subscription Agreement, and for other good and valuable consideration, the receipt and sufficiency of which are hereby acknowledged, Subscriber hereby (i) agrees that it does not now and shall not at any time hereafter have any right, title, interest or claim of any kind in or to any assets held in the Trust Account, and shall not make any claim against the Trust Account, regardless of whether such claim arises as a result of, in connection with or relating in any way to this Subscription Agreement or any other matter, and regardless of whether such claim arises based on contract, tort, equity or any other theory of legal liability (any and all such claims are collectively referred to hereafter as the “</w:t>
      </w:r>
      <w:r>
        <w:rPr>
          <w:rFonts w:ascii="Times New Roman" w:cs="Times New Roman" w:eastAsia="Times New Roman" w:hAnsi="Times New Roman"/>
          <w:sz w:val="15"/>
          <w:szCs w:val="15"/>
          <w:u w:val="single" w:color="auto"/>
          <w:color w:val="auto"/>
        </w:rPr>
        <w:t>Released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Claims</w:t>
      </w:r>
      <w:r>
        <w:rPr>
          <w:rFonts w:ascii="Times New Roman" w:cs="Times New Roman" w:eastAsia="Times New Roman" w:hAnsi="Times New Roman"/>
          <w:sz w:val="15"/>
          <w:szCs w:val="15"/>
          <w:color w:val="auto"/>
        </w:rPr>
        <w:t xml:space="preserve">”); (ii) irrevocably waives any Released Claims that it may have against the Trust Account now or in the future as a result of, or arising out of, any negotiations, contracts or agreements with the Company; and (iii) will not seek recourse against the Trust Account for any reason whatsoever; </w:t>
      </w:r>
      <w:r>
        <w:rPr>
          <w:rFonts w:ascii="Times New Roman" w:cs="Times New Roman" w:eastAsia="Times New Roman" w:hAnsi="Times New Roman"/>
          <w:sz w:val="15"/>
          <w:szCs w:val="15"/>
          <w:u w:val="single" w:color="auto"/>
          <w:color w:val="auto"/>
        </w:rPr>
        <w:t>provided however</w:t>
      </w:r>
      <w:r>
        <w:rPr>
          <w:rFonts w:ascii="Times New Roman" w:cs="Times New Roman" w:eastAsia="Times New Roman" w:hAnsi="Times New Roman"/>
          <w:sz w:val="15"/>
          <w:szCs w:val="15"/>
          <w:color w:val="auto"/>
        </w:rPr>
        <w:t xml:space="preserve">, that nothing in this </w:t>
      </w:r>
      <w:r>
        <w:rPr>
          <w:rFonts w:ascii="Times New Roman" w:cs="Times New Roman" w:eastAsia="Times New Roman" w:hAnsi="Times New Roman"/>
          <w:sz w:val="15"/>
          <w:szCs w:val="15"/>
          <w:u w:val="single" w:color="auto"/>
          <w:color w:val="auto"/>
        </w:rPr>
        <w:t>Section 8</w:t>
      </w:r>
      <w:r>
        <w:rPr>
          <w:rFonts w:ascii="Times New Roman" w:cs="Times New Roman" w:eastAsia="Times New Roman" w:hAnsi="Times New Roman"/>
          <w:sz w:val="15"/>
          <w:szCs w:val="15"/>
          <w:color w:val="auto"/>
        </w:rPr>
        <w:t xml:space="preserve"> shall be deemed to limit (x) any Subscriber’s right to distributions from the Trust Account in accordance with the Company’s amended and restated certificate of incorporation in respect of any redemptions by Subscriber of its shares of public Common Stock of the Company acquired by any means other than pursuant to this Subscription Agreement or</w:t>
      </w:r>
    </w:p>
    <w:p>
      <w:pPr>
        <w:spacing w:after="0" w:line="1" w:lineRule="exact"/>
        <w:rPr>
          <w:rFonts w:ascii="Times New Roman" w:cs="Times New Roman" w:eastAsia="Times New Roman" w:hAnsi="Times New Roman"/>
          <w:sz w:val="15"/>
          <w:szCs w:val="15"/>
          <w:color w:val="auto"/>
        </w:rPr>
      </w:pPr>
    </w:p>
    <w:p>
      <w:pPr>
        <w:jc w:val="both"/>
        <w:ind w:left="4" w:hanging="4"/>
        <w:spacing w:after="0" w:line="254" w:lineRule="auto"/>
        <w:tabs>
          <w:tab w:leader="none" w:pos="233"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Subscriber’s recourse against assets held outside of the Trust Account or held by the post-Closing combined entity. Subscriber acknowledges and agrees that it shall not have any redemption rights with respect to the Subscribed Shares pursuant to the Company’s organizational documents in connection with the Transaction or any other business combination, any subsequent liquidation of the Trust Account, the Company or otherwise.</w:t>
      </w:r>
    </w:p>
    <w:p>
      <w:pPr>
        <w:spacing w:after="0" w:line="163" w:lineRule="exact"/>
        <w:rPr>
          <w:rFonts w:ascii="Times New Roman" w:cs="Times New Roman" w:eastAsia="Times New Roman" w:hAnsi="Times New Roman"/>
          <w:sz w:val="16"/>
          <w:szCs w:val="16"/>
          <w:color w:val="auto"/>
        </w:rPr>
      </w:pPr>
    </w:p>
    <w:p>
      <w:pPr>
        <w:ind w:left="544" w:hanging="162"/>
        <w:spacing w:after="0"/>
        <w:tabs>
          <w:tab w:leader="none" w:pos="544" w:val="left"/>
        </w:tabs>
        <w:numPr>
          <w:ilvl w:val="1"/>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jc w:val="both"/>
        <w:ind w:left="4" w:firstLine="765"/>
        <w:spacing w:after="0" w:line="25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All notices, requests, demands, claims, and other communications hereunder shall be in writing. Any notice, request, demand, claim, or other communication hereunder shall be deemed duly given (i) when delivered personally to the recipient; (ii) when sent by electronic mail, on the date of transmission to such recipient;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notice, request, demand, claim or other communication is also sent to the recipient pursuant to clauses (i), (iii) or (iv) of this </w:t>
      </w:r>
      <w:r>
        <w:rPr>
          <w:rFonts w:ascii="Times New Roman" w:cs="Times New Roman" w:eastAsia="Times New Roman" w:hAnsi="Times New Roman"/>
          <w:sz w:val="16"/>
          <w:szCs w:val="16"/>
          <w:u w:val="single" w:color="auto"/>
          <w:color w:val="auto"/>
        </w:rPr>
        <w:t>Section 9(a)</w:t>
      </w:r>
      <w:r>
        <w:rPr>
          <w:rFonts w:ascii="Times New Roman" w:cs="Times New Roman" w:eastAsia="Times New Roman" w:hAnsi="Times New Roman"/>
          <w:sz w:val="16"/>
          <w:szCs w:val="16"/>
          <w:color w:val="auto"/>
        </w:rPr>
        <w:t xml:space="preserve">; (iii) one Business Day after being sent to the recipient by reputable overnight courier service (charges prepaid), or (iv) four (4) Business Days after being mailed to the recipient by certified or registered mail, return receipt requested and postage prepaid, and, in each case, addressed to the intended recipient at its address specified on the signature page hereof or to such electronic mail address or address as subsequently modified by written notice given in accordance with this </w:t>
      </w:r>
      <w:r>
        <w:rPr>
          <w:rFonts w:ascii="Times New Roman" w:cs="Times New Roman" w:eastAsia="Times New Roman" w:hAnsi="Times New Roman"/>
          <w:sz w:val="16"/>
          <w:szCs w:val="16"/>
          <w:u w:val="single" w:color="auto"/>
          <w:color w:val="auto"/>
        </w:rPr>
        <w:t>Section 9(a)</w:t>
      </w:r>
      <w:r>
        <w:rPr>
          <w:rFonts w:ascii="Times New Roman" w:cs="Times New Roman" w:eastAsia="Times New Roman" w:hAnsi="Times New Roman"/>
          <w:sz w:val="16"/>
          <w:szCs w:val="16"/>
          <w:color w:val="auto"/>
        </w:rPr>
        <w:t>.</w:t>
      </w:r>
    </w:p>
    <w:p>
      <w:pPr>
        <w:spacing w:after="0" w:line="35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72" w:name="page173"/>
    <w:bookmarkEnd w:id="172"/>
    <w:p>
      <w:pPr>
        <w:jc w:val="both"/>
        <w:ind w:right="20" w:firstLine="765"/>
        <w:spacing w:after="0" w:line="255" w:lineRule="auto"/>
        <w:rPr>
          <w:sz w:val="20"/>
          <w:szCs w:val="20"/>
          <w:color w:val="auto"/>
        </w:rPr>
      </w:pPr>
      <w:r>
        <w:rPr>
          <w:rFonts w:ascii="Times New Roman" w:cs="Times New Roman" w:eastAsia="Times New Roman" w:hAnsi="Times New Roman"/>
          <w:sz w:val="16"/>
          <w:szCs w:val="16"/>
          <w:color w:val="auto"/>
        </w:rPr>
        <w:t>b. Subscriber acknowledges that the Company and others will rely on the acknowledgments, understandings, agreements, representations and warranties contained in this Subscription Agreement. Prior to the Closing, Subscriber agrees to promptly notify the Company if it becomes aware that any of the acknowledgments, understandings, agreements, representations and warranties of Subscriber set forth herein are no longer accurate in all material respects. The Company acknowledges that Subscriber and others will rely on the acknowledgments, understandings, agreements, representations and warranties contained in this Subscription Agreement. Prior to the Closing, the Company agrees to promptly notify Subscriber if it becomes aware that any of the acknowledgments, understandings, agreements, representations and warranties of the Company set forth herein are no longer accurate in all material respects.</w:t>
      </w:r>
    </w:p>
    <w:p>
      <w:pPr>
        <w:spacing w:after="0" w:line="165" w:lineRule="exact"/>
        <w:rPr>
          <w:sz w:val="20"/>
          <w:szCs w:val="20"/>
          <w:color w:val="auto"/>
        </w:rPr>
      </w:pPr>
    </w:p>
    <w:p>
      <w:pPr>
        <w:jc w:val="both"/>
        <w:ind w:right="20" w:firstLine="765"/>
        <w:spacing w:after="0" w:line="280" w:lineRule="auto"/>
        <w:rPr>
          <w:sz w:val="20"/>
          <w:szCs w:val="20"/>
          <w:color w:val="auto"/>
        </w:rPr>
      </w:pPr>
      <w:r>
        <w:rPr>
          <w:rFonts w:ascii="Times New Roman" w:cs="Times New Roman" w:eastAsia="Times New Roman" w:hAnsi="Times New Roman"/>
          <w:sz w:val="16"/>
          <w:szCs w:val="16"/>
          <w:color w:val="auto"/>
        </w:rPr>
        <w:t>c. Each of the Company and Subscriber is irrevocably authorized to produce this Subscription Agreement or a copy hereof to any interested party in any administrative or legal proceeding or official inquiry with respect to the matters covered hereby.</w:t>
      </w:r>
    </w:p>
    <w:p>
      <w:pPr>
        <w:spacing w:after="0" w:line="1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d. Subscriber shall pay all of its own expenses in connection with this Subscription Agreement and the transactions contemplated herein.</w:t>
      </w:r>
    </w:p>
    <w:p>
      <w:pPr>
        <w:spacing w:after="0" w:line="198" w:lineRule="exact"/>
        <w:rPr>
          <w:sz w:val="20"/>
          <w:szCs w:val="20"/>
          <w:color w:val="auto"/>
        </w:rPr>
      </w:pPr>
    </w:p>
    <w:p>
      <w:pPr>
        <w:jc w:val="both"/>
        <w:ind w:firstLine="765"/>
        <w:spacing w:after="0" w:line="254" w:lineRule="auto"/>
        <w:rPr>
          <w:sz w:val="20"/>
          <w:szCs w:val="20"/>
          <w:color w:val="auto"/>
        </w:rPr>
      </w:pPr>
      <w:r>
        <w:rPr>
          <w:rFonts w:ascii="Times New Roman" w:cs="Times New Roman" w:eastAsia="Times New Roman" w:hAnsi="Times New Roman"/>
          <w:sz w:val="16"/>
          <w:szCs w:val="16"/>
          <w:color w:val="auto"/>
        </w:rPr>
        <w:t>e. Neither this Subscription Agreement nor any rights that may accrue to Subscriber hereunder (other than the Subscribed Shares acquired hereunder, if any) may be transferred or assigned. Neither this Subscription Agreement nor any rights that may accrue to the Company hereunder may be transferred or assigned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for the avoidance of doubt, the Company may transfer the Subscription Agreement and its rights hereunder solely in connection with the consummation of the Transaction and exclusively to another entity under the control of, or under common control with, the Company). Notwithstanding the foregoing, Subscriber may assign its rights and obligations under this Subscription Agreement to one or more of its affiliates (including other investment funds or accounts managed or advised by the investment manager who acts on behalf of Subscriber) or, with the Company’s prior written consent, to another person,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 such assignment shall relieve Subscriber of its obligations hereunder if any such assignee fails to perform such obligations, unless the Company has given its prior written consent to such relief.</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f. All the agreements, representations and warranties made by each party hereto in this Subscription Agreement shall survive the Closing.</w:t>
      </w:r>
    </w:p>
    <w:p>
      <w:pPr>
        <w:spacing w:after="0" w:line="198" w:lineRule="exact"/>
        <w:rPr>
          <w:sz w:val="20"/>
          <w:szCs w:val="20"/>
          <w:color w:val="auto"/>
        </w:rPr>
      </w:pPr>
    </w:p>
    <w:p>
      <w:pPr>
        <w:jc w:val="both"/>
        <w:ind w:right="20" w:firstLine="765"/>
        <w:spacing w:after="0" w:line="265" w:lineRule="auto"/>
        <w:rPr>
          <w:sz w:val="20"/>
          <w:szCs w:val="20"/>
          <w:color w:val="auto"/>
        </w:rPr>
      </w:pPr>
      <w:r>
        <w:rPr>
          <w:rFonts w:ascii="Times New Roman" w:cs="Times New Roman" w:eastAsia="Times New Roman" w:hAnsi="Times New Roman"/>
          <w:sz w:val="16"/>
          <w:szCs w:val="16"/>
          <w:color w:val="auto"/>
        </w:rPr>
        <w:t>g. The Company may request from Subscriber such additional information as the Company may deem necessary to evaluate the eligibility of Subscriber to acquire the Subscribed Shares, and Subscriber shall provide such information as may be reasonably requested, to the extent readily available and to the extent consistent with its internal policies and procedures.</w:t>
      </w:r>
    </w:p>
    <w:p>
      <w:pPr>
        <w:spacing w:after="0" w:line="155" w:lineRule="exact"/>
        <w:rPr>
          <w:sz w:val="20"/>
          <w:szCs w:val="20"/>
          <w:color w:val="auto"/>
        </w:rPr>
      </w:pPr>
    </w:p>
    <w:p>
      <w:pPr>
        <w:jc w:val="both"/>
        <w:ind w:firstLine="765"/>
        <w:spacing w:after="0" w:line="252" w:lineRule="auto"/>
        <w:rPr>
          <w:sz w:val="20"/>
          <w:szCs w:val="20"/>
          <w:color w:val="auto"/>
        </w:rPr>
      </w:pPr>
      <w:r>
        <w:rPr>
          <w:rFonts w:ascii="Times New Roman" w:cs="Times New Roman" w:eastAsia="Times New Roman" w:hAnsi="Times New Roman"/>
          <w:sz w:val="16"/>
          <w:szCs w:val="16"/>
          <w:color w:val="auto"/>
        </w:rPr>
        <w:t xml:space="preserve">h. This Subscription Agreement may not be amended, modified, waived or terminated except by an instrument in writing, signed by the party against whom enforcement of such modification, waiver, or termination is sought;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this Subscription Agreement may be amended, modified, waived or terminated with the written consent of the Company and Subscribers then holding a majority of the Aggregate Subscribed Securities then committed to be purchased at the Closing by (or, if after the Closing, then held by) all Subscribers (the “</w:t>
      </w:r>
      <w:r>
        <w:rPr>
          <w:rFonts w:ascii="Times New Roman" w:cs="Times New Roman" w:eastAsia="Times New Roman" w:hAnsi="Times New Roman"/>
          <w:sz w:val="16"/>
          <w:szCs w:val="16"/>
          <w:u w:val="single" w:color="auto"/>
          <w:color w:val="auto"/>
        </w:rPr>
        <w:t>Required Subscribers</w:t>
      </w:r>
      <w:r>
        <w:rPr>
          <w:rFonts w:ascii="Times New Roman" w:cs="Times New Roman" w:eastAsia="Times New Roman" w:hAnsi="Times New Roman"/>
          <w:sz w:val="16"/>
          <w:szCs w:val="16"/>
          <w:color w:val="auto"/>
        </w:rPr>
        <w:t xml:space="preserve">”). Upon the effectuation of such waiver, modification, amendment or termination with the consent of the Required Subscribers in conformance with this </w:t>
      </w:r>
      <w:r>
        <w:rPr>
          <w:rFonts w:ascii="Times New Roman" w:cs="Times New Roman" w:eastAsia="Times New Roman" w:hAnsi="Times New Roman"/>
          <w:sz w:val="16"/>
          <w:szCs w:val="16"/>
          <w:u w:val="single" w:color="auto"/>
          <w:color w:val="auto"/>
        </w:rPr>
        <w:t>Section 9(h)</w:t>
      </w:r>
      <w:r>
        <w:rPr>
          <w:rFonts w:ascii="Times New Roman" w:cs="Times New Roman" w:eastAsia="Times New Roman" w:hAnsi="Times New Roman"/>
          <w:sz w:val="16"/>
          <w:szCs w:val="16"/>
          <w:color w:val="auto"/>
        </w:rPr>
        <w:t xml:space="preserve">, such amendment, modification, waiver or termination shall be binding on all Subscribers and effective as to all of the Subscription Agreements. The Company shall promptly give written notice thereof to Subscriber if Subscriber has not previously consented to such amendment, modification, waiver or termination in writing;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failure to give such notice shall not affect the validity of such amendment, modification, waiver or termination. Notwithstanding anything to the contrary herein, (i) no amendment, modification or waiver shall be effective against any Subscriber unless such amendment, modification or waiver applies to all Subscribers equally; (ii) any amendment, modification or waiver that has a disproportionate effect on a Subscriber (considered apart from any disproportionate effect owing to the number of Subscribed Shares held by such Subscriber), shall require the consent of such Subscriber; (iii) any amendment to </w:t>
      </w:r>
      <w:r>
        <w:rPr>
          <w:rFonts w:ascii="Times New Roman" w:cs="Times New Roman" w:eastAsia="Times New Roman" w:hAnsi="Times New Roman"/>
          <w:sz w:val="16"/>
          <w:szCs w:val="16"/>
          <w:u w:val="single" w:color="auto"/>
          <w:color w:val="auto"/>
        </w:rPr>
        <w:t>Section 3(j)</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7</w:t>
      </w:r>
      <w:r>
        <w:rPr>
          <w:rFonts w:ascii="Times New Roman" w:cs="Times New Roman" w:eastAsia="Times New Roman" w:hAnsi="Times New Roman"/>
          <w:sz w:val="16"/>
          <w:szCs w:val="16"/>
          <w:color w:val="auto"/>
        </w:rPr>
        <w:t xml:space="preserve"> (to amend the definition of Termination Date) or this </w:t>
      </w:r>
      <w:r>
        <w:rPr>
          <w:rFonts w:ascii="Times New Roman" w:cs="Times New Roman" w:eastAsia="Times New Roman" w:hAnsi="Times New Roman"/>
          <w:sz w:val="16"/>
          <w:szCs w:val="16"/>
          <w:u w:val="single" w:color="auto"/>
          <w:color w:val="auto"/>
        </w:rPr>
        <w:t>Section 9(h)</w:t>
      </w:r>
      <w:r>
        <w:rPr>
          <w:rFonts w:ascii="Times New Roman" w:cs="Times New Roman" w:eastAsia="Times New Roman" w:hAnsi="Times New Roman"/>
          <w:sz w:val="16"/>
          <w:szCs w:val="16"/>
          <w:color w:val="auto"/>
        </w:rPr>
        <w:t xml:space="preserve"> of this Subscription Agreement; and (iv) any amendment, modification or other change that alters the Per Share Price, the Purchase Price, or the number of Subscribed Shares shall require the consent of the undersigned Subscriber.</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73" w:name="page174"/>
    <w:bookmarkEnd w:id="173"/>
    <w:p>
      <w:pPr>
        <w:jc w:val="both"/>
        <w:ind w:firstLine="765"/>
        <w:spacing w:after="0" w:line="280" w:lineRule="auto"/>
        <w:rPr>
          <w:sz w:val="20"/>
          <w:szCs w:val="20"/>
          <w:color w:val="auto"/>
        </w:rPr>
      </w:pPr>
      <w:r>
        <w:rPr>
          <w:rFonts w:ascii="Times New Roman" w:cs="Times New Roman" w:eastAsia="Times New Roman" w:hAnsi="Times New Roman"/>
          <w:sz w:val="16"/>
          <w:szCs w:val="16"/>
          <w:color w:val="auto"/>
        </w:rPr>
        <w:t>i. This Subscription Agreement constitutes the entire agreement, and supersedes all other prior agreements, understandings, representations and warranties, both written and oral, among the parties, with respect to the subject matter hereof.</w:t>
      </w:r>
    </w:p>
    <w:p>
      <w:pPr>
        <w:spacing w:after="0" w:line="144" w:lineRule="exact"/>
        <w:rPr>
          <w:sz w:val="20"/>
          <w:szCs w:val="20"/>
          <w:color w:val="auto"/>
        </w:rPr>
      </w:pPr>
    </w:p>
    <w:p>
      <w:pPr>
        <w:jc w:val="both"/>
        <w:ind w:right="20" w:firstLine="765"/>
        <w:spacing w:after="0" w:line="265" w:lineRule="auto"/>
        <w:rPr>
          <w:sz w:val="20"/>
          <w:szCs w:val="20"/>
          <w:color w:val="auto"/>
        </w:rPr>
      </w:pPr>
      <w:r>
        <w:rPr>
          <w:rFonts w:ascii="Times New Roman" w:cs="Times New Roman" w:eastAsia="Times New Roman" w:hAnsi="Times New Roman"/>
          <w:sz w:val="16"/>
          <w:szCs w:val="16"/>
          <w:color w:val="auto"/>
        </w:rPr>
        <w:t>j. 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55" w:lineRule="exact"/>
        <w:rPr>
          <w:sz w:val="20"/>
          <w:szCs w:val="20"/>
          <w:color w:val="auto"/>
        </w:rPr>
      </w:pPr>
    </w:p>
    <w:p>
      <w:pPr>
        <w:jc w:val="both"/>
        <w:ind w:firstLine="765"/>
        <w:spacing w:after="0" w:line="280" w:lineRule="auto"/>
        <w:rPr>
          <w:sz w:val="20"/>
          <w:szCs w:val="20"/>
          <w:color w:val="auto"/>
        </w:rPr>
      </w:pPr>
      <w:r>
        <w:rPr>
          <w:rFonts w:ascii="Times New Roman" w:cs="Times New Roman" w:eastAsia="Times New Roman" w:hAnsi="Times New Roman"/>
          <w:sz w:val="16"/>
          <w:szCs w:val="16"/>
          <w:color w:val="auto"/>
        </w:rPr>
        <w:t>k. 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w:t>
      </w:r>
    </w:p>
    <w:p>
      <w:pPr>
        <w:spacing w:after="0" w:line="144" w:lineRule="exact"/>
        <w:rPr>
          <w:sz w:val="20"/>
          <w:szCs w:val="20"/>
          <w:color w:val="auto"/>
        </w:rPr>
      </w:pPr>
    </w:p>
    <w:p>
      <w:pPr>
        <w:jc w:val="both"/>
        <w:ind w:firstLine="765"/>
        <w:spacing w:after="0" w:line="265" w:lineRule="auto"/>
        <w:rPr>
          <w:sz w:val="20"/>
          <w:szCs w:val="20"/>
          <w:color w:val="auto"/>
        </w:rPr>
      </w:pPr>
      <w:r>
        <w:rPr>
          <w:rFonts w:ascii="Times New Roman" w:cs="Times New Roman" w:eastAsia="Times New Roman" w:hAnsi="Times New Roman"/>
          <w:sz w:val="16"/>
          <w:szCs w:val="16"/>
          <w:color w:val="auto"/>
        </w:rPr>
        <w:t>l. This Subscription Agreement may be executed and delivered in one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155" w:lineRule="exact"/>
        <w:rPr>
          <w:sz w:val="20"/>
          <w:szCs w:val="20"/>
          <w:color w:val="auto"/>
        </w:rPr>
      </w:pPr>
    </w:p>
    <w:p>
      <w:pPr>
        <w:jc w:val="both"/>
        <w:ind w:firstLine="765"/>
        <w:spacing w:after="0" w:line="280" w:lineRule="auto"/>
        <w:rPr>
          <w:sz w:val="20"/>
          <w:szCs w:val="20"/>
          <w:color w:val="auto"/>
        </w:rPr>
      </w:pPr>
      <w:r>
        <w:rPr>
          <w:rFonts w:ascii="Times New Roman" w:cs="Times New Roman" w:eastAsia="Times New Roman" w:hAnsi="Times New Roman"/>
          <w:sz w:val="16"/>
          <w:szCs w:val="16"/>
          <w:color w:val="auto"/>
        </w:rPr>
        <w:t>m. This Subscription Agreement is intended for the benefit of the parties hereto and their respective successors and permitted assigns and is not for the benefit of, nor may any provision hereof be enforced by, any other person.</w:t>
      </w:r>
    </w:p>
    <w:p>
      <w:pPr>
        <w:spacing w:after="0" w:line="144" w:lineRule="exact"/>
        <w:rPr>
          <w:sz w:val="20"/>
          <w:szCs w:val="20"/>
          <w:color w:val="auto"/>
        </w:rPr>
      </w:pPr>
    </w:p>
    <w:p>
      <w:pPr>
        <w:jc w:val="both"/>
        <w:ind w:right="20" w:firstLine="765"/>
        <w:spacing w:after="0" w:line="259" w:lineRule="auto"/>
        <w:rPr>
          <w:sz w:val="20"/>
          <w:szCs w:val="20"/>
          <w:color w:val="auto"/>
        </w:rPr>
      </w:pPr>
      <w:r>
        <w:rPr>
          <w:rFonts w:ascii="Times New Roman" w:cs="Times New Roman" w:eastAsia="Times New Roman" w:hAnsi="Times New Roman"/>
          <w:sz w:val="16"/>
          <w:szCs w:val="16"/>
          <w:color w:val="auto"/>
        </w:rPr>
        <w:t>n. The parties hereto agree that irreparable damage would occur in the event that any of the provisions of this Subscription Agreement were not performed in accordance with their specific terms or were otherwise breached. It is accordingly agreed that the parties shall be entitled to seek an injunction or injunctions to prevent breaches of this Subscription Agreement and to enforce specifically the terms and provisions of this Subscription Agreement, this being in addition to any other remedy to which such party is entitled at law, in equity, in contract, in tort or otherwise.</w:t>
      </w:r>
    </w:p>
    <w:p>
      <w:pPr>
        <w:spacing w:after="0" w:line="162" w:lineRule="exact"/>
        <w:rPr>
          <w:sz w:val="20"/>
          <w:szCs w:val="20"/>
          <w:color w:val="auto"/>
        </w:rPr>
      </w:pPr>
    </w:p>
    <w:p>
      <w:pPr>
        <w:jc w:val="both"/>
        <w:ind w:right="20" w:firstLine="765"/>
        <w:spacing w:after="0" w:line="280" w:lineRule="auto"/>
        <w:rPr>
          <w:sz w:val="20"/>
          <w:szCs w:val="20"/>
          <w:color w:val="auto"/>
        </w:rPr>
      </w:pPr>
      <w:r>
        <w:rPr>
          <w:rFonts w:ascii="Times New Roman" w:cs="Times New Roman" w:eastAsia="Times New Roman" w:hAnsi="Times New Roman"/>
          <w:sz w:val="16"/>
          <w:szCs w:val="16"/>
          <w:color w:val="auto"/>
        </w:rPr>
        <w:t>o. This Subscription Agreement shall be governed by, and construed in accordance with, the laws of the State of Delaware, without regard to the principles of conflicts of laws that would otherwise require the application of the law of any other state.</w:t>
      </w:r>
    </w:p>
    <w:p>
      <w:pPr>
        <w:spacing w:after="0" w:line="142" w:lineRule="exact"/>
        <w:rPr>
          <w:sz w:val="20"/>
          <w:szCs w:val="20"/>
          <w:color w:val="auto"/>
        </w:rPr>
      </w:pPr>
    </w:p>
    <w:p>
      <w:pPr>
        <w:jc w:val="both"/>
        <w:ind w:firstLine="765"/>
        <w:spacing w:after="0" w:line="253" w:lineRule="auto"/>
        <w:rPr>
          <w:sz w:val="20"/>
          <w:szCs w:val="20"/>
          <w:color w:val="auto"/>
        </w:rPr>
      </w:pPr>
      <w:r>
        <w:rPr>
          <w:rFonts w:ascii="Times New Roman" w:cs="Times New Roman" w:eastAsia="Times New Roman" w:hAnsi="Times New Roman"/>
          <w:sz w:val="16"/>
          <w:szCs w:val="16"/>
          <w:color w:val="auto"/>
        </w:rPr>
        <w:t xml:space="preserve">p. </w:t>
      </w:r>
      <w:r>
        <w:rPr>
          <w:rFonts w:ascii="Times New Roman" w:cs="Times New Roman" w:eastAsia="Times New Roman" w:hAnsi="Times New Roman"/>
          <w:sz w:val="16"/>
          <w:szCs w:val="16"/>
          <w:b w:val="1"/>
          <w:bCs w:val="1"/>
          <w:color w:val="auto"/>
        </w:rPr>
        <w:t>EACH PARTY HEREBY WAIVES ITS RESPECTIVE RIGHTS TO A TRIAL BY JURY OF ANY CLAIM OR CAUSE OF ACTION BASED UPON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OR ARISING OUT OR RELATED TO THIS SUBSCRIPTION AGREEMENT OR THE TRANSACTIONS CONTEMPLATED HEREBY IN ANY ACTION, PROCEEDING OR OTHER LITIGATION OF ANY TYPE BROUGHT BY ANY PARTY AGAINST ANY OTHER PARTY OR ANY AFFILIATE OF ANY OTHER SUCH PARTY, WHETHER WITH RESPECT TO CONTRACT CLAIMS, TORT CLAIMS OR OTHERWISE. THE PARTIES AGREE THAT ANY SUCH CLAIM OR CAUSE OF ACTION SHALL BE TRIED BY A COURT TRIAL WITHOUT A JURY. WITHOUT LIMITING THE FOREGOING, THE PARTIES FURTHER AGREE THAT THEIR RESPECTIVE RIGHT TO A TRIAL BY JURY IS WAIVED BY OPERATION OF THIS SECTION AS TO ANY ACTION, COUNTERCLAIM OR OTHER PROCEEDING WHICH SEEKS, IN WHOLE OR IN PART, TO CHALLENGE THE VALIDITY OR ENFORCEABILITY OF THIS SUBSCRIPTION AGREEMENT OR ANY PROVISION HEREOF. THIS WAIVER SHALL APPLY TO ANY SUBSEQUENT AMENDMENTS, RENEWALS, SUPPLEMENTS OR MODIFICATIONS TO THIS SUBSCRIPTION AGREEMENT.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198" w:right="319" w:bottom="1440" w:gutter="0" w:footer="0" w:header="0"/>
        </w:sectPr>
      </w:pPr>
    </w:p>
    <w:bookmarkStart w:id="174" w:name="page175"/>
    <w:bookmarkEnd w:id="174"/>
    <w:p>
      <w:pPr>
        <w:jc w:val="both"/>
        <w:ind w:firstLine="765"/>
        <w:spacing w:after="0" w:line="252" w:lineRule="auto"/>
        <w:rPr>
          <w:sz w:val="20"/>
          <w:szCs w:val="20"/>
          <w:color w:val="auto"/>
        </w:rPr>
      </w:pPr>
      <w:r>
        <w:rPr>
          <w:rFonts w:ascii="Times New Roman" w:cs="Times New Roman" w:eastAsia="Times New Roman" w:hAnsi="Times New Roman"/>
          <w:sz w:val="16"/>
          <w:szCs w:val="16"/>
          <w:color w:val="auto"/>
        </w:rPr>
        <w:t>q. The parties agree that all disputes, legal actions, suits and proceedings arising out of or relating to this Subscription Agreement must be brought exclusively in the Court of Chancery of the State of Delaware and any state appellate court therefrom within the State of Delaware (or, if the Court of Chancery of the State of Delaware declines to accept jurisdiction over a particular matter, any federal court within the State of Delaware or, in the event each federal court within the State of Delaware declines to accept jurisdiction over a particular matter, any state court within the State of Delaware) (collectively the “</w:t>
      </w:r>
      <w:r>
        <w:rPr>
          <w:rFonts w:ascii="Times New Roman" w:cs="Times New Roman" w:eastAsia="Times New Roman" w:hAnsi="Times New Roman"/>
          <w:sz w:val="16"/>
          <w:szCs w:val="16"/>
          <w:u w:val="single" w:color="auto"/>
          <w:color w:val="auto"/>
        </w:rPr>
        <w:t>Designated Courts</w:t>
      </w:r>
      <w:r>
        <w:rPr>
          <w:rFonts w:ascii="Times New Roman" w:cs="Times New Roman" w:eastAsia="Times New Roman" w:hAnsi="Times New Roman"/>
          <w:sz w:val="16"/>
          <w:szCs w:val="16"/>
          <w:color w:val="auto"/>
        </w:rPr>
        <w:t xml:space="preserve">”). Each party hereby consents and submits to the exclusive jurisdiction of the Designated Courts. No legal action, suit or proceeding with respect to this subscription agreement may be brought in any other forum. Each party hereby irrevocably waives all claims of immunity from jurisdiction and any objection which such party may now or hereafter have to the laying of venue of any suit, action or proceeding in any Designated Court, including any right to object on the basis that any dispute, action, suit or proceeding brought in the Designated Courts has been brought in an improper or inconvenient forum or venue. Each of the parties also agrees that delivery of any process, summons, notice or document to a party hereof in compliance with </w:t>
      </w:r>
      <w:r>
        <w:rPr>
          <w:rFonts w:ascii="Times New Roman" w:cs="Times New Roman" w:eastAsia="Times New Roman" w:hAnsi="Times New Roman"/>
          <w:sz w:val="16"/>
          <w:szCs w:val="16"/>
          <w:u w:val="single" w:color="auto"/>
          <w:color w:val="auto"/>
        </w:rPr>
        <w:t>Section 9(a)</w:t>
      </w:r>
      <w:r>
        <w:rPr>
          <w:rFonts w:ascii="Times New Roman" w:cs="Times New Roman" w:eastAsia="Times New Roman" w:hAnsi="Times New Roman"/>
          <w:sz w:val="16"/>
          <w:szCs w:val="16"/>
          <w:color w:val="auto"/>
        </w:rPr>
        <w:t xml:space="preserve"> of this Subscription Agreement shall be effective service of process for any action, suit or proceeding in a Designated Court with respect to any matters to which the parties have submitted to jurisdiction as set forth above.</w:t>
      </w:r>
    </w:p>
    <w:p>
      <w:pPr>
        <w:spacing w:after="0" w:line="171" w:lineRule="exact"/>
        <w:rPr>
          <w:sz w:val="20"/>
          <w:szCs w:val="20"/>
          <w:color w:val="auto"/>
        </w:rPr>
      </w:pPr>
    </w:p>
    <w:p>
      <w:pPr>
        <w:jc w:val="both"/>
        <w:ind w:right="20" w:firstLine="765"/>
        <w:spacing w:after="0" w:line="255" w:lineRule="auto"/>
        <w:rPr>
          <w:sz w:val="20"/>
          <w:szCs w:val="20"/>
          <w:color w:val="auto"/>
        </w:rPr>
      </w:pPr>
      <w:r>
        <w:rPr>
          <w:rFonts w:ascii="Times New Roman" w:cs="Times New Roman" w:eastAsia="Times New Roman" w:hAnsi="Times New Roman"/>
          <w:sz w:val="16"/>
          <w:szCs w:val="16"/>
          <w:color w:val="auto"/>
        </w:rPr>
        <w:t>r. This Subscription Agreement may only be enforced against, and any claim, action, suit or other legal proceeding based upon, arising out of, or related to this Subscription Agreement, or the negotiation, execution or performance of this Subscription Agreement, may only be brought against the entities that are expressly named as parties hereto and then only with respect to the specific obligations set forth herein with respect to such party. No past, present or future director, officer, employee, incorporator, manager, member, partner, stockholder, affiliate, agent, attorney or other representative of any party hereto or of any affiliate of any party hereto, or any of their successors or permitted assigns, shall have any liability for any obligations or liabilities of any party hereto under this Subscription Agreement or for any claim, action, suit or other legal proceeding based on, in respect of or by reason of the transactions contemplated hereby.</w:t>
      </w:r>
    </w:p>
    <w:p>
      <w:pPr>
        <w:spacing w:after="0" w:line="169" w:lineRule="exact"/>
        <w:rPr>
          <w:sz w:val="20"/>
          <w:szCs w:val="20"/>
          <w:color w:val="auto"/>
        </w:rPr>
      </w:pPr>
    </w:p>
    <w:p>
      <w:pPr>
        <w:jc w:val="both"/>
        <w:ind w:firstLine="765"/>
        <w:spacing w:after="0"/>
        <w:rPr>
          <w:sz w:val="20"/>
          <w:szCs w:val="20"/>
          <w:color w:val="auto"/>
        </w:rPr>
      </w:pPr>
      <w:r>
        <w:rPr>
          <w:rFonts w:ascii="Times New Roman" w:cs="Times New Roman" w:eastAsia="Times New Roman" w:hAnsi="Times New Roman"/>
          <w:sz w:val="16"/>
          <w:szCs w:val="16"/>
          <w:color w:val="auto"/>
        </w:rPr>
        <w:t>s. The Company shall, by 9:00 a.m., New York City time, on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6"/>
          <w:szCs w:val="16"/>
          <w:color w:val="auto"/>
        </w:rPr>
        <w:t>) business day immediately following the date of this Subscription Agreement, issue one or more press releases or file with the Commission a Current Report on Form 8-K (collectively, the “</w:t>
      </w:r>
      <w:r>
        <w:rPr>
          <w:rFonts w:ascii="Times New Roman" w:cs="Times New Roman" w:eastAsia="Times New Roman" w:hAnsi="Times New Roman"/>
          <w:sz w:val="16"/>
          <w:szCs w:val="16"/>
          <w:u w:val="single" w:color="auto"/>
          <w:color w:val="auto"/>
        </w:rPr>
        <w:t>Disclosure Document</w:t>
      </w:r>
      <w:r>
        <w:rPr>
          <w:rFonts w:ascii="Times New Roman" w:cs="Times New Roman" w:eastAsia="Times New Roman" w:hAnsi="Times New Roman"/>
          <w:sz w:val="16"/>
          <w:szCs w:val="16"/>
          <w:color w:val="auto"/>
        </w:rPr>
        <w:t>”) disclosing, to the extent not previously publicly disclosed, all material terms of the transactions contemplated hereby and any other material, nonpublic information that the Company has provided to Subscriber at any time prior to the filing of the Disclosure Document. From and after the issuance of the Disclosure Document, Subscriber shall not be in possession of any material, non-public information received from the Company or any of its officers, directors or employees. Notwithstanding the foregoing, the Company shall not publicly disclose the name of Subscriber or any affiliate or investment adviser of Subscriber, or include the name of Subscriber or any affiliate or investment adviser of Subscriber in any press release or in any filing with the Commission or any regulatory agency or trading market, without the prior written consent (including by e-mail) of Subscriber, except as required by the federal securities laws, rules or regulations and to the extent such disclosure is required by other laws, rules or regulations, at the request of the staff of the Commission or regulatory agency or under Nasdaq Stock Market regulations, in which case the Company shall provide Subscriber with prior written notice (including by e-mail) of such permitted disclosure, and shall reasonably consult with Subscriber regarding such disclosure.</w:t>
      </w:r>
    </w:p>
    <w:p>
      <w:pPr>
        <w:spacing w:after="0" w:line="180" w:lineRule="exact"/>
        <w:rPr>
          <w:sz w:val="20"/>
          <w:szCs w:val="20"/>
          <w:color w:val="auto"/>
        </w:rPr>
      </w:pPr>
    </w:p>
    <w:p>
      <w:pPr>
        <w:jc w:val="both"/>
        <w:ind w:firstLine="765"/>
        <w:spacing w:after="0" w:line="251" w:lineRule="auto"/>
        <w:rPr>
          <w:sz w:val="20"/>
          <w:szCs w:val="20"/>
          <w:color w:val="auto"/>
        </w:rPr>
      </w:pPr>
      <w:r>
        <w:rPr>
          <w:rFonts w:ascii="Times New Roman" w:cs="Times New Roman" w:eastAsia="Times New Roman" w:hAnsi="Times New Roman"/>
          <w:sz w:val="16"/>
          <w:szCs w:val="16"/>
          <w:color w:val="auto"/>
        </w:rPr>
        <w:t>t. The obligations of Subscriber under this Subscription Agreement are several and not joint with the obligations of any Other Subscriber or any other investor under the Other Subscription Agreements, and Subscriber shall not be responsible in any way for the performance of the obligations of any Other Subscriber under this Subscription Agreement or any other investor under the Other Subscription Agreements. The decision of Subscriber to purchase Subscribed Shares pursuant to this Subscription Agreement has been made by Subscriber independently of any Other Subscriber or any other investor and independently of any information, materials, statements or opinions as to the business, affairs, operations, assets, properties, liabilities, results of operations, condition (financial or otherwise) or prospects of the Company or any of its subsidiaries which may have been made or given by any Other Subscriber or investor or by any agent or employee of any Other Subscriber or investor, and neither Subscriber nor any of its agents or employees shall have any liability to any Other Subscriber or investor (or any other person) relating to or arising from any such information, materials, statements or opinions. Nothing contained herein or in any Other Subscription Agreement, and no action taken by Subscriber or investor pursuant hereto or thereto, shall be deemed to constitute Subscriber and other investors as a partnership, an association, a joint venture or any other kind of entity, or create a presumption that Subscriber and other investors are in any way acting in concert or as a group with respect to such obligations or the transactions contemplated by this Subscription Agreement and the Other Subscription Agreements. Subscriber acknowledges that no Other Subscriber has acted as agent for Subscriber in connection with making its investment hereunder and no Other Subscriber will be acting as agent of Subscriber in connection with monitoring its investment in the Subscribed Shares or enforcing its rights under this Subscription Agreement. Subscriber shall be entitled to independently protect and enforce its rights, including without limitation the rights arising out of this Subscription Agreement, and it shall not be necessary for any Other Subscriber or investor to be joined as an additional party in any proceeding for such purpose.</w:t>
      </w:r>
    </w:p>
    <w:p>
      <w:pPr>
        <w:spacing w:after="0" w:line="17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u. Following the Closing Date, Company shall hold regular quarterly conference calls to discuss the company’s financial results during the previous quarter.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pages follow.]</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75" w:name="page176"/>
    <w:bookmarkEnd w:id="175"/>
    <w:p>
      <w:pPr>
        <w:ind w:firstLine="382"/>
        <w:spacing w:after="0" w:line="283" w:lineRule="auto"/>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each of the Company and Subscriber has executed or caused this Subscription Agreement to be executed by its duly authorized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representative as of the date first set forth above.</w:t>
      </w:r>
    </w:p>
    <w:p>
      <w:pPr>
        <w:spacing w:after="0" w:line="14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VENTOUX CCM ACQUISITION CORP.</w:t>
      </w:r>
    </w:p>
    <w:p>
      <w:pPr>
        <w:spacing w:after="0" w:line="21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7620</wp:posOffset>
            </wp:positionV>
            <wp:extent cx="2572385" cy="152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4"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6"/>
          <w:szCs w:val="16"/>
          <w:color w:val="auto"/>
        </w:rPr>
        <w:t>Name: Edward Scheetz</w:t>
      </w:r>
    </w:p>
    <w:p>
      <w:pPr>
        <w:spacing w:after="0" w:line="1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6"/>
          <w:szCs w:val="16"/>
          <w:color w:val="auto"/>
        </w:rPr>
        <w:t>Title: Chairman and Chief Executive Officer</w:t>
      </w:r>
    </w:p>
    <w:p>
      <w:pPr>
        <w:spacing w:after="0" w:line="18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Address for Notices:</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1 East Putnam Avenue, Floor 4</w:t>
      </w:r>
    </w:p>
    <w:p>
      <w:pPr>
        <w:spacing w:after="0" w:line="2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Greenwich, CT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Ventoux CCM Acquisition Corp Subscription Agreement]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176" w:name="page177"/>
    <w:bookmarkEnd w:id="176"/>
    <w:p>
      <w:pPr>
        <w:ind w:left="6760"/>
        <w:spacing w:after="0"/>
        <w:rPr>
          <w:sz w:val="20"/>
          <w:szCs w:val="20"/>
          <w:color w:val="auto"/>
        </w:rPr>
      </w:pPr>
      <w:r>
        <w:rPr>
          <w:rFonts w:ascii="Times New Roman" w:cs="Times New Roman" w:eastAsia="Times New Roman" w:hAnsi="Times New Roman"/>
          <w:sz w:val="16"/>
          <w:szCs w:val="16"/>
          <w:color w:val="auto"/>
        </w:rPr>
        <w:t>SUBSCRIBER:</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Print</w:t>
      </w:r>
    </w:p>
    <w:p>
      <w:pPr>
        <w:spacing w:after="0" w:line="2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-2540</wp:posOffset>
            </wp:positionV>
            <wp:extent cx="2496820" cy="152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676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7620</wp:posOffset>
            </wp:positionV>
            <wp:extent cx="2496820" cy="152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Name:</w:t>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Title:</w:t>
      </w:r>
    </w:p>
    <w:p>
      <w:pPr>
        <w:spacing w:after="0" w:line="19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Address for Notices:</w:t>
      </w:r>
    </w:p>
    <w:p>
      <w:pPr>
        <w:spacing w:after="0" w:line="23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Name in which shares are to be registered: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Number of Subscribed Shares subscribed for:</w:t>
            </w:r>
          </w:p>
        </w:tc>
        <w:tc>
          <w:tcPr>
            <w:tcW w:w="33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64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Price Per Subscribed Share:</w:t>
            </w:r>
          </w:p>
        </w:tc>
        <w:tc>
          <w:tcPr>
            <w:tcW w:w="39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64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Aggregate Purchase Price of Subscribed Shares:</w:t>
            </w:r>
          </w:p>
        </w:tc>
        <w:tc>
          <w:tcPr>
            <w:tcW w:w="336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r>
      <w:tr>
        <w:trPr>
          <w:trHeight w:val="24"/>
        </w:trPr>
        <w:tc>
          <w:tcPr>
            <w:tcW w:w="6440" w:type="dxa"/>
            <w:vAlign w:val="bottom"/>
            <w:shd w:val="clear" w:color="auto" w:fill="CCEEFF"/>
          </w:tcPr>
          <w:p>
            <w:pPr>
              <w:spacing w:after="0"/>
              <w:rPr>
                <w:sz w:val="2"/>
                <w:szCs w:val="2"/>
                <w:color w:val="auto"/>
              </w:rPr>
            </w:pPr>
          </w:p>
        </w:tc>
        <w:tc>
          <w:tcPr>
            <w:tcW w:w="336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You must pay the Purchase Price by wire transfer of United States dollars in immediately available funds to the account of the Company specified by the Company in the Closing Notice.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Ventoux CCM Acquisition Corp Subscription Agreement]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77" w:name="page178"/>
    <w:bookmarkEnd w:id="177"/>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ANNEX A</w:t>
      </w:r>
    </w:p>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ELIGIBILITY REPRESENTATIONS OF SUBSCRIBER</w:t>
      </w:r>
    </w:p>
    <w:p>
      <w:pPr>
        <w:spacing w:after="0" w:line="2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This Annex A should be completed and signed by Subscriber</w:t>
      </w:r>
    </w:p>
    <w:p>
      <w:pPr>
        <w:spacing w:after="0" w:line="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and constitutes a part of the Subscription Agreement.</w:t>
      </w:r>
    </w:p>
    <w:p>
      <w:pPr>
        <w:spacing w:after="0" w:line="182" w:lineRule="exact"/>
        <w:rPr>
          <w:sz w:val="20"/>
          <w:szCs w:val="20"/>
          <w:color w:val="auto"/>
        </w:rPr>
      </w:pPr>
    </w:p>
    <w:p>
      <w:pPr>
        <w:ind w:left="564" w:hanging="564"/>
        <w:spacing w:after="0"/>
        <w:tabs>
          <w:tab w:leader="none" w:pos="564"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ACCREDITED INVESTOR STATUS (Please check the box)</w:t>
      </w:r>
    </w:p>
    <w:p>
      <w:pPr>
        <w:spacing w:after="0" w:line="198" w:lineRule="exact"/>
        <w:rPr>
          <w:rFonts w:ascii="Times New Roman" w:cs="Times New Roman" w:eastAsia="Times New Roman" w:hAnsi="Times New Roman"/>
          <w:sz w:val="16"/>
          <w:szCs w:val="16"/>
          <w:color w:val="auto"/>
        </w:rPr>
      </w:pPr>
    </w:p>
    <w:p>
      <w:pPr>
        <w:ind w:left="864" w:right="20" w:hanging="291"/>
        <w:spacing w:after="0" w:line="280" w:lineRule="auto"/>
        <w:tabs>
          <w:tab w:leader="none" w:pos="864" w:val="left"/>
        </w:tabs>
        <w:numPr>
          <w:ilvl w:val="1"/>
          <w:numId w:val="19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Subscriber is an “accredited investor” (within the meaning of Rule 501(a) under the Securities Act) and has marked and initialed the appropriate box below indicating the provision under which it qualifies as an “accredited investor.”</w:t>
      </w:r>
    </w:p>
    <w:p>
      <w:pPr>
        <w:spacing w:after="0" w:line="144" w:lineRule="exact"/>
        <w:rPr>
          <w:rFonts w:ascii="MS PGothic" w:cs="MS PGothic" w:eastAsia="MS PGothic" w:hAnsi="MS PGothic"/>
          <w:sz w:val="16"/>
          <w:szCs w:val="16"/>
          <w:color w:val="auto"/>
        </w:rPr>
      </w:pPr>
    </w:p>
    <w:p>
      <w:pPr>
        <w:ind w:left="564" w:hanging="564"/>
        <w:spacing w:after="0"/>
        <w:tabs>
          <w:tab w:leader="none" w:pos="564"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AFFILIATE STATUS</w:t>
      </w:r>
    </w:p>
    <w:p>
      <w:pPr>
        <w:spacing w:after="0" w:line="23" w:lineRule="exact"/>
        <w:rPr>
          <w:rFonts w:ascii="Times New Roman" w:cs="Times New Roman" w:eastAsia="Times New Roman" w:hAnsi="Times New Roman"/>
          <w:sz w:val="16"/>
          <w:szCs w:val="16"/>
          <w:color w:val="auto"/>
        </w:rPr>
      </w:pPr>
    </w:p>
    <w:p>
      <w:pPr>
        <w:ind w:left="56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(Please check the applicable box)</w:t>
      </w:r>
    </w:p>
    <w:p>
      <w:pPr>
        <w:spacing w:after="0" w:line="181" w:lineRule="exact"/>
        <w:rPr>
          <w:rFonts w:ascii="Times New Roman" w:cs="Times New Roman" w:eastAsia="Times New Roman" w:hAnsi="Times New Roman"/>
          <w:sz w:val="16"/>
          <w:szCs w:val="16"/>
          <w:color w:val="auto"/>
        </w:rPr>
      </w:pPr>
    </w:p>
    <w:p>
      <w:pPr>
        <w:ind w:left="56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w:t>
      </w:r>
    </w:p>
    <w:p>
      <w:pPr>
        <w:spacing w:after="0" w:line="198" w:lineRule="exact"/>
        <w:rPr>
          <w:rFonts w:ascii="Times New Roman" w:cs="Times New Roman" w:eastAsia="Times New Roman" w:hAnsi="Times New Roman"/>
          <w:sz w:val="16"/>
          <w:szCs w:val="16"/>
          <w:color w:val="auto"/>
        </w:rPr>
      </w:pPr>
    </w:p>
    <w:p>
      <w:pPr>
        <w:ind w:left="1144" w:hanging="571"/>
        <w:spacing w:after="0"/>
        <w:tabs>
          <w:tab w:leader="none" w:pos="1144" w:val="left"/>
        </w:tabs>
        <w:numPr>
          <w:ilvl w:val="1"/>
          <w:numId w:val="19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is:</w:t>
      </w:r>
    </w:p>
    <w:p>
      <w:pPr>
        <w:spacing w:after="0" w:line="198" w:lineRule="exact"/>
        <w:rPr>
          <w:rFonts w:ascii="MS PGothic" w:cs="MS PGothic" w:eastAsia="MS PGothic" w:hAnsi="MS PGothic"/>
          <w:sz w:val="16"/>
          <w:szCs w:val="16"/>
          <w:color w:val="auto"/>
        </w:rPr>
      </w:pPr>
    </w:p>
    <w:p>
      <w:pPr>
        <w:ind w:left="1144" w:hanging="571"/>
        <w:spacing w:after="0"/>
        <w:tabs>
          <w:tab w:leader="none" w:pos="1144" w:val="left"/>
        </w:tabs>
        <w:numPr>
          <w:ilvl w:val="1"/>
          <w:numId w:val="19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is not:</w:t>
      </w:r>
    </w:p>
    <w:p>
      <w:pPr>
        <w:spacing w:after="0" w:line="19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an “affiliate” (as defined in Rule 144 under the Securities Act) of the Company or acting on behalf of an affiliate of the Company.</w:t>
      </w:r>
    </w:p>
    <w:p>
      <w:pPr>
        <w:spacing w:after="0" w:line="198" w:lineRule="exact"/>
        <w:rPr>
          <w:sz w:val="20"/>
          <w:szCs w:val="20"/>
          <w:color w:val="auto"/>
        </w:rPr>
      </w:pPr>
    </w:p>
    <w:p>
      <w:pPr>
        <w:jc w:val="both"/>
        <w:ind w:left="4" w:firstLine="574"/>
        <w:spacing w:after="0" w:line="265" w:lineRule="auto"/>
        <w:rPr>
          <w:sz w:val="20"/>
          <w:szCs w:val="20"/>
          <w:color w:val="auto"/>
        </w:rPr>
      </w:pPr>
      <w:r>
        <w:rPr>
          <w:rFonts w:ascii="Times New Roman" w:cs="Times New Roman" w:eastAsia="Times New Roman" w:hAnsi="Times New Roman"/>
          <w:sz w:val="16"/>
          <w:szCs w:val="16"/>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Subscriber has indicated, by marking and initialing the appropriate box below, the provision(s) below which apply to Subscriber and under which Subscriber accordingly qualifies as an “accredited investor.”</w:t>
      </w:r>
    </w:p>
    <w:p>
      <w:pPr>
        <w:spacing w:after="0" w:line="155" w:lineRule="exact"/>
        <w:rPr>
          <w:sz w:val="20"/>
          <w:szCs w:val="20"/>
          <w:color w:val="auto"/>
        </w:rPr>
      </w:pPr>
    </w:p>
    <w:p>
      <w:pPr>
        <w:ind w:left="1144" w:right="20" w:hanging="571"/>
        <w:spacing w:after="0" w:line="280" w:lineRule="auto"/>
        <w:tabs>
          <w:tab w:leader="none" w:pos="1144" w:val="left"/>
        </w:tabs>
        <w:numPr>
          <w:ilvl w:val="0"/>
          <w:numId w:val="19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bank, registered broker or dealer, insurance company, registered investment company, business development company, or small business investment company;</w:t>
      </w:r>
    </w:p>
    <w:p>
      <w:pPr>
        <w:spacing w:after="0" w:line="144" w:lineRule="exact"/>
        <w:rPr>
          <w:rFonts w:ascii="MS PGothic" w:cs="MS PGothic" w:eastAsia="MS PGothic" w:hAnsi="MS PGothic"/>
          <w:sz w:val="16"/>
          <w:szCs w:val="16"/>
          <w:color w:val="auto"/>
        </w:rPr>
      </w:pPr>
    </w:p>
    <w:p>
      <w:pPr>
        <w:ind w:left="1144" w:right="20" w:hanging="571"/>
        <w:spacing w:after="0" w:line="280" w:lineRule="auto"/>
        <w:tabs>
          <w:tab w:leader="none" w:pos="1144" w:val="left"/>
        </w:tabs>
        <w:numPr>
          <w:ilvl w:val="0"/>
          <w:numId w:val="19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44" w:lineRule="exact"/>
        <w:rPr>
          <w:rFonts w:ascii="MS PGothic" w:cs="MS PGothic" w:eastAsia="MS PGothic" w:hAnsi="MS PGothic"/>
          <w:sz w:val="16"/>
          <w:szCs w:val="16"/>
          <w:color w:val="auto"/>
        </w:rPr>
      </w:pPr>
    </w:p>
    <w:p>
      <w:pPr>
        <w:ind w:left="1144" w:right="20" w:hanging="571"/>
        <w:spacing w:after="0" w:line="280" w:lineRule="auto"/>
        <w:tabs>
          <w:tab w:leader="none" w:pos="1144" w:val="left"/>
        </w:tabs>
        <w:numPr>
          <w:ilvl w:val="0"/>
          <w:numId w:val="19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144" w:lineRule="exact"/>
        <w:rPr>
          <w:rFonts w:ascii="MS PGothic" w:cs="MS PGothic" w:eastAsia="MS PGothic" w:hAnsi="MS PGothic"/>
          <w:sz w:val="16"/>
          <w:szCs w:val="16"/>
          <w:color w:val="auto"/>
        </w:rPr>
      </w:pPr>
    </w:p>
    <w:p>
      <w:pPr>
        <w:ind w:left="1144" w:right="20" w:hanging="571"/>
        <w:spacing w:after="0" w:line="280" w:lineRule="auto"/>
        <w:tabs>
          <w:tab w:leader="none" w:pos="1144" w:val="left"/>
        </w:tabs>
        <w:numPr>
          <w:ilvl w:val="0"/>
          <w:numId w:val="19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corporation, similar business trust, partnership or any organization described in Section 501(c)(3) of the Internal Revenue Code, not formed for the specific purpose of acquiring the securities offered, with total assets in excess of $5,000,000;</w:t>
      </w:r>
    </w:p>
    <w:p>
      <w:pPr>
        <w:spacing w:after="0" w:line="144" w:lineRule="exact"/>
        <w:rPr>
          <w:rFonts w:ascii="MS PGothic" w:cs="MS PGothic" w:eastAsia="MS PGothic" w:hAnsi="MS PGothic"/>
          <w:sz w:val="16"/>
          <w:szCs w:val="16"/>
          <w:color w:val="auto"/>
        </w:rPr>
      </w:pPr>
    </w:p>
    <w:p>
      <w:pPr>
        <w:ind w:left="1144" w:hanging="571"/>
        <w:spacing w:after="0"/>
        <w:tabs>
          <w:tab w:leader="none" w:pos="1144" w:val="left"/>
        </w:tabs>
        <w:numPr>
          <w:ilvl w:val="0"/>
          <w:numId w:val="19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trust with assets in excess of $5,000,000, not formed to acquire the securities offered, whose purchase is directed by a sophisticated person;</w:t>
      </w:r>
    </w:p>
    <w:p>
      <w:pPr>
        <w:spacing w:after="0" w:line="198" w:lineRule="exact"/>
        <w:rPr>
          <w:rFonts w:ascii="MS PGothic" w:cs="MS PGothic" w:eastAsia="MS PGothic" w:hAnsi="MS PGothic"/>
          <w:sz w:val="16"/>
          <w:szCs w:val="16"/>
          <w:color w:val="auto"/>
        </w:rPr>
      </w:pPr>
    </w:p>
    <w:p>
      <w:pPr>
        <w:ind w:left="1144" w:hanging="571"/>
        <w:spacing w:after="0"/>
        <w:tabs>
          <w:tab w:leader="none" w:pos="1144" w:val="left"/>
        </w:tabs>
        <w:numPr>
          <w:ilvl w:val="0"/>
          <w:numId w:val="19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entity in which all of the equity owners are accredited investors meeting one or more of the above tests or one of the following tests; or</w:t>
      </w:r>
    </w:p>
    <w:p>
      <w:pPr>
        <w:spacing w:after="0" w:line="198" w:lineRule="exact"/>
        <w:rPr>
          <w:rFonts w:ascii="MS PGothic" w:cs="MS PGothic" w:eastAsia="MS PGothic" w:hAnsi="MS PGothic"/>
          <w:sz w:val="16"/>
          <w:szCs w:val="16"/>
          <w:color w:val="auto"/>
        </w:rPr>
      </w:pPr>
    </w:p>
    <w:p>
      <w:pPr>
        <w:ind w:left="1144" w:right="20" w:hanging="571"/>
        <w:spacing w:after="0" w:line="498" w:lineRule="auto"/>
        <w:tabs>
          <w:tab w:leader="none" w:pos="1144" w:val="left"/>
        </w:tabs>
        <w:numPr>
          <w:ilvl w:val="0"/>
          <w:numId w:val="19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entity of a type not listed above and not formed for the specific purpose of acquiring the securities offered that owns investments in excess of $5,000,000. [Specify which tests: ]</w:t>
      </w:r>
    </w:p>
    <w:p>
      <w:pPr>
        <w:spacing w:after="0" w:line="1" w:lineRule="exact"/>
        <w:rPr>
          <w:sz w:val="20"/>
          <w:szCs w:val="20"/>
          <w:color w:val="auto"/>
        </w:rPr>
      </w:pPr>
    </w:p>
    <w:p>
      <w:pPr>
        <w:ind w:left="6764"/>
        <w:spacing w:after="0"/>
        <w:rPr>
          <w:sz w:val="20"/>
          <w:szCs w:val="20"/>
          <w:color w:val="auto"/>
        </w:rPr>
      </w:pPr>
      <w:r>
        <w:rPr>
          <w:rFonts w:ascii="Times New Roman" w:cs="Times New Roman" w:eastAsia="Times New Roman" w:hAnsi="Times New Roman"/>
          <w:sz w:val="16"/>
          <w:szCs w:val="16"/>
          <w:color w:val="auto"/>
        </w:rPr>
        <w:t>SUBSCRIBER:</w:t>
      </w:r>
    </w:p>
    <w:p>
      <w:pPr>
        <w:spacing w:after="0" w:line="198" w:lineRule="exact"/>
        <w:rPr>
          <w:sz w:val="20"/>
          <w:szCs w:val="20"/>
          <w:color w:val="auto"/>
        </w:rPr>
      </w:pPr>
    </w:p>
    <w:p>
      <w:pPr>
        <w:ind w:left="6764"/>
        <w:spacing w:after="0"/>
        <w:rPr>
          <w:sz w:val="20"/>
          <w:szCs w:val="20"/>
          <w:color w:val="auto"/>
        </w:rPr>
      </w:pPr>
      <w:r>
        <w:rPr>
          <w:rFonts w:ascii="Times New Roman" w:cs="Times New Roman" w:eastAsia="Times New Roman" w:hAnsi="Times New Roman"/>
          <w:sz w:val="16"/>
          <w:szCs w:val="16"/>
          <w:color w:val="auto"/>
        </w:rPr>
        <w:t>Print Name:</w:t>
      </w:r>
    </w:p>
    <w:p>
      <w:pPr>
        <w:spacing w:after="0" w:line="210" w:lineRule="exact"/>
        <w:rPr>
          <w:sz w:val="20"/>
          <w:szCs w:val="20"/>
          <w:color w:val="auto"/>
        </w:rPr>
      </w:pPr>
    </w:p>
    <w:p>
      <w:pPr>
        <w:ind w:left="6764"/>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7620</wp:posOffset>
            </wp:positionV>
            <wp:extent cx="2572385" cy="152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4" w:lineRule="exact"/>
        <w:rPr>
          <w:sz w:val="20"/>
          <w:szCs w:val="20"/>
          <w:color w:val="auto"/>
        </w:rPr>
      </w:pPr>
    </w:p>
    <w:p>
      <w:pPr>
        <w:ind w:left="7204"/>
        <w:spacing w:after="0"/>
        <w:rPr>
          <w:sz w:val="20"/>
          <w:szCs w:val="20"/>
          <w:color w:val="auto"/>
        </w:rPr>
      </w:pPr>
      <w:r>
        <w:rPr>
          <w:rFonts w:ascii="Times New Roman" w:cs="Times New Roman" w:eastAsia="Times New Roman" w:hAnsi="Times New Roman"/>
          <w:sz w:val="16"/>
          <w:szCs w:val="16"/>
          <w:color w:val="auto"/>
        </w:rPr>
        <w:t>Name:</w:t>
      </w:r>
    </w:p>
    <w:p>
      <w:pPr>
        <w:spacing w:after="0" w:line="19" w:lineRule="exact"/>
        <w:rPr>
          <w:sz w:val="20"/>
          <w:szCs w:val="20"/>
          <w:color w:val="auto"/>
        </w:rPr>
      </w:pPr>
    </w:p>
    <w:p>
      <w:pPr>
        <w:ind w:left="7204"/>
        <w:spacing w:after="0"/>
        <w:rPr>
          <w:sz w:val="20"/>
          <w:szCs w:val="20"/>
          <w:color w:val="auto"/>
        </w:rPr>
      </w:pPr>
      <w:r>
        <w:rPr>
          <w:rFonts w:ascii="Times New Roman" w:cs="Times New Roman" w:eastAsia="Times New Roman" w:hAnsi="Times New Roman"/>
          <w:sz w:val="16"/>
          <w:szCs w:val="16"/>
          <w:color w:val="auto"/>
        </w:rPr>
        <w:t>Title:</w:t>
      </w:r>
    </w:p>
    <w:p>
      <w:pPr>
        <w:spacing w:after="0" w:line="37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6"/>
          <w:szCs w:val="16"/>
          <w:b w:val="1"/>
          <w:bCs w:val="1"/>
          <w:color w:val="auto"/>
        </w:rPr>
        <w:t>Exhibit 10.4</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OF AMENDED AND RESTATED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WARRANT AGREEMENT</w:t>
      </w:r>
    </w:p>
    <w:p>
      <w:pPr>
        <w:spacing w:after="0" w:line="180" w:lineRule="exact"/>
        <w:rPr>
          <w:sz w:val="20"/>
          <w:szCs w:val="20"/>
          <w:color w:val="auto"/>
        </w:rPr>
      </w:pPr>
    </w:p>
    <w:p>
      <w:pPr>
        <w:jc w:val="both"/>
        <w:ind w:right="20" w:firstLine="382"/>
        <w:spacing w:after="0" w:line="283" w:lineRule="auto"/>
        <w:rPr>
          <w:sz w:val="20"/>
          <w:szCs w:val="20"/>
          <w:color w:val="auto"/>
        </w:rPr>
      </w:pPr>
      <w:r>
        <w:rPr>
          <w:rFonts w:ascii="Times New Roman" w:cs="Times New Roman" w:eastAsia="Times New Roman" w:hAnsi="Times New Roman"/>
          <w:sz w:val="16"/>
          <w:szCs w:val="16"/>
          <w:color w:val="auto"/>
        </w:rPr>
        <w:t>This AMENDED AND RESTATED WARRANT AGREEMENT (“</w:t>
      </w:r>
      <w:r>
        <w:rPr>
          <w:rFonts w:ascii="Times New Roman" w:cs="Times New Roman" w:eastAsia="Times New Roman" w:hAnsi="Times New Roman"/>
          <w:sz w:val="16"/>
          <w:szCs w:val="16"/>
          <w:b w:val="1"/>
          <w:bCs w:val="1"/>
          <w:color w:val="auto"/>
        </w:rPr>
        <w:t>Warrant Agreement</w:t>
      </w:r>
      <w:r>
        <w:rPr>
          <w:rFonts w:ascii="Times New Roman" w:cs="Times New Roman" w:eastAsia="Times New Roman" w:hAnsi="Times New Roman"/>
          <w:sz w:val="16"/>
          <w:szCs w:val="16"/>
          <w:color w:val="auto"/>
        </w:rPr>
        <w:t>”) is made as of [●], 2022, by and between Ventoux CCM Acquisition Corp., a Delaware corporation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and Continental Stock Transfer &amp; Trust Company (the “</w:t>
      </w:r>
      <w:r>
        <w:rPr>
          <w:rFonts w:ascii="Times New Roman" w:cs="Times New Roman" w:eastAsia="Times New Roman" w:hAnsi="Times New Roman"/>
          <w:sz w:val="16"/>
          <w:szCs w:val="16"/>
          <w:b w:val="1"/>
          <w:bCs w:val="1"/>
          <w:color w:val="auto"/>
        </w:rPr>
        <w:t>Warrant Agent</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jc w:val="both"/>
        <w:ind w:firstLine="382"/>
        <w:spacing w:after="0" w:line="260" w:lineRule="auto"/>
        <w:rPr>
          <w:sz w:val="20"/>
          <w:szCs w:val="20"/>
          <w:color w:val="auto"/>
        </w:rPr>
      </w:pPr>
      <w:r>
        <w:rPr>
          <w:rFonts w:ascii="Times New Roman" w:cs="Times New Roman" w:eastAsia="Times New Roman" w:hAnsi="Times New Roman"/>
          <w:sz w:val="16"/>
          <w:szCs w:val="16"/>
          <w:color w:val="auto"/>
        </w:rPr>
        <w:t>WHEREAS, the Company completed an initial public offering (the “</w:t>
      </w:r>
      <w:r>
        <w:rPr>
          <w:rFonts w:ascii="Times New Roman" w:cs="Times New Roman" w:eastAsia="Times New Roman" w:hAnsi="Times New Roman"/>
          <w:sz w:val="16"/>
          <w:szCs w:val="16"/>
          <w:b w:val="1"/>
          <w:bCs w:val="1"/>
          <w:color w:val="auto"/>
        </w:rPr>
        <w:t>Public Offering</w:t>
      </w:r>
      <w:r>
        <w:rPr>
          <w:rFonts w:ascii="Times New Roman" w:cs="Times New Roman" w:eastAsia="Times New Roman" w:hAnsi="Times New Roman"/>
          <w:sz w:val="16"/>
          <w:szCs w:val="16"/>
          <w:color w:val="auto"/>
        </w:rPr>
        <w:t>”) of 17,250,000 units (the “</w:t>
      </w:r>
      <w:r>
        <w:rPr>
          <w:rFonts w:ascii="Times New Roman" w:cs="Times New Roman" w:eastAsia="Times New Roman" w:hAnsi="Times New Roman"/>
          <w:sz w:val="16"/>
          <w:szCs w:val="16"/>
          <w:b w:val="1"/>
          <w:bCs w:val="1"/>
          <w:color w:val="auto"/>
        </w:rPr>
        <w:t>Units</w:t>
      </w:r>
      <w:r>
        <w:rPr>
          <w:rFonts w:ascii="Times New Roman" w:cs="Times New Roman" w:eastAsia="Times New Roman" w:hAnsi="Times New Roman"/>
          <w:sz w:val="16"/>
          <w:szCs w:val="16"/>
          <w:color w:val="auto"/>
        </w:rPr>
        <w:t>”) of the Company, inclusive of the underwriters’ exercise of their over-allotment option in full, each Unit consisting of one share of common stock, par value $0.0001 per share (the “</w:t>
      </w:r>
      <w:r>
        <w:rPr>
          <w:rFonts w:ascii="Times New Roman" w:cs="Times New Roman" w:eastAsia="Times New Roman" w:hAnsi="Times New Roman"/>
          <w:sz w:val="16"/>
          <w:szCs w:val="16"/>
          <w:b w:val="1"/>
          <w:bCs w:val="1"/>
          <w:color w:val="auto"/>
        </w:rPr>
        <w:t>Common Stock</w:t>
      </w:r>
      <w:r>
        <w:rPr>
          <w:rFonts w:ascii="Times New Roman" w:cs="Times New Roman" w:eastAsia="Times New Roman" w:hAnsi="Times New Roman"/>
          <w:sz w:val="16"/>
          <w:szCs w:val="16"/>
          <w:color w:val="auto"/>
        </w:rPr>
        <w:t>”), one right to receive one-twentieth of one share of Common Stock, and one warrant (the “</w:t>
      </w:r>
      <w:r>
        <w:rPr>
          <w:rFonts w:ascii="Times New Roman" w:cs="Times New Roman" w:eastAsia="Times New Roman" w:hAnsi="Times New Roman"/>
          <w:sz w:val="16"/>
          <w:szCs w:val="16"/>
          <w:b w:val="1"/>
          <w:bCs w:val="1"/>
          <w:color w:val="auto"/>
        </w:rPr>
        <w:t>Public Warrant</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Public Warrants</w:t>
      </w:r>
      <w:r>
        <w:rPr>
          <w:rFonts w:ascii="Times New Roman" w:cs="Times New Roman" w:eastAsia="Times New Roman" w:hAnsi="Times New Roman"/>
          <w:sz w:val="16"/>
          <w:szCs w:val="16"/>
          <w:color w:val="auto"/>
        </w:rPr>
        <w:t>”), each whole Public Warrant entitling its holder to purchase one-half of one share of Common Stock (the “</w:t>
      </w:r>
      <w:r>
        <w:rPr>
          <w:rFonts w:ascii="Times New Roman" w:cs="Times New Roman" w:eastAsia="Times New Roman" w:hAnsi="Times New Roman"/>
          <w:sz w:val="16"/>
          <w:szCs w:val="16"/>
          <w:b w:val="1"/>
          <w:bCs w:val="1"/>
          <w:color w:val="auto"/>
        </w:rPr>
        <w:t>Public Warrant Shares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p>
      <w:pPr>
        <w:spacing w:after="0" w:line="159"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6"/>
          <w:szCs w:val="16"/>
          <w:color w:val="auto"/>
        </w:rPr>
        <w:t>WHEREAS, the Company entered into Subscription Agreements dated as of December 23, 2020 (collectively, the “</w:t>
      </w:r>
      <w:r>
        <w:rPr>
          <w:rFonts w:ascii="Times New Roman" w:cs="Times New Roman" w:eastAsia="Times New Roman" w:hAnsi="Times New Roman"/>
          <w:sz w:val="16"/>
          <w:szCs w:val="16"/>
          <w:b w:val="1"/>
          <w:bCs w:val="1"/>
          <w:color w:val="auto"/>
        </w:rPr>
        <w:t>Subscription Agreements</w:t>
      </w:r>
      <w:r>
        <w:rPr>
          <w:rFonts w:ascii="Times New Roman" w:cs="Times New Roman" w:eastAsia="Times New Roman" w:hAnsi="Times New Roman"/>
          <w:sz w:val="16"/>
          <w:szCs w:val="16"/>
          <w:color w:val="auto"/>
        </w:rPr>
        <w:t>”), with Ventoux Acquisition Holdings LLC (the “</w:t>
      </w:r>
      <w:r>
        <w:rPr>
          <w:rFonts w:ascii="Times New Roman" w:cs="Times New Roman" w:eastAsia="Times New Roman" w:hAnsi="Times New Roman"/>
          <w:sz w:val="16"/>
          <w:szCs w:val="16"/>
          <w:b w:val="1"/>
          <w:bCs w:val="1"/>
          <w:color w:val="auto"/>
        </w:rPr>
        <w:t>Co-Sponsor</w:t>
      </w:r>
      <w:r>
        <w:rPr>
          <w:rFonts w:ascii="Times New Roman" w:cs="Times New Roman" w:eastAsia="Times New Roman" w:hAnsi="Times New Roman"/>
          <w:sz w:val="16"/>
          <w:szCs w:val="16"/>
          <w:color w:val="auto"/>
        </w:rPr>
        <w:t>”) and Chardan International Investments, LLC (the “</w:t>
      </w:r>
      <w:r>
        <w:rPr>
          <w:rFonts w:ascii="Times New Roman" w:cs="Times New Roman" w:eastAsia="Times New Roman" w:hAnsi="Times New Roman"/>
          <w:sz w:val="16"/>
          <w:szCs w:val="16"/>
          <w:b w:val="1"/>
          <w:bCs w:val="1"/>
          <w:color w:val="auto"/>
        </w:rPr>
        <w:t>Co-Sponsor II</w:t>
      </w:r>
      <w:r>
        <w:rPr>
          <w:rFonts w:ascii="Times New Roman" w:cs="Times New Roman" w:eastAsia="Times New Roman" w:hAnsi="Times New Roman"/>
          <w:sz w:val="16"/>
          <w:szCs w:val="16"/>
          <w:color w:val="auto"/>
        </w:rPr>
        <w:t>”, and together with the Co-Sponsor, the “</w:t>
      </w:r>
      <w:r>
        <w:rPr>
          <w:rFonts w:ascii="Times New Roman" w:cs="Times New Roman" w:eastAsia="Times New Roman" w:hAnsi="Times New Roman"/>
          <w:sz w:val="16"/>
          <w:szCs w:val="16"/>
          <w:b w:val="1"/>
          <w:bCs w:val="1"/>
          <w:color w:val="auto"/>
        </w:rPr>
        <w:t>Sponsors</w:t>
      </w:r>
      <w:r>
        <w:rPr>
          <w:rFonts w:ascii="Times New Roman" w:cs="Times New Roman" w:eastAsia="Times New Roman" w:hAnsi="Times New Roman"/>
          <w:sz w:val="16"/>
          <w:szCs w:val="16"/>
          <w:color w:val="auto"/>
        </w:rPr>
        <w:t>”), pursuant to which the Co-Sponsor purchased 4,450,000 warrants and the Co-Sponsor II purchased 2,225,000 warrants, for an aggregate purchase of 6,675,000 warrants, each for a purchase price of $1.00 per warrant (the “</w:t>
      </w:r>
      <w:r>
        <w:rPr>
          <w:rFonts w:ascii="Times New Roman" w:cs="Times New Roman" w:eastAsia="Times New Roman" w:hAnsi="Times New Roman"/>
          <w:sz w:val="16"/>
          <w:szCs w:val="16"/>
          <w:b w:val="1"/>
          <w:bCs w:val="1"/>
          <w:color w:val="auto"/>
        </w:rPr>
        <w:t>Private Warrants</w:t>
      </w:r>
      <w:r>
        <w:rPr>
          <w:rFonts w:ascii="Times New Roman" w:cs="Times New Roman" w:eastAsia="Times New Roman" w:hAnsi="Times New Roman"/>
          <w:sz w:val="16"/>
          <w:szCs w:val="16"/>
          <w:color w:val="auto"/>
        </w:rPr>
        <w:t>”, together with the Public Warrants, the “</w:t>
      </w:r>
      <w:r>
        <w:rPr>
          <w:rFonts w:ascii="Times New Roman" w:cs="Times New Roman" w:eastAsia="Times New Roman" w:hAnsi="Times New Roman"/>
          <w:sz w:val="16"/>
          <w:szCs w:val="16"/>
          <w:b w:val="1"/>
          <w:bCs w:val="1"/>
          <w:color w:val="auto"/>
        </w:rPr>
        <w:t>Initial Warrants</w:t>
      </w:r>
      <w:r>
        <w:rPr>
          <w:rFonts w:ascii="Times New Roman" w:cs="Times New Roman" w:eastAsia="Times New Roman" w:hAnsi="Times New Roman"/>
          <w:sz w:val="16"/>
          <w:szCs w:val="16"/>
          <w:color w:val="auto"/>
        </w:rPr>
        <w:t>”), each whole Private Warrant entitling its holder to purchase one share of Common Stock (“</w:t>
      </w:r>
      <w:r>
        <w:rPr>
          <w:rFonts w:ascii="Times New Roman" w:cs="Times New Roman" w:eastAsia="Times New Roman" w:hAnsi="Times New Roman"/>
          <w:sz w:val="16"/>
          <w:szCs w:val="16"/>
          <w:b w:val="1"/>
          <w:bCs w:val="1"/>
          <w:color w:val="auto"/>
        </w:rPr>
        <w:t>Private Warrant Shares</w:t>
      </w:r>
      <w:r>
        <w:rPr>
          <w:rFonts w:ascii="Times New Roman" w:cs="Times New Roman" w:eastAsia="Times New Roman" w:hAnsi="Times New Roman"/>
          <w:sz w:val="16"/>
          <w:szCs w:val="16"/>
          <w:color w:val="auto"/>
        </w:rPr>
        <w:t>”, and together with the Public Warrant Shares, the “</w:t>
      </w:r>
      <w:r>
        <w:rPr>
          <w:rFonts w:ascii="Times New Roman" w:cs="Times New Roman" w:eastAsia="Times New Roman" w:hAnsi="Times New Roman"/>
          <w:sz w:val="16"/>
          <w:szCs w:val="16"/>
          <w:b w:val="1"/>
          <w:bCs w:val="1"/>
          <w:color w:val="auto"/>
        </w:rPr>
        <w:t>Initial Warrant Shares</w:t>
      </w:r>
      <w:r>
        <w:rPr>
          <w:rFonts w:ascii="Times New Roman" w:cs="Times New Roman" w:eastAsia="Times New Roman" w:hAnsi="Times New Roman"/>
          <w:sz w:val="16"/>
          <w:szCs w:val="16"/>
          <w:color w:val="auto"/>
        </w:rPr>
        <w:t>”);</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WHEREAS, the Company, Co-Sponsor and Co-Sponsor II desire to cancel 900,000 of the Private Warrants on a pro-rata basis between Co-Sponsor and Co-Sponsor II;</w:t>
      </w:r>
    </w:p>
    <w:p>
      <w:pPr>
        <w:spacing w:after="0" w:line="196" w:lineRule="exact"/>
        <w:rPr>
          <w:sz w:val="20"/>
          <w:szCs w:val="20"/>
          <w:color w:val="auto"/>
        </w:rPr>
      </w:pPr>
    </w:p>
    <w:p>
      <w:pPr>
        <w:jc w:val="both"/>
        <w:ind w:right="20" w:firstLine="382"/>
        <w:spacing w:after="0" w:line="266" w:lineRule="auto"/>
        <w:rPr>
          <w:sz w:val="20"/>
          <w:szCs w:val="20"/>
          <w:color w:val="auto"/>
        </w:rPr>
      </w:pPr>
      <w:r>
        <w:rPr>
          <w:rFonts w:ascii="Times New Roman" w:cs="Times New Roman" w:eastAsia="Times New Roman" w:hAnsi="Times New Roman"/>
          <w:sz w:val="16"/>
          <w:szCs w:val="16"/>
          <w:color w:val="auto"/>
        </w:rPr>
        <w:t>WHEREAS, the Company and Warrant Agent entered into that certain Warrant Agreement, dated as of December 23, 2020 (the “</w:t>
      </w:r>
      <w:r>
        <w:rPr>
          <w:rFonts w:ascii="Times New Roman" w:cs="Times New Roman" w:eastAsia="Times New Roman" w:hAnsi="Times New Roman"/>
          <w:sz w:val="16"/>
          <w:szCs w:val="16"/>
          <w:b w:val="1"/>
          <w:bCs w:val="1"/>
          <w:color w:val="auto"/>
        </w:rPr>
        <w:t>Original Warrant Agreement</w:t>
      </w:r>
      <w:r>
        <w:rPr>
          <w:rFonts w:ascii="Times New Roman" w:cs="Times New Roman" w:eastAsia="Times New Roman" w:hAnsi="Times New Roman"/>
          <w:sz w:val="16"/>
          <w:szCs w:val="16"/>
          <w:color w:val="auto"/>
        </w:rPr>
        <w:t>”), which provides for the form and provisions of the Initial Warrants, the terms upon which they shall be issued and exercised, and the respective rights, limitations of rights, and immunities of the Company, the Warrant Agent and the holders of the Initial Warrants;</w:t>
      </w:r>
    </w:p>
    <w:p>
      <w:pPr>
        <w:spacing w:after="0" w:line="153" w:lineRule="exact"/>
        <w:rPr>
          <w:sz w:val="20"/>
          <w:szCs w:val="20"/>
          <w:color w:val="auto"/>
        </w:rPr>
      </w:pPr>
    </w:p>
    <w:p>
      <w:pPr>
        <w:jc w:val="both"/>
        <w:ind w:firstLine="382"/>
        <w:spacing w:after="0" w:line="266" w:lineRule="auto"/>
        <w:rPr>
          <w:sz w:val="20"/>
          <w:szCs w:val="20"/>
          <w:color w:val="auto"/>
        </w:rPr>
      </w:pPr>
      <w:r>
        <w:rPr>
          <w:rFonts w:ascii="Times New Roman" w:cs="Times New Roman" w:eastAsia="Times New Roman" w:hAnsi="Times New Roman"/>
          <w:sz w:val="16"/>
          <w:szCs w:val="16"/>
          <w:color w:val="auto"/>
        </w:rPr>
        <w:t>WHEREAS, the Company has filed with the Securities and Exchange Commission (the “</w:t>
      </w:r>
      <w:r>
        <w:rPr>
          <w:rFonts w:ascii="Times New Roman" w:cs="Times New Roman" w:eastAsia="Times New Roman" w:hAnsi="Times New Roman"/>
          <w:sz w:val="16"/>
          <w:szCs w:val="16"/>
          <w:b w:val="1"/>
          <w:bCs w:val="1"/>
          <w:color w:val="auto"/>
        </w:rPr>
        <w:t>SEC</w:t>
      </w:r>
      <w:r>
        <w:rPr>
          <w:rFonts w:ascii="Times New Roman" w:cs="Times New Roman" w:eastAsia="Times New Roman" w:hAnsi="Times New Roman"/>
          <w:sz w:val="16"/>
          <w:szCs w:val="16"/>
          <w:color w:val="auto"/>
        </w:rPr>
        <w:t>”), and the SEC has declared effective, a Registration Statement on Form S-1, No. 333-251048 (“</w:t>
      </w:r>
      <w:r>
        <w:rPr>
          <w:rFonts w:ascii="Times New Roman" w:cs="Times New Roman" w:eastAsia="Times New Roman" w:hAnsi="Times New Roman"/>
          <w:sz w:val="16"/>
          <w:szCs w:val="16"/>
          <w:b w:val="1"/>
          <w:bCs w:val="1"/>
          <w:color w:val="auto"/>
        </w:rPr>
        <w:t>Registration Statement</w:t>
      </w:r>
      <w:r>
        <w:rPr>
          <w:rFonts w:ascii="Times New Roman" w:cs="Times New Roman" w:eastAsia="Times New Roman" w:hAnsi="Times New Roman"/>
          <w:sz w:val="16"/>
          <w:szCs w:val="16"/>
          <w:color w:val="auto"/>
        </w:rPr>
        <w:t>”), for the registration, under the Securities Act of 1933, as amended (the “</w:t>
      </w:r>
      <w:r>
        <w:rPr>
          <w:rFonts w:ascii="Times New Roman" w:cs="Times New Roman" w:eastAsia="Times New Roman" w:hAnsi="Times New Roman"/>
          <w:sz w:val="16"/>
          <w:szCs w:val="16"/>
          <w:b w:val="1"/>
          <w:bCs w:val="1"/>
          <w:color w:val="auto"/>
        </w:rPr>
        <w:t>Act</w:t>
      </w:r>
      <w:r>
        <w:rPr>
          <w:rFonts w:ascii="Times New Roman" w:cs="Times New Roman" w:eastAsia="Times New Roman" w:hAnsi="Times New Roman"/>
          <w:sz w:val="16"/>
          <w:szCs w:val="16"/>
          <w:color w:val="auto"/>
        </w:rPr>
        <w:t>”) relating to the issuance of, among other securities, the Public Warrants;</w:t>
      </w:r>
    </w:p>
    <w:p>
      <w:pPr>
        <w:spacing w:after="0" w:line="153" w:lineRule="exact"/>
        <w:rPr>
          <w:sz w:val="20"/>
          <w:szCs w:val="20"/>
          <w:color w:val="auto"/>
        </w:rPr>
      </w:pPr>
    </w:p>
    <w:p>
      <w:pPr>
        <w:jc w:val="both"/>
        <w:ind w:right="20" w:firstLine="382"/>
        <w:spacing w:after="0" w:line="257" w:lineRule="auto"/>
        <w:rPr>
          <w:sz w:val="20"/>
          <w:szCs w:val="20"/>
          <w:color w:val="auto"/>
        </w:rPr>
      </w:pPr>
      <w:r>
        <w:rPr>
          <w:rFonts w:ascii="Times New Roman" w:cs="Times New Roman" w:eastAsia="Times New Roman" w:hAnsi="Times New Roman"/>
          <w:sz w:val="16"/>
          <w:szCs w:val="16"/>
          <w:color w:val="auto"/>
        </w:rPr>
        <w:t>WHEREAS, the Company, Ventoux Merger Sub I, Inc. (“</w:t>
      </w:r>
      <w:r>
        <w:rPr>
          <w:rFonts w:ascii="Times New Roman" w:cs="Times New Roman" w:eastAsia="Times New Roman" w:hAnsi="Times New Roman"/>
          <w:sz w:val="16"/>
          <w:szCs w:val="16"/>
          <w:b w:val="1"/>
          <w:bCs w:val="1"/>
          <w:color w:val="auto"/>
        </w:rPr>
        <w:t>First Merger Sub</w:t>
      </w:r>
      <w:r>
        <w:rPr>
          <w:rFonts w:ascii="Times New Roman" w:cs="Times New Roman" w:eastAsia="Times New Roman" w:hAnsi="Times New Roman"/>
          <w:sz w:val="16"/>
          <w:szCs w:val="16"/>
          <w:color w:val="auto"/>
        </w:rPr>
        <w:t>”), Ventoux Merger Sub II, LLC (“</w:t>
      </w:r>
      <w:r>
        <w:rPr>
          <w:rFonts w:ascii="Times New Roman" w:cs="Times New Roman" w:eastAsia="Times New Roman" w:hAnsi="Times New Roman"/>
          <w:sz w:val="16"/>
          <w:szCs w:val="16"/>
          <w:b w:val="1"/>
          <w:bCs w:val="1"/>
          <w:color w:val="auto"/>
        </w:rPr>
        <w:t>Second Merger Sub</w:t>
      </w:r>
      <w:r>
        <w:rPr>
          <w:rFonts w:ascii="Times New Roman" w:cs="Times New Roman" w:eastAsia="Times New Roman" w:hAnsi="Times New Roman"/>
          <w:sz w:val="16"/>
          <w:szCs w:val="16"/>
          <w:color w:val="auto"/>
        </w:rPr>
        <w:t>”) and E La Carte, Inc. (the “</w:t>
      </w:r>
      <w:r>
        <w:rPr>
          <w:rFonts w:ascii="Times New Roman" w:cs="Times New Roman" w:eastAsia="Times New Roman" w:hAnsi="Times New Roman"/>
          <w:sz w:val="16"/>
          <w:szCs w:val="16"/>
          <w:b w:val="1"/>
          <w:bCs w:val="1"/>
          <w:color w:val="auto"/>
        </w:rPr>
        <w:t>Target</w:t>
      </w:r>
      <w:r>
        <w:rPr>
          <w:rFonts w:ascii="Times New Roman" w:cs="Times New Roman" w:eastAsia="Times New Roman" w:hAnsi="Times New Roman"/>
          <w:sz w:val="16"/>
          <w:szCs w:val="16"/>
          <w:color w:val="auto"/>
        </w:rPr>
        <w:t>”) have entered into that certain Agreement and Plan of Merger, dated as of November 10, 2021 (as amended, the “</w:t>
      </w:r>
      <w:r>
        <w:rPr>
          <w:rFonts w:ascii="Times New Roman" w:cs="Times New Roman" w:eastAsia="Times New Roman" w:hAnsi="Times New Roman"/>
          <w:sz w:val="16"/>
          <w:szCs w:val="16"/>
          <w:b w:val="1"/>
          <w:bCs w:val="1"/>
          <w:color w:val="auto"/>
        </w:rPr>
        <w:t>Merger Agreement</w:t>
      </w:r>
      <w:r>
        <w:rPr>
          <w:rFonts w:ascii="Times New Roman" w:cs="Times New Roman" w:eastAsia="Times New Roman" w:hAnsi="Times New Roman"/>
          <w:sz w:val="16"/>
          <w:szCs w:val="16"/>
          <w:color w:val="auto"/>
        </w:rPr>
        <w:t>”), pursuant to which (and subject to the terms and conditions set forth therein) First Merger Sub will merge with and into the Target, with the Target surviving such merger as a wholly-owned subsidiary of the Company (the “</w:t>
      </w:r>
      <w:r>
        <w:rPr>
          <w:rFonts w:ascii="Times New Roman" w:cs="Times New Roman" w:eastAsia="Times New Roman" w:hAnsi="Times New Roman"/>
          <w:sz w:val="16"/>
          <w:szCs w:val="16"/>
          <w:b w:val="1"/>
          <w:bCs w:val="1"/>
          <w:color w:val="auto"/>
        </w:rPr>
        <w:t>First Merger</w:t>
      </w:r>
      <w:r>
        <w:rPr>
          <w:rFonts w:ascii="Times New Roman" w:cs="Times New Roman" w:eastAsia="Times New Roman" w:hAnsi="Times New Roman"/>
          <w:sz w:val="16"/>
          <w:szCs w:val="16"/>
          <w:color w:val="auto"/>
        </w:rPr>
        <w:t>”), and immediately following the First Merger, the surviving corporation will merge with and into Second Merger Sub, with Second Merger Sub continuing on as the surviving entity as a wholly-owned subsidiary of the Company (the merger transactions collectively referred to as the “</w:t>
      </w:r>
      <w:r>
        <w:rPr>
          <w:rFonts w:ascii="Times New Roman" w:cs="Times New Roman" w:eastAsia="Times New Roman" w:hAnsi="Times New Roman"/>
          <w:sz w:val="16"/>
          <w:szCs w:val="16"/>
          <w:b w:val="1"/>
          <w:bCs w:val="1"/>
          <w:color w:val="auto"/>
        </w:rPr>
        <w:t>Merger</w:t>
      </w:r>
      <w:r>
        <w:rPr>
          <w:rFonts w:ascii="Times New Roman" w:cs="Times New Roman" w:eastAsia="Times New Roman" w:hAnsi="Times New Roman"/>
          <w:sz w:val="16"/>
          <w:szCs w:val="16"/>
          <w:color w:val="auto"/>
        </w:rPr>
        <w:t>”);</w:t>
      </w:r>
    </w:p>
    <w:p>
      <w:pPr>
        <w:spacing w:after="0" w:line="164"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6"/>
          <w:szCs w:val="16"/>
          <w:color w:val="auto"/>
        </w:rPr>
        <w:t>WHEREAS, the Company has, concurrently with entering into the Merger Agreement, entered into a Subscription Agreement, dated as of November 10, 2021 (as amended, the “</w:t>
      </w:r>
      <w:r>
        <w:rPr>
          <w:rFonts w:ascii="Times New Roman" w:cs="Times New Roman" w:eastAsia="Times New Roman" w:hAnsi="Times New Roman"/>
          <w:sz w:val="16"/>
          <w:szCs w:val="16"/>
          <w:b w:val="1"/>
          <w:bCs w:val="1"/>
          <w:i w:val="1"/>
          <w:iCs w:val="1"/>
          <w:color w:val="auto"/>
        </w:rPr>
        <w:t>Subscription Agreement</w:t>
      </w:r>
      <w:r>
        <w:rPr>
          <w:rFonts w:ascii="Times New Roman" w:cs="Times New Roman" w:eastAsia="Times New Roman" w:hAnsi="Times New Roman"/>
          <w:sz w:val="16"/>
          <w:szCs w:val="16"/>
          <w:color w:val="auto"/>
        </w:rPr>
        <w:t>”) with a certain investor (the “</w:t>
      </w:r>
      <w:r>
        <w:rPr>
          <w:rFonts w:ascii="Times New Roman" w:cs="Times New Roman" w:eastAsia="Times New Roman" w:hAnsi="Times New Roman"/>
          <w:sz w:val="16"/>
          <w:szCs w:val="16"/>
          <w:b w:val="1"/>
          <w:bCs w:val="1"/>
          <w:i w:val="1"/>
          <w:iCs w:val="1"/>
          <w:color w:val="auto"/>
        </w:rPr>
        <w:t>Subscriber</w:t>
      </w:r>
      <w:r>
        <w:rPr>
          <w:rFonts w:ascii="Times New Roman" w:cs="Times New Roman" w:eastAsia="Times New Roman" w:hAnsi="Times New Roman"/>
          <w:sz w:val="16"/>
          <w:szCs w:val="16"/>
          <w:color w:val="auto"/>
        </w:rPr>
        <w:t>”), pursuant to which the Subscriber has agreed to subscribe for and purchase, and the Company has agreed to issue and sell to the Subscriber, effective as of immediately prior to the effective time of the Merger, (a) an aggregate principal amount of $25,000,000 of Company’s 15.0% Cash + 5.0% PIK notes due 2026 (the “</w:t>
      </w:r>
      <w:r>
        <w:rPr>
          <w:rFonts w:ascii="Times New Roman" w:cs="Times New Roman" w:eastAsia="Times New Roman" w:hAnsi="Times New Roman"/>
          <w:sz w:val="16"/>
          <w:szCs w:val="16"/>
          <w:b w:val="1"/>
          <w:bCs w:val="1"/>
          <w:color w:val="auto"/>
        </w:rPr>
        <w:t>Notes</w:t>
      </w:r>
      <w:r>
        <w:rPr>
          <w:rFonts w:ascii="Times New Roman" w:cs="Times New Roman" w:eastAsia="Times New Roman" w:hAnsi="Times New Roman"/>
          <w:sz w:val="16"/>
          <w:szCs w:val="16"/>
          <w:color w:val="auto"/>
        </w:rPr>
        <w:t>”), which are convertible into shares of Common Stock, and (b) warrants to purchase an aggregate of 1,500,000 shares of Common Stock (the “</w:t>
      </w:r>
      <w:r>
        <w:rPr>
          <w:rFonts w:ascii="Times New Roman" w:cs="Times New Roman" w:eastAsia="Times New Roman" w:hAnsi="Times New Roman"/>
          <w:sz w:val="16"/>
          <w:szCs w:val="16"/>
          <w:b w:val="1"/>
          <w:bCs w:val="1"/>
          <w:color w:val="auto"/>
        </w:rPr>
        <w:t>Notes Warrant Shares</w:t>
      </w:r>
      <w:r>
        <w:rPr>
          <w:rFonts w:ascii="Times New Roman" w:cs="Times New Roman" w:eastAsia="Times New Roman" w:hAnsi="Times New Roman"/>
          <w:sz w:val="16"/>
          <w:szCs w:val="16"/>
          <w:color w:val="auto"/>
        </w:rPr>
        <w:t>” and together with the Initial Warrant Shares, the “</w:t>
      </w:r>
      <w:r>
        <w:rPr>
          <w:rFonts w:ascii="Times New Roman" w:cs="Times New Roman" w:eastAsia="Times New Roman" w:hAnsi="Times New Roman"/>
          <w:sz w:val="16"/>
          <w:szCs w:val="16"/>
          <w:b w:val="1"/>
          <w:bCs w:val="1"/>
          <w:color w:val="auto"/>
        </w:rPr>
        <w:t>Warrant Shares</w:t>
      </w:r>
      <w:r>
        <w:rPr>
          <w:rFonts w:ascii="Times New Roman" w:cs="Times New Roman" w:eastAsia="Times New Roman" w:hAnsi="Times New Roman"/>
          <w:sz w:val="16"/>
          <w:szCs w:val="16"/>
          <w:color w:val="auto"/>
        </w:rPr>
        <w:t>”) for an initial exercise price of $11.50 per share of Common Stock (the “</w:t>
      </w:r>
      <w:r>
        <w:rPr>
          <w:rFonts w:ascii="Times New Roman" w:cs="Times New Roman" w:eastAsia="Times New Roman" w:hAnsi="Times New Roman"/>
          <w:sz w:val="16"/>
          <w:szCs w:val="16"/>
          <w:b w:val="1"/>
          <w:bCs w:val="1"/>
          <w:color w:val="auto"/>
        </w:rPr>
        <w:t>Note Financing Warrants</w:t>
      </w:r>
      <w:r>
        <w:rPr>
          <w:rFonts w:ascii="Times New Roman" w:cs="Times New Roman" w:eastAsia="Times New Roman" w:hAnsi="Times New Roman"/>
          <w:sz w:val="16"/>
          <w:szCs w:val="16"/>
          <w:color w:val="auto"/>
        </w:rPr>
        <w:t>” and, together with the Initial Warrants, the “</w:t>
      </w:r>
      <w:r>
        <w:rPr>
          <w:rFonts w:ascii="Times New Roman" w:cs="Times New Roman" w:eastAsia="Times New Roman" w:hAnsi="Times New Roman"/>
          <w:sz w:val="16"/>
          <w:szCs w:val="16"/>
          <w:b w:val="1"/>
          <w:bCs w:val="1"/>
          <w:color w:val="auto"/>
        </w:rPr>
        <w:t>Warrants</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373380</wp:posOffset>
            </wp:positionV>
            <wp:extent cx="7148195" cy="152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79" w:name="page180"/>
    <w:bookmarkEnd w:id="179"/>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WHEREAS, each Public Warrant entitles the holder thereof to purchase one-half of one share of Common Stock at a price of $8.21 per whole share; and each Private Warrant and Note Financing Warrant entitles the holder thereof to purchase one share of Common Stock for $11.50 per share, subject to adjustment as described herein;</w:t>
      </w:r>
    </w:p>
    <w:p>
      <w:pPr>
        <w:spacing w:after="0" w:line="144"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WHEREAS, the Company desires the Warrant Agent to act on behalf of the Company, and the Warrant Agent is willing to so act, in connection with the issuance, registration, transfer, exchange, redemption and exercise of the Warrants;</w:t>
      </w:r>
    </w:p>
    <w:p>
      <w:pPr>
        <w:spacing w:after="0" w:line="144"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WHEREAS, the Company desires to provide for the form, terms and provisions of the Warrants, including the terms upon which they shall be issued and exercised, and the respective rights, limitation of rights, and immunities of the Company, the Warrant Agent, and the holders of the Warrants;</w:t>
      </w:r>
    </w:p>
    <w:p>
      <w:pPr>
        <w:spacing w:after="0" w:line="144"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WHEREAS, in connection with the foregoing, the Company and the Warrant Agent desire to amend and restate the Original Warrant Agreement in the form of this Agreement, in accordance with Section 9.8 of the Original Warrant Agreement, such that this Agreement will take effect and supersede the Original Warrant Agreement in its entirety as of immediately prior to the effective time of the Merger (concurrently with the issuance of the Note Financing Warrants); and</w:t>
      </w:r>
    </w:p>
    <w:p>
      <w:pPr>
        <w:spacing w:after="0" w:line="155"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WHEREAS, all acts and things have been done and performed which are necessary to make the Warrants, when executed on behalf of the Company and countersigned by or on behalf of the Warrant Agent, as provided herein, the legally valid and binding obligations of the Company, and to authorize the execution and delivery of this Warrant Agreement.</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NOW, THEREFORE, in consideration of the mutual agreements herein contained, the parties hereto agree as follows:</w:t>
      </w:r>
    </w:p>
    <w:p>
      <w:pPr>
        <w:spacing w:after="0" w:line="198" w:lineRule="exact"/>
        <w:rPr>
          <w:sz w:val="20"/>
          <w:szCs w:val="20"/>
          <w:color w:val="auto"/>
        </w:rPr>
      </w:pPr>
    </w:p>
    <w:p>
      <w:pPr>
        <w:ind w:right="20" w:firstLine="378"/>
        <w:spacing w:after="0" w:line="280" w:lineRule="auto"/>
        <w:tabs>
          <w:tab w:leader="none" w:pos="554"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Appointment of Warrant Agent</w:t>
      </w:r>
      <w:r>
        <w:rPr>
          <w:rFonts w:ascii="Times New Roman" w:cs="Times New Roman" w:eastAsia="Times New Roman" w:hAnsi="Times New Roman"/>
          <w:sz w:val="16"/>
          <w:szCs w:val="16"/>
          <w:color w:val="auto"/>
        </w:rPr>
        <w:t>. The Company hereby appoints the Warrant Agent to act as agent for the Company for the Warrants, and the Warrant Agent hereby accepts such appointment and agrees to perform the same in accordance with the terms and conditions set forth in this Warrant Agreement.</w:t>
      </w:r>
    </w:p>
    <w:p>
      <w:pPr>
        <w:spacing w:after="0" w:line="144" w:lineRule="exact"/>
        <w:rPr>
          <w:rFonts w:ascii="Times New Roman" w:cs="Times New Roman" w:eastAsia="Times New Roman" w:hAnsi="Times New Roman"/>
          <w:sz w:val="16"/>
          <w:szCs w:val="16"/>
          <w:color w:val="auto"/>
        </w:rPr>
      </w:pPr>
    </w:p>
    <w:p>
      <w:pPr>
        <w:ind w:left="540" w:hanging="162"/>
        <w:spacing w:after="0"/>
        <w:tabs>
          <w:tab w:leader="none" w:pos="540"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Warrants</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jc w:val="both"/>
        <w:ind w:right="20" w:firstLine="382"/>
        <w:spacing w:after="0" w:line="257" w:lineRule="auto"/>
        <w:rPr>
          <w:sz w:val="20"/>
          <w:szCs w:val="20"/>
          <w:color w:val="auto"/>
        </w:rPr>
      </w:pPr>
      <w:r>
        <w:rPr>
          <w:rFonts w:ascii="Times New Roman" w:cs="Times New Roman" w:eastAsia="Times New Roman" w:hAnsi="Times New Roman"/>
          <w:sz w:val="16"/>
          <w:szCs w:val="16"/>
          <w:color w:val="auto"/>
        </w:rPr>
        <w:t xml:space="preserve">2.1 </w:t>
      </w:r>
      <w:r>
        <w:rPr>
          <w:rFonts w:ascii="Times New Roman" w:cs="Times New Roman" w:eastAsia="Times New Roman" w:hAnsi="Times New Roman"/>
          <w:sz w:val="16"/>
          <w:szCs w:val="16"/>
          <w:u w:val="single" w:color="auto"/>
          <w:color w:val="auto"/>
        </w:rPr>
        <w:t>Form of Warrant</w:t>
      </w:r>
      <w:r>
        <w:rPr>
          <w:rFonts w:ascii="Times New Roman" w:cs="Times New Roman" w:eastAsia="Times New Roman" w:hAnsi="Times New Roman"/>
          <w:sz w:val="16"/>
          <w:szCs w:val="16"/>
          <w:color w:val="auto"/>
        </w:rPr>
        <w:t xml:space="preserve">. Each Warrant other than a Private Warrant shall be: (a) issued in registered form only, (b) in substantially the form of </w:t>
      </w:r>
      <w:r>
        <w:rPr>
          <w:rFonts w:ascii="Times New Roman" w:cs="Times New Roman" w:eastAsia="Times New Roman" w:hAnsi="Times New Roman"/>
          <w:sz w:val="16"/>
          <w:szCs w:val="16"/>
          <w:b w:val="1"/>
          <w:bCs w:val="1"/>
          <w:color w:val="auto"/>
        </w:rPr>
        <w:t>Exhibit A</w:t>
      </w:r>
      <w:r>
        <w:rPr>
          <w:rFonts w:ascii="Times New Roman" w:cs="Times New Roman" w:eastAsia="Times New Roman" w:hAnsi="Times New Roman"/>
          <w:sz w:val="16"/>
          <w:szCs w:val="16"/>
          <w:color w:val="auto"/>
        </w:rPr>
        <w:t xml:space="preserve"> hereto, the provisions of which are incorporated herein and (c) signed by, or bear the facsimile signature of, the Chairman of the Board, the Chief Executive Officer or the Chief Financial Officer of the Company. The Note Financing Warrants shall be identical to the Public Warrants, except that the Note Financing Warrants shall be exercisable for one share of Common Stock.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w:t>
      </w:r>
    </w:p>
    <w:p>
      <w:pPr>
        <w:spacing w:after="0" w:line="164"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 xml:space="preserve">2.2 </w:t>
      </w:r>
      <w:r>
        <w:rPr>
          <w:rFonts w:ascii="Times New Roman" w:cs="Times New Roman" w:eastAsia="Times New Roman" w:hAnsi="Times New Roman"/>
          <w:sz w:val="16"/>
          <w:szCs w:val="16"/>
          <w:u w:val="single" w:color="auto"/>
          <w:color w:val="auto"/>
        </w:rPr>
        <w:t>Effect of Countersignature</w:t>
      </w:r>
      <w:r>
        <w:rPr>
          <w:rFonts w:ascii="Times New Roman" w:cs="Times New Roman" w:eastAsia="Times New Roman" w:hAnsi="Times New Roman"/>
          <w:sz w:val="16"/>
          <w:szCs w:val="16"/>
          <w:color w:val="auto"/>
        </w:rPr>
        <w:t>. Unless and until countersigned by the Warrant Agent pursuant to this Warrant Agreement, a Warrant shall be invalid and of no effect and may not be exercised by the holder thereof.</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2.3 </w:t>
      </w:r>
      <w:r>
        <w:rPr>
          <w:rFonts w:ascii="Times New Roman" w:cs="Times New Roman" w:eastAsia="Times New Roman" w:hAnsi="Times New Roman"/>
          <w:sz w:val="16"/>
          <w:szCs w:val="16"/>
          <w:u w:val="single" w:color="auto"/>
          <w:color w:val="auto"/>
        </w:rPr>
        <w:t>Registration</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jc w:val="both"/>
        <w:ind w:right="20" w:firstLine="382"/>
        <w:spacing w:after="0" w:line="266" w:lineRule="auto"/>
        <w:rPr>
          <w:sz w:val="20"/>
          <w:szCs w:val="20"/>
          <w:color w:val="auto"/>
        </w:rPr>
      </w:pPr>
      <w:r>
        <w:rPr>
          <w:rFonts w:ascii="Times New Roman" w:cs="Times New Roman" w:eastAsia="Times New Roman" w:hAnsi="Times New Roman"/>
          <w:sz w:val="16"/>
          <w:szCs w:val="16"/>
          <w:color w:val="auto"/>
        </w:rPr>
        <w:t xml:space="preserve">2.3.1 </w:t>
      </w:r>
      <w:r>
        <w:rPr>
          <w:rFonts w:ascii="Times New Roman" w:cs="Times New Roman" w:eastAsia="Times New Roman" w:hAnsi="Times New Roman"/>
          <w:sz w:val="16"/>
          <w:szCs w:val="16"/>
          <w:u w:val="single" w:color="auto"/>
          <w:color w:val="auto"/>
        </w:rPr>
        <w:t>Warrant Register</w:t>
      </w:r>
      <w:r>
        <w:rPr>
          <w:rFonts w:ascii="Times New Roman" w:cs="Times New Roman" w:eastAsia="Times New Roman" w:hAnsi="Times New Roman"/>
          <w:sz w:val="16"/>
          <w:szCs w:val="16"/>
          <w:color w:val="auto"/>
        </w:rPr>
        <w:t>. The Warrant Agent shall maintain books (the “</w:t>
      </w:r>
      <w:r>
        <w:rPr>
          <w:rFonts w:ascii="Times New Roman" w:cs="Times New Roman" w:eastAsia="Times New Roman" w:hAnsi="Times New Roman"/>
          <w:sz w:val="16"/>
          <w:szCs w:val="16"/>
          <w:b w:val="1"/>
          <w:bCs w:val="1"/>
          <w:color w:val="auto"/>
        </w:rPr>
        <w:t>Warrant Register</w:t>
      </w:r>
      <w:r>
        <w:rPr>
          <w:rFonts w:ascii="Times New Roman" w:cs="Times New Roman" w:eastAsia="Times New Roman" w:hAnsi="Times New Roman"/>
          <w:sz w:val="16"/>
          <w:szCs w:val="16"/>
          <w:color w:val="auto"/>
        </w:rPr>
        <w:t>”), for the registration of the original issuance and transfers of the Warrants. Upon the initial issuance of the Warrants, the Warrant Agent shall issue and register the Warrants in the names of the respective holders thereof in such denominations and otherwise in accordance with instructions delivered to the Warrant Agent by the Company.</w:t>
      </w:r>
    </w:p>
    <w:p>
      <w:pPr>
        <w:spacing w:after="0" w:line="155"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6"/>
          <w:szCs w:val="16"/>
          <w:color w:val="auto"/>
        </w:rPr>
        <w:t xml:space="preserve">2.3.2 </w:t>
      </w:r>
      <w:r>
        <w:rPr>
          <w:rFonts w:ascii="Times New Roman" w:cs="Times New Roman" w:eastAsia="Times New Roman" w:hAnsi="Times New Roman"/>
          <w:sz w:val="16"/>
          <w:szCs w:val="16"/>
          <w:u w:val="single" w:color="auto"/>
          <w:color w:val="auto"/>
        </w:rPr>
        <w:t>Registered Holder</w:t>
      </w:r>
      <w:r>
        <w:rPr>
          <w:rFonts w:ascii="Times New Roman" w:cs="Times New Roman" w:eastAsia="Times New Roman" w:hAnsi="Times New Roman"/>
          <w:sz w:val="16"/>
          <w:szCs w:val="16"/>
          <w:color w:val="auto"/>
        </w:rPr>
        <w:t>. Prior to due presentment for registration of transfer of any Warrant, the Company and the Warrant Agent may deem and treat the person in whose name such Warrant shall be registered upon the Warrant Register (“</w:t>
      </w:r>
      <w:r>
        <w:rPr>
          <w:rFonts w:ascii="Times New Roman" w:cs="Times New Roman" w:eastAsia="Times New Roman" w:hAnsi="Times New Roman"/>
          <w:sz w:val="16"/>
          <w:szCs w:val="16"/>
          <w:b w:val="1"/>
          <w:bCs w:val="1"/>
          <w:color w:val="auto"/>
        </w:rPr>
        <w:t>Registered Holder</w:t>
      </w:r>
      <w:r>
        <w:rPr>
          <w:rFonts w:ascii="Times New Roman" w:cs="Times New Roman" w:eastAsia="Times New Roman" w:hAnsi="Times New Roman"/>
          <w:sz w:val="16"/>
          <w:szCs w:val="16"/>
          <w:color w:val="auto"/>
        </w:rPr>
        <w:t>”) as the absolute owner of such Warrant and of each Warrant represented thereby (notwithstanding any notation of ownership or other writing on the Warrant certificate made by anyone other than the Company or the Warrant Agent), for the purpose of any exercise thereof, and for all other purposes, and neither the Company nor the Warrant Agent shall be affected by any notice to the contrary.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80" w:name="page181"/>
    <w:bookmarkEnd w:id="180"/>
    <w:p>
      <w:pPr>
        <w:ind w:left="384"/>
        <w:spacing w:after="0"/>
        <w:rPr>
          <w:sz w:val="20"/>
          <w:szCs w:val="20"/>
          <w:color w:val="auto"/>
        </w:rPr>
      </w:pPr>
      <w:r>
        <w:rPr>
          <w:rFonts w:ascii="Times New Roman" w:cs="Times New Roman" w:eastAsia="Times New Roman" w:hAnsi="Times New Roman"/>
          <w:sz w:val="16"/>
          <w:szCs w:val="16"/>
          <w:color w:val="auto"/>
        </w:rPr>
        <w:t xml:space="preserve">2.4 </w:t>
      </w:r>
      <w:r>
        <w:rPr>
          <w:rFonts w:ascii="Times New Roman" w:cs="Times New Roman" w:eastAsia="Times New Roman" w:hAnsi="Times New Roman"/>
          <w:sz w:val="16"/>
          <w:szCs w:val="16"/>
          <w:u w:val="single" w:color="auto"/>
          <w:color w:val="auto"/>
        </w:rPr>
        <w:t>Reserved.</w:t>
      </w:r>
    </w:p>
    <w:p>
      <w:pPr>
        <w:spacing w:after="0" w:line="198"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6"/>
          <w:szCs w:val="16"/>
          <w:color w:val="auto"/>
        </w:rPr>
        <w:t xml:space="preserve">2.5 </w:t>
      </w:r>
      <w:r>
        <w:rPr>
          <w:rFonts w:ascii="Times New Roman" w:cs="Times New Roman" w:eastAsia="Times New Roman" w:hAnsi="Times New Roman"/>
          <w:sz w:val="16"/>
          <w:szCs w:val="16"/>
          <w:u w:val="single" w:color="auto"/>
          <w:color w:val="auto"/>
        </w:rPr>
        <w:t>Private Warrants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4" w:right="20" w:firstLine="382"/>
        <w:spacing w:after="0" w:line="280" w:lineRule="auto"/>
        <w:rPr>
          <w:sz w:val="20"/>
          <w:szCs w:val="20"/>
          <w:color w:val="auto"/>
        </w:rPr>
      </w:pPr>
      <w:r>
        <w:rPr>
          <w:rFonts w:ascii="Times New Roman" w:cs="Times New Roman" w:eastAsia="Times New Roman" w:hAnsi="Times New Roman"/>
          <w:sz w:val="16"/>
          <w:szCs w:val="16"/>
          <w:color w:val="auto"/>
        </w:rPr>
        <w:t xml:space="preserve">2.5.1 </w:t>
      </w:r>
      <w:r>
        <w:rPr>
          <w:rFonts w:ascii="Times New Roman" w:cs="Times New Roman" w:eastAsia="Times New Roman" w:hAnsi="Times New Roman"/>
          <w:sz w:val="16"/>
          <w:szCs w:val="16"/>
          <w:u w:val="single" w:color="auto"/>
          <w:color w:val="auto"/>
        </w:rPr>
        <w:t>Cancellation of Certain Private Warrants.</w:t>
      </w:r>
      <w:r>
        <w:rPr>
          <w:rFonts w:ascii="Times New Roman" w:cs="Times New Roman" w:eastAsia="Times New Roman" w:hAnsi="Times New Roman"/>
          <w:sz w:val="16"/>
          <w:szCs w:val="16"/>
          <w:color w:val="auto"/>
        </w:rPr>
        <w:t xml:space="preserve"> Of the 6,675,000 Private Warrants outstanding immediately prior to the execution of this Warrant Agreement, 900,000 Private Warrants shall be cancelled, on a pro rata basis between Co-Sponsor and Co-Sponsor II, effective as of the date hereof.</w:t>
      </w:r>
    </w:p>
    <w:p>
      <w:pPr>
        <w:spacing w:after="0" w:line="144"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5"/>
          <w:szCs w:val="15"/>
          <w:color w:val="auto"/>
        </w:rPr>
        <w:t xml:space="preserve">2.5.2 </w:t>
      </w:r>
      <w:r>
        <w:rPr>
          <w:rFonts w:ascii="Times New Roman" w:cs="Times New Roman" w:eastAsia="Times New Roman" w:hAnsi="Times New Roman"/>
          <w:sz w:val="15"/>
          <w:szCs w:val="15"/>
          <w:u w:val="single" w:color="auto"/>
          <w:color w:val="auto"/>
        </w:rPr>
        <w:t>Exercise and Redemption</w:t>
      </w:r>
      <w:r>
        <w:rPr>
          <w:rFonts w:ascii="Times New Roman" w:cs="Times New Roman" w:eastAsia="Times New Roman" w:hAnsi="Times New Roman"/>
          <w:sz w:val="15"/>
          <w:szCs w:val="15"/>
          <w:color w:val="auto"/>
        </w:rPr>
        <w:t xml:space="preserve">. The Private Warrants (i) will be exercisable either for cash or on a cashless basis at the holder’s option pursuant to </w:t>
      </w:r>
      <w:r>
        <w:rPr>
          <w:rFonts w:ascii="Times New Roman" w:cs="Times New Roman" w:eastAsia="Times New Roman" w:hAnsi="Times New Roman"/>
          <w:sz w:val="15"/>
          <w:szCs w:val="15"/>
          <w:u w:val="single" w:color="auto"/>
          <w:color w:val="auto"/>
        </w:rPr>
        <w:t>Section 3.3</w:t>
      </w:r>
      <w:r>
        <w:rPr>
          <w:rFonts w:ascii="Times New Roman" w:cs="Times New Roman" w:eastAsia="Times New Roman" w:hAnsi="Times New Roman"/>
          <w:sz w:val="15"/>
          <w:szCs w:val="15"/>
          <w:color w:val="auto"/>
        </w:rPr>
        <w:t xml:space="preserve"> hereof and</w:t>
      </w:r>
    </w:p>
    <w:p>
      <w:pPr>
        <w:spacing w:after="0" w:line="35" w:lineRule="exact"/>
        <w:rPr>
          <w:sz w:val="20"/>
          <w:szCs w:val="20"/>
          <w:color w:val="auto"/>
        </w:rPr>
      </w:pPr>
    </w:p>
    <w:p>
      <w:pPr>
        <w:ind w:left="4" w:right="20" w:hanging="4"/>
        <w:spacing w:after="0" w:line="258" w:lineRule="auto"/>
        <w:tabs>
          <w:tab w:leader="none" w:pos="240"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will not be redeemable by the Company, in either case as long as the Private Warrants are held by the initial purchasers or any of their permitted transferees (as prescribed in the Subscription Agreements).</w:t>
      </w:r>
    </w:p>
    <w:p>
      <w:pPr>
        <w:spacing w:after="0" w:line="161"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6"/>
          <w:szCs w:val="16"/>
          <w:color w:val="auto"/>
        </w:rPr>
        <w:t>3. Terms and Exercise of Warrants.</w:t>
      </w:r>
    </w:p>
    <w:p>
      <w:pPr>
        <w:spacing w:after="0" w:line="198" w:lineRule="exact"/>
        <w:rPr>
          <w:sz w:val="20"/>
          <w:szCs w:val="20"/>
          <w:color w:val="auto"/>
        </w:rPr>
      </w:pPr>
    </w:p>
    <w:p>
      <w:pPr>
        <w:jc w:val="both"/>
        <w:ind w:left="4" w:firstLine="382"/>
        <w:spacing w:after="0" w:line="257" w:lineRule="auto"/>
        <w:rPr>
          <w:sz w:val="20"/>
          <w:szCs w:val="20"/>
          <w:color w:val="auto"/>
        </w:rPr>
      </w:pPr>
      <w:r>
        <w:rPr>
          <w:rFonts w:ascii="Times New Roman" w:cs="Times New Roman" w:eastAsia="Times New Roman" w:hAnsi="Times New Roman"/>
          <w:sz w:val="16"/>
          <w:szCs w:val="16"/>
          <w:color w:val="auto"/>
        </w:rPr>
        <w:t xml:space="preserve">3.1 </w:t>
      </w:r>
      <w:r>
        <w:rPr>
          <w:rFonts w:ascii="Times New Roman" w:cs="Times New Roman" w:eastAsia="Times New Roman" w:hAnsi="Times New Roman"/>
          <w:sz w:val="16"/>
          <w:szCs w:val="16"/>
          <w:u w:val="single" w:color="auto"/>
          <w:color w:val="auto"/>
        </w:rPr>
        <w:t>Warrant Price</w:t>
      </w:r>
      <w:r>
        <w:rPr>
          <w:rFonts w:ascii="Times New Roman" w:cs="Times New Roman" w:eastAsia="Times New Roman" w:hAnsi="Times New Roman"/>
          <w:sz w:val="16"/>
          <w:szCs w:val="16"/>
          <w:color w:val="auto"/>
        </w:rPr>
        <w:t>. Each Warrant shall, when countersigned by the Warrant Agent, entitle the Registered Holder thereof, subject to the provisions of such Warrant and of this Warrant Agreement, to purchase from the Company the number of shares of Common Stock stated therein, at the exercise price of (i) $11.50 per whole share for the Note Financing Warrants and the Private Warrants and (ii) $8.21 per whole share for the Public Warrants, subject to the adjustments provided in Section 4 hereof. The term “</w:t>
      </w:r>
      <w:r>
        <w:rPr>
          <w:rFonts w:ascii="Times New Roman" w:cs="Times New Roman" w:eastAsia="Times New Roman" w:hAnsi="Times New Roman"/>
          <w:sz w:val="16"/>
          <w:szCs w:val="16"/>
          <w:b w:val="1"/>
          <w:bCs w:val="1"/>
          <w:color w:val="auto"/>
        </w:rPr>
        <w:t>Warrant Price</w:t>
      </w:r>
      <w:r>
        <w:rPr>
          <w:rFonts w:ascii="Times New Roman" w:cs="Times New Roman" w:eastAsia="Times New Roman" w:hAnsi="Times New Roman"/>
          <w:sz w:val="16"/>
          <w:szCs w:val="16"/>
          <w:color w:val="auto"/>
        </w:rPr>
        <w:t>” as used in this Warrant Agreement refers to the price per whole share at which shares of Common Stock may be purchased at the time such Warrant is exercised. The Public Warrants may only be exercised for a whole number of Warrant Shares by a Registered Holder.</w:t>
      </w:r>
    </w:p>
    <w:p>
      <w:pPr>
        <w:spacing w:after="0" w:line="160" w:lineRule="exact"/>
        <w:rPr>
          <w:sz w:val="20"/>
          <w:szCs w:val="20"/>
          <w:color w:val="auto"/>
        </w:rPr>
      </w:pPr>
    </w:p>
    <w:p>
      <w:pPr>
        <w:jc w:val="both"/>
        <w:ind w:left="4" w:firstLine="382"/>
        <w:spacing w:after="0" w:line="271" w:lineRule="auto"/>
        <w:rPr>
          <w:sz w:val="20"/>
          <w:szCs w:val="20"/>
          <w:color w:val="auto"/>
        </w:rPr>
      </w:pPr>
      <w:r>
        <w:rPr>
          <w:rFonts w:ascii="Times New Roman" w:cs="Times New Roman" w:eastAsia="Times New Roman" w:hAnsi="Times New Roman"/>
          <w:sz w:val="15"/>
          <w:szCs w:val="15"/>
          <w:color w:val="auto"/>
        </w:rPr>
        <w:t xml:space="preserve">3.2 </w:t>
      </w:r>
      <w:r>
        <w:rPr>
          <w:rFonts w:ascii="Times New Roman" w:cs="Times New Roman" w:eastAsia="Times New Roman" w:hAnsi="Times New Roman"/>
          <w:sz w:val="15"/>
          <w:szCs w:val="15"/>
          <w:u w:val="single" w:color="auto"/>
          <w:color w:val="auto"/>
        </w:rPr>
        <w:t>Duration of Warrants</w:t>
      </w:r>
      <w:r>
        <w:rPr>
          <w:rFonts w:ascii="Times New Roman" w:cs="Times New Roman" w:eastAsia="Times New Roman" w:hAnsi="Times New Roman"/>
          <w:sz w:val="15"/>
          <w:szCs w:val="15"/>
          <w:color w:val="auto"/>
        </w:rPr>
        <w:t>. A Warrant may be exercised only during the period (“</w:t>
      </w:r>
      <w:r>
        <w:rPr>
          <w:rFonts w:ascii="Times New Roman" w:cs="Times New Roman" w:eastAsia="Times New Roman" w:hAnsi="Times New Roman"/>
          <w:sz w:val="15"/>
          <w:szCs w:val="15"/>
          <w:b w:val="1"/>
          <w:bCs w:val="1"/>
          <w:color w:val="auto"/>
        </w:rPr>
        <w:t>Exercise Period</w:t>
      </w:r>
      <w:r>
        <w:rPr>
          <w:rFonts w:ascii="Times New Roman" w:cs="Times New Roman" w:eastAsia="Times New Roman" w:hAnsi="Times New Roman"/>
          <w:sz w:val="15"/>
          <w:szCs w:val="15"/>
          <w:color w:val="auto"/>
        </w:rPr>
        <w:t xml:space="preserve">”) commencing on the date of completion of the Company’s initial business combination, and terminating at 5:00 p.m., New York City time, on the earlier to occur of (i) (A) with respect to the Public Warrants, the Private Warrants (except as provided in the following clause (B)) and the Note Financing Warrants, five years following the completion of the Company’s initial business combination, and (B) only with respect to the Warrants purchased by Co-Sponsor II, five years from the effective date of the Registration Statement with respect to the Private Warrants,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once the Private Warrants are not beneficially owned by Co-Sponsor II or any of its related persons anymore, the Private Warrants may not be exercised five years following the completion of the Company’s initial business combination, and (ii) the date fixed for redemption of the Warrants as provided in Section 6 of this Warrant Agreement (except as provided in Section 2.5) (“</w:t>
      </w:r>
      <w:r>
        <w:rPr>
          <w:rFonts w:ascii="Times New Roman" w:cs="Times New Roman" w:eastAsia="Times New Roman" w:hAnsi="Times New Roman"/>
          <w:sz w:val="15"/>
          <w:szCs w:val="15"/>
          <w:b w:val="1"/>
          <w:bCs w:val="1"/>
          <w:color w:val="auto"/>
        </w:rPr>
        <w:t>Expiration Date</w:t>
      </w:r>
      <w:r>
        <w:rPr>
          <w:rFonts w:ascii="Times New Roman" w:cs="Times New Roman" w:eastAsia="Times New Roman" w:hAnsi="Times New Roman"/>
          <w:sz w:val="15"/>
          <w:szCs w:val="15"/>
          <w:color w:val="auto"/>
        </w:rPr>
        <w:t>”). Except with respect to the right to receive the Redemption Price (as set forth in Section 6 hereunder), each Warrant not exercised on or before the Expiration Date shall become void, and all rights thereunder and all rights in respect thereof under this Warrant Agreement shall cease at the close of business on the Expiration Date. The Company may extend the duration of the Warrants by delaying the Expiration Date; provided, however, that the Company will provide written notice of not less than 10 days to Registered Holders of such extension and that such extension shall be identical in duration among all of the then outstanding Warrants.</w:t>
      </w:r>
    </w:p>
    <w:p>
      <w:pPr>
        <w:spacing w:after="0" w:line="157"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6"/>
          <w:szCs w:val="16"/>
          <w:color w:val="auto"/>
        </w:rPr>
        <w:t xml:space="preserve">3.3 </w:t>
      </w:r>
      <w:r>
        <w:rPr>
          <w:rFonts w:ascii="Times New Roman" w:cs="Times New Roman" w:eastAsia="Times New Roman" w:hAnsi="Times New Roman"/>
          <w:sz w:val="16"/>
          <w:szCs w:val="16"/>
          <w:u w:val="single" w:color="auto"/>
          <w:color w:val="auto"/>
        </w:rPr>
        <w:t>Exercise of Warrants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6"/>
          <w:szCs w:val="16"/>
          <w:color w:val="auto"/>
        </w:rPr>
        <w:t xml:space="preserve">3.3.1 </w:t>
      </w:r>
      <w:r>
        <w:rPr>
          <w:rFonts w:ascii="Times New Roman" w:cs="Times New Roman" w:eastAsia="Times New Roman" w:hAnsi="Times New Roman"/>
          <w:sz w:val="16"/>
          <w:szCs w:val="16"/>
          <w:u w:val="single" w:color="auto"/>
          <w:color w:val="auto"/>
        </w:rPr>
        <w:t>Cash Exercise</w:t>
      </w:r>
      <w:r>
        <w:rPr>
          <w:rFonts w:ascii="Times New Roman" w:cs="Times New Roman" w:eastAsia="Times New Roman" w:hAnsi="Times New Roman"/>
          <w:sz w:val="16"/>
          <w:szCs w:val="16"/>
          <w:color w:val="auto"/>
        </w:rPr>
        <w:t>. Subject to the provisions of the Warrant and this Warrant Agreement, a Warrant, when countersigned by the Company, may be exercised by the</w:t>
      </w:r>
    </w:p>
    <w:p>
      <w:pPr>
        <w:spacing w:after="0" w:line="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Registered Holder thereof by surrendering it at the office of the Warrant Agent, or at the office of its successor as Warrant Agent, currently being:</w:t>
      </w:r>
    </w:p>
    <w:p>
      <w:pPr>
        <w:spacing w:after="0" w:line="182" w:lineRule="exact"/>
        <w:rPr>
          <w:sz w:val="20"/>
          <w:szCs w:val="20"/>
          <w:color w:val="auto"/>
        </w:rPr>
      </w:pPr>
    </w:p>
    <w:p>
      <w:pPr>
        <w:ind w:left="1724"/>
        <w:spacing w:after="0"/>
        <w:rPr>
          <w:sz w:val="20"/>
          <w:szCs w:val="20"/>
          <w:color w:val="auto"/>
        </w:rPr>
      </w:pPr>
      <w:r>
        <w:rPr>
          <w:rFonts w:ascii="Times New Roman" w:cs="Times New Roman" w:eastAsia="Times New Roman" w:hAnsi="Times New Roman"/>
          <w:sz w:val="16"/>
          <w:szCs w:val="16"/>
          <w:color w:val="auto"/>
        </w:rPr>
        <w:t>Continental Stock Transfer &amp; Trust Company</w:t>
      </w:r>
    </w:p>
    <w:p>
      <w:pPr>
        <w:ind w:left="1724"/>
        <w:spacing w:after="0" w:line="202" w:lineRule="auto"/>
        <w:rPr>
          <w:sz w:val="20"/>
          <w:szCs w:val="20"/>
          <w:color w:val="auto"/>
        </w:rPr>
      </w:pPr>
      <w:r>
        <w:rPr>
          <w:rFonts w:ascii="Times New Roman" w:cs="Times New Roman" w:eastAsia="Times New Roman" w:hAnsi="Times New Roman"/>
          <w:sz w:val="16"/>
          <w:szCs w:val="16"/>
          <w:color w:val="auto"/>
        </w:rPr>
        <w:t>1 State Street,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Floor</w:t>
      </w:r>
    </w:p>
    <w:p>
      <w:pPr>
        <w:spacing w:after="0" w:line="1" w:lineRule="exact"/>
        <w:rPr>
          <w:sz w:val="20"/>
          <w:szCs w:val="20"/>
          <w:color w:val="auto"/>
        </w:rPr>
      </w:pPr>
    </w:p>
    <w:p>
      <w:pPr>
        <w:ind w:left="1724"/>
        <w:spacing w:after="0"/>
        <w:rPr>
          <w:sz w:val="20"/>
          <w:szCs w:val="20"/>
          <w:color w:val="auto"/>
        </w:rPr>
      </w:pPr>
      <w:r>
        <w:rPr>
          <w:rFonts w:ascii="Times New Roman" w:cs="Times New Roman" w:eastAsia="Times New Roman" w:hAnsi="Times New Roman"/>
          <w:sz w:val="16"/>
          <w:szCs w:val="16"/>
          <w:color w:val="auto"/>
        </w:rPr>
        <w:t>New York, New York 10004</w:t>
      </w:r>
    </w:p>
    <w:p>
      <w:pPr>
        <w:spacing w:after="0" w:line="6" w:lineRule="exact"/>
        <w:rPr>
          <w:sz w:val="20"/>
          <w:szCs w:val="20"/>
          <w:color w:val="auto"/>
        </w:rPr>
      </w:pPr>
    </w:p>
    <w:p>
      <w:pPr>
        <w:ind w:left="1724"/>
        <w:spacing w:after="0"/>
        <w:rPr>
          <w:sz w:val="20"/>
          <w:szCs w:val="20"/>
          <w:color w:val="auto"/>
        </w:rPr>
      </w:pPr>
      <w:r>
        <w:rPr>
          <w:rFonts w:ascii="Times New Roman" w:cs="Times New Roman" w:eastAsia="Times New Roman" w:hAnsi="Times New Roman"/>
          <w:sz w:val="16"/>
          <w:szCs w:val="16"/>
          <w:color w:val="auto"/>
        </w:rPr>
        <w:t>Attn: Compliance Department</w:t>
      </w:r>
    </w:p>
    <w:p>
      <w:pPr>
        <w:spacing w:after="0" w:line="182" w:lineRule="exact"/>
        <w:rPr>
          <w:sz w:val="20"/>
          <w:szCs w:val="20"/>
          <w:color w:val="auto"/>
        </w:rPr>
      </w:pPr>
    </w:p>
    <w:p>
      <w:pPr>
        <w:jc w:val="both"/>
        <w:ind w:left="4" w:right="20"/>
        <w:spacing w:after="0" w:line="257" w:lineRule="auto"/>
        <w:rPr>
          <w:sz w:val="20"/>
          <w:szCs w:val="20"/>
          <w:color w:val="auto"/>
        </w:rPr>
      </w:pPr>
      <w:r>
        <w:rPr>
          <w:rFonts w:ascii="Times New Roman" w:cs="Times New Roman" w:eastAsia="Times New Roman" w:hAnsi="Times New Roman"/>
          <w:sz w:val="16"/>
          <w:szCs w:val="16"/>
          <w:color w:val="auto"/>
        </w:rPr>
        <w:t>with the subscription form, as set forth in the Warrant, duly executed, and by paying in full, in lawful money of the United States, by certified or bank cashier’s check payable to the order of the Warrant Agent or by wire transfer to the Warrant Agent’s bank account, the Warrant Price for each whole Warrant Share as to which the Warrant is exercised and any and all applicable taxes due in connection with the exercise of the Warrant, the exchange of the Warrant for the Warrant Shares, and the issuance of the Warrant Shares (such exercise, a “</w:t>
      </w:r>
      <w:r>
        <w:rPr>
          <w:rFonts w:ascii="Times New Roman" w:cs="Times New Roman" w:eastAsia="Times New Roman" w:hAnsi="Times New Roman"/>
          <w:sz w:val="16"/>
          <w:szCs w:val="16"/>
          <w:b w:val="1"/>
          <w:bCs w:val="1"/>
          <w:color w:val="auto"/>
        </w:rPr>
        <w:t>Cash Exercise</w:t>
      </w:r>
      <w:r>
        <w:rPr>
          <w:rFonts w:ascii="Times New Roman" w:cs="Times New Roman" w:eastAsia="Times New Roman" w:hAnsi="Times New Roman"/>
          <w:sz w:val="16"/>
          <w:szCs w:val="16"/>
          <w:color w:val="auto"/>
        </w:rPr>
        <w:t>”). A Cash Exercise in accordance with this Section 3.3.1 is available to the Registered Holder only during such times that there is an effective registration statement registering the Warrant Shares, with the prospectus contained therein being available for the resale of the Warrant Shares.</w:t>
      </w:r>
    </w:p>
    <w:p>
      <w:pPr>
        <w:spacing w:after="0" w:line="35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81" w:name="page182"/>
    <w:bookmarkEnd w:id="181"/>
    <w:p>
      <w:pPr>
        <w:jc w:val="both"/>
        <w:ind w:firstLine="382"/>
        <w:spacing w:after="0" w:line="257" w:lineRule="auto"/>
        <w:rPr>
          <w:sz w:val="20"/>
          <w:szCs w:val="20"/>
          <w:color w:val="auto"/>
        </w:rPr>
      </w:pPr>
      <w:r>
        <w:rPr>
          <w:rFonts w:ascii="Times New Roman" w:cs="Times New Roman" w:eastAsia="Times New Roman" w:hAnsi="Times New Roman"/>
          <w:sz w:val="16"/>
          <w:szCs w:val="16"/>
          <w:color w:val="auto"/>
        </w:rPr>
        <w:t xml:space="preserve">3.3.2 </w:t>
      </w:r>
      <w:r>
        <w:rPr>
          <w:rFonts w:ascii="Times New Roman" w:cs="Times New Roman" w:eastAsia="Times New Roman" w:hAnsi="Times New Roman"/>
          <w:sz w:val="16"/>
          <w:szCs w:val="16"/>
          <w:u w:val="single" w:color="auto"/>
          <w:color w:val="auto"/>
        </w:rPr>
        <w:t>Cashless Exercise</w:t>
      </w:r>
      <w:r>
        <w:rPr>
          <w:rFonts w:ascii="Times New Roman" w:cs="Times New Roman" w:eastAsia="Times New Roman" w:hAnsi="Times New Roman"/>
          <w:sz w:val="16"/>
          <w:szCs w:val="16"/>
          <w:color w:val="auto"/>
        </w:rPr>
        <w:t>. Notwithstanding anything contained herein to the contrary, if there is no effective registration statement registering the Warrant Shares on any day the Registered Holder desires to exercise the Warrants and more than 120 days have passed since the Company completed its initial business combination, the Registered Holder may exercise the Warrants in whole or in part in lieu of making a cash payment for whole numbers of Warrant Shares, by providing notice to the Chief Financial Officer of the Company in a subscription form of its election to utilize cashless exercise, in which event the Company shall issue to the Holder the number of Warrant Shares determined as follows:</w:t>
      </w:r>
    </w:p>
    <w:p>
      <w:pPr>
        <w:spacing w:after="0" w:line="16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X = Y [(A-B)/A]</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where:</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X = the number of Warrant Shares to be issued to the Holder.</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Y = the number of Warrant Shares with respect to which this Warrant is being exercised.</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 = the Fair Market Value of one share of Common Stock.</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B = the Warrant Price.</w:t>
      </w:r>
    </w:p>
    <w:p>
      <w:pPr>
        <w:spacing w:after="0" w:line="198"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 xml:space="preserve">The Registered Holder may not exercise any Warrants in the absence of a registration statement except pursuant to this </w:t>
      </w:r>
      <w:r>
        <w:rPr>
          <w:rFonts w:ascii="Times New Roman" w:cs="Times New Roman" w:eastAsia="Times New Roman" w:hAnsi="Times New Roman"/>
          <w:sz w:val="16"/>
          <w:szCs w:val="16"/>
          <w:u w:val="single" w:color="auto"/>
          <w:color w:val="auto"/>
        </w:rPr>
        <w:t>Section 3.3.2</w:t>
      </w:r>
      <w:r>
        <w:rPr>
          <w:rFonts w:ascii="Times New Roman" w:cs="Times New Roman" w:eastAsia="Times New Roman" w:hAnsi="Times New Roman"/>
          <w:sz w:val="16"/>
          <w:szCs w:val="16"/>
          <w:color w:val="auto"/>
        </w:rPr>
        <w:t xml:space="preserve">. For purposes of this </w:t>
      </w:r>
      <w:r>
        <w:rPr>
          <w:rFonts w:ascii="Times New Roman" w:cs="Times New Roman" w:eastAsia="Times New Roman" w:hAnsi="Times New Roman"/>
          <w:sz w:val="16"/>
          <w:szCs w:val="16"/>
          <w:u w:val="single" w:color="auto"/>
          <w:color w:val="auto"/>
        </w:rPr>
        <w:t>Section 3.3.2</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4.1</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b w:val="1"/>
          <w:bCs w:val="1"/>
          <w:color w:val="auto"/>
        </w:rPr>
        <w:t>Fair Market Value</w:t>
      </w:r>
      <w:r>
        <w:rPr>
          <w:rFonts w:ascii="Times New Roman" w:cs="Times New Roman" w:eastAsia="Times New Roman" w:hAnsi="Times New Roman"/>
          <w:sz w:val="16"/>
          <w:szCs w:val="16"/>
          <w:color w:val="auto"/>
        </w:rPr>
        <w:t>” of one share of Common Stock is defined as follows:</w:t>
      </w:r>
    </w:p>
    <w:p>
      <w:pPr>
        <w:spacing w:after="0" w:line="144" w:lineRule="exact"/>
        <w:rPr>
          <w:sz w:val="20"/>
          <w:szCs w:val="20"/>
          <w:color w:val="auto"/>
        </w:rPr>
      </w:pPr>
    </w:p>
    <w:p>
      <w:pPr>
        <w:jc w:val="both"/>
        <w:ind w:left="760" w:hanging="382"/>
        <w:spacing w:after="0" w:line="259" w:lineRule="auto"/>
        <w:tabs>
          <w:tab w:leader="none" w:pos="760"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Company’s shares of Common Stock are listed and traded on the New York Stock Exchange, the NYSE American, the NASDAQ Global Select Market, the NASDAQ Global Market or the NASDAQ Capital Market (each, a “</w:t>
      </w:r>
      <w:r>
        <w:rPr>
          <w:rFonts w:ascii="Times New Roman" w:cs="Times New Roman" w:eastAsia="Times New Roman" w:hAnsi="Times New Roman"/>
          <w:sz w:val="16"/>
          <w:szCs w:val="16"/>
          <w:b w:val="1"/>
          <w:bCs w:val="1"/>
          <w:color w:val="auto"/>
        </w:rPr>
        <w:t>Trading Market</w:t>
      </w:r>
      <w:r>
        <w:rPr>
          <w:rFonts w:ascii="Times New Roman" w:cs="Times New Roman" w:eastAsia="Times New Roman" w:hAnsi="Times New Roman"/>
          <w:sz w:val="16"/>
          <w:szCs w:val="16"/>
          <w:color w:val="auto"/>
        </w:rPr>
        <w:t>”), the fair market value shall be deemed the average of the closing price on such Trading Market for the 10 trading days ending on the third trading day immediately prior to the date the subscription form is submitted to the Company in connection with the exercise of the Warrant; or</w:t>
      </w:r>
    </w:p>
    <w:p>
      <w:pPr>
        <w:spacing w:after="0" w:line="161" w:lineRule="exact"/>
        <w:rPr>
          <w:rFonts w:ascii="Times New Roman" w:cs="Times New Roman" w:eastAsia="Times New Roman" w:hAnsi="Times New Roman"/>
          <w:sz w:val="16"/>
          <w:szCs w:val="16"/>
          <w:color w:val="auto"/>
        </w:rPr>
      </w:pPr>
    </w:p>
    <w:p>
      <w:pPr>
        <w:jc w:val="both"/>
        <w:ind w:left="760" w:right="20" w:hanging="382"/>
        <w:spacing w:after="0" w:line="265" w:lineRule="auto"/>
        <w:tabs>
          <w:tab w:leader="none" w:pos="760"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Company’s shares of Common Stock are not listed on a Trading Market, but is traded in the over-the-counter market, the fair market value shall be deemed to be the average of the bid price on such Trading Market for the 10 trading days ending on the third trading day immediately prior to the date the subscription form is submitted in connection with the exercise of the Warrant; or</w:t>
      </w:r>
    </w:p>
    <w:p>
      <w:pPr>
        <w:spacing w:after="0" w:line="155" w:lineRule="exact"/>
        <w:rPr>
          <w:rFonts w:ascii="Times New Roman" w:cs="Times New Roman" w:eastAsia="Times New Roman" w:hAnsi="Times New Roman"/>
          <w:sz w:val="16"/>
          <w:szCs w:val="16"/>
          <w:color w:val="auto"/>
        </w:rPr>
      </w:pPr>
    </w:p>
    <w:p>
      <w:pPr>
        <w:ind w:left="760" w:hanging="382"/>
        <w:spacing w:after="0" w:line="280" w:lineRule="auto"/>
        <w:tabs>
          <w:tab w:leader="none" w:pos="760"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there is no active public market for the Company’s shares of Common Stock, the fair market value of the shares of Common Stock shall be determined in good faith by the Company’s board of directors.</w:t>
      </w:r>
    </w:p>
    <w:p>
      <w:pPr>
        <w:spacing w:after="0" w:line="144"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6"/>
          <w:szCs w:val="16"/>
          <w:color w:val="auto"/>
        </w:rPr>
        <w:t xml:space="preserve">3.3.3 </w:t>
      </w:r>
      <w:r>
        <w:rPr>
          <w:rFonts w:ascii="Times New Roman" w:cs="Times New Roman" w:eastAsia="Times New Roman" w:hAnsi="Times New Roman"/>
          <w:sz w:val="16"/>
          <w:szCs w:val="16"/>
          <w:u w:val="single" w:color="auto"/>
          <w:color w:val="auto"/>
        </w:rPr>
        <w:t>Fractional Shares</w:t>
      </w:r>
      <w:r>
        <w:rPr>
          <w:rFonts w:ascii="Times New Roman" w:cs="Times New Roman" w:eastAsia="Times New Roman" w:hAnsi="Times New Roman"/>
          <w:sz w:val="16"/>
          <w:szCs w:val="16"/>
          <w:color w:val="auto"/>
        </w:rPr>
        <w:t>. Notwithstanding any provision to the contrary contained in this Warrant Agreement, the Company shall not be required to issue any fraction of a Warrant Share in connection with the exercise of Warrants, and in any case where the Registered Holder would be entitled under the terms of the Warrants to receive a fraction of a Warrant Share upon the exercise of such Registered Holder’s Warrants, issue or cause to be issued only the largest whole number of Warrant Shares issuable on such exercise (and such fraction of a Warrant Share will be disregarded); provided, that if more than one Warrant certificate is presented for exercise at the same time by the same Registered Holder, the number of whole Warrant Shares which shall be issuable upon the exercise thereof shall be computed on the basis of the aggregate number of Warrant Shares issuable on exercise of all such Warrants.</w:t>
      </w:r>
    </w:p>
    <w:p>
      <w:pPr>
        <w:spacing w:after="0" w:line="165"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5"/>
          <w:szCs w:val="15"/>
          <w:color w:val="auto"/>
        </w:rPr>
        <w:t xml:space="preserve">3.3.4 </w:t>
      </w:r>
      <w:r>
        <w:rPr>
          <w:rFonts w:ascii="Times New Roman" w:cs="Times New Roman" w:eastAsia="Times New Roman" w:hAnsi="Times New Roman"/>
          <w:sz w:val="15"/>
          <w:szCs w:val="15"/>
          <w:u w:val="single" w:color="auto"/>
          <w:color w:val="auto"/>
        </w:rPr>
        <w:t>Issuance of Common Stock Certificates</w:t>
      </w:r>
      <w:r>
        <w:rPr>
          <w:rFonts w:ascii="Times New Roman" w:cs="Times New Roman" w:eastAsia="Times New Roman" w:hAnsi="Times New Roman"/>
          <w:sz w:val="15"/>
          <w:szCs w:val="15"/>
          <w:color w:val="auto"/>
        </w:rPr>
        <w:t>. No later than three business days following the exercise of any Warrant and the clearance of the funds in payment of the Warrant Price pursuant to Section 3.3.1 or cashless exercise pursuant to Section 3.3.2, the Company shall issue, or cause to be issued, to the Registered Holder of such Warrant a certificate or certificates representing (or at the option of the Registered Holder, a book-entry position and deliver electronically through the facilities of the Depository Trust Corporation) the number of whole shares of Common Stock to which such Registered Holder is entitled, registered in such name or names as may be directed by such Registered Holder, and, if such Warrant shall not have been exercised or surrendered in full, a new book-entry position or countersigned Warrant, as applicable, for the number of shares of Common Stock as to which such Warrant shall not have been exercised or surrendered. Notwithstanding the foregoing, the Company shall not deliver, or cause to be delivered, any securities without applicable restrictive legend pursuant to the exercise of a Warrant unless (a) a registration statement under the Act with respect to the shares of Common Stock issuable upon exercise of such Warrants is effective and a current prospectus relating to the shares of Common Stock issuable upon exercise of the Warrants is available for delivery to the Registered Holder of the Warrant or (b) in the opinion of counsel to the Company, the exercise of the Warrants is exempt from the registration requirements of the Act and such securities are qualified for sale or exempt from qualification under applicable securities laws of the states or other jurisdictions in which the Registered Holder resides. Warrants may not be exercised by, or securities issued to, any Registered Holder in any state in which such exercise or issuance would be unlawful. In addition, in no event will the Company be obligated to pay such Registered Holder any cash consideration upon exercise or otherwise “net cash settle” the Warrant.</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82" w:name="page183"/>
    <w:bookmarkEnd w:id="182"/>
    <w:p>
      <w:pPr>
        <w:jc w:val="both"/>
        <w:ind w:firstLine="382"/>
        <w:spacing w:after="0" w:line="280" w:lineRule="auto"/>
        <w:rPr>
          <w:sz w:val="20"/>
          <w:szCs w:val="20"/>
          <w:color w:val="auto"/>
        </w:rPr>
      </w:pPr>
      <w:r>
        <w:rPr>
          <w:rFonts w:ascii="Times New Roman" w:cs="Times New Roman" w:eastAsia="Times New Roman" w:hAnsi="Times New Roman"/>
          <w:sz w:val="16"/>
          <w:szCs w:val="16"/>
          <w:color w:val="auto"/>
        </w:rPr>
        <w:t xml:space="preserve">3.3.5 </w:t>
      </w:r>
      <w:r>
        <w:rPr>
          <w:rFonts w:ascii="Times New Roman" w:cs="Times New Roman" w:eastAsia="Times New Roman" w:hAnsi="Times New Roman"/>
          <w:sz w:val="16"/>
          <w:szCs w:val="16"/>
          <w:u w:val="single" w:color="auto"/>
          <w:color w:val="auto"/>
        </w:rPr>
        <w:t>Valid Issuance</w:t>
      </w:r>
      <w:r>
        <w:rPr>
          <w:rFonts w:ascii="Times New Roman" w:cs="Times New Roman" w:eastAsia="Times New Roman" w:hAnsi="Times New Roman"/>
          <w:sz w:val="16"/>
          <w:szCs w:val="16"/>
          <w:color w:val="auto"/>
        </w:rPr>
        <w:t>. All shares of Common Stock issued upon the proper exercise or surrender of a Warrant in conformity with this Warrant Agreement shall be validly issued, fully paid and non-assessable.</w:t>
      </w:r>
    </w:p>
    <w:p>
      <w:pPr>
        <w:spacing w:after="0" w:line="144"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6"/>
          <w:szCs w:val="16"/>
          <w:color w:val="auto"/>
        </w:rPr>
        <w:t xml:space="preserve">3.3.6 </w:t>
      </w:r>
      <w:r>
        <w:rPr>
          <w:rFonts w:ascii="Times New Roman" w:cs="Times New Roman" w:eastAsia="Times New Roman" w:hAnsi="Times New Roman"/>
          <w:sz w:val="16"/>
          <w:szCs w:val="16"/>
          <w:u w:val="single" w:color="auto"/>
          <w:color w:val="auto"/>
        </w:rPr>
        <w:t>Date of Issuance</w:t>
      </w:r>
      <w:r>
        <w:rPr>
          <w:rFonts w:ascii="Times New Roman" w:cs="Times New Roman" w:eastAsia="Times New Roman" w:hAnsi="Times New Roman"/>
          <w:sz w:val="16"/>
          <w:szCs w:val="16"/>
          <w:color w:val="auto"/>
        </w:rPr>
        <w:t>. Each person or entity in whose name any book-entry position or certificate for shares of Common Stock is issued shall, for all purposes, be deemed to have become the holder of record of such shares of Common Stock on the date on which the Warrant (or book-entry position representing such Warrant) was surrendered and payment of the Warrant Price was made, irrespective of the date of delivery of such certificate, except that, if the date of such surrender and payment is a date when the stock transfer books of the Company or book-entry system of the Warrant Agent are closed, such person shall be deemed to have become the holder of such shares at the close of business on the next succeeding date on which the stock transfer books or book-entry system are open.</w:t>
      </w:r>
    </w:p>
    <w:p>
      <w:pPr>
        <w:spacing w:after="0" w:line="162" w:lineRule="exact"/>
        <w:rPr>
          <w:sz w:val="20"/>
          <w:szCs w:val="20"/>
          <w:color w:val="auto"/>
        </w:rPr>
      </w:pPr>
    </w:p>
    <w:p>
      <w:pPr>
        <w:jc w:val="both"/>
        <w:ind w:firstLine="382"/>
        <w:spacing w:after="0" w:line="252" w:lineRule="auto"/>
        <w:rPr>
          <w:sz w:val="20"/>
          <w:szCs w:val="20"/>
          <w:color w:val="auto"/>
        </w:rPr>
      </w:pPr>
      <w:r>
        <w:rPr>
          <w:rFonts w:ascii="Times New Roman" w:cs="Times New Roman" w:eastAsia="Times New Roman" w:hAnsi="Times New Roman"/>
          <w:sz w:val="16"/>
          <w:szCs w:val="16"/>
          <w:color w:val="auto"/>
        </w:rPr>
        <w:t xml:space="preserve">3.3.7 </w:t>
      </w:r>
      <w:r>
        <w:rPr>
          <w:rFonts w:ascii="Times New Roman" w:cs="Times New Roman" w:eastAsia="Times New Roman" w:hAnsi="Times New Roman"/>
          <w:sz w:val="16"/>
          <w:szCs w:val="16"/>
          <w:u w:val="single" w:color="auto"/>
          <w:color w:val="auto"/>
        </w:rPr>
        <w:t>Maximum Percentage</w:t>
      </w:r>
      <w:r>
        <w:rPr>
          <w:rFonts w:ascii="Times New Roman" w:cs="Times New Roman" w:eastAsia="Times New Roman" w:hAnsi="Times New Roman"/>
          <w:sz w:val="16"/>
          <w:szCs w:val="16"/>
          <w:color w:val="auto"/>
        </w:rPr>
        <w:t>. A holder of a Warrant may notify the Company in writing in the event it elects to be subject to the provisions contained in this subsection 3.3.7; however, no holder of a Warrant shall be subject to this subsection 3.3.7 unless he, she or it makes such election. If the election is made by a holder, the Warrant Agent shall not effect the exercise of the holder’s Warrant, and such holder shall not have the right to exercise such Warrant, to the extent that after giving effect to such exercise, such person (together with such person’s affiliates), to the Warrant Agent’s actual knowledge, would beneficially own in excess of 9.9% (the “</w:t>
      </w:r>
      <w:r>
        <w:rPr>
          <w:rFonts w:ascii="Times New Roman" w:cs="Times New Roman" w:eastAsia="Times New Roman" w:hAnsi="Times New Roman"/>
          <w:sz w:val="16"/>
          <w:szCs w:val="16"/>
          <w:b w:val="1"/>
          <w:bCs w:val="1"/>
          <w:color w:val="auto"/>
        </w:rPr>
        <w:t>Maximum Percentage</w:t>
      </w:r>
      <w:r>
        <w:rPr>
          <w:rFonts w:ascii="Times New Roman" w:cs="Times New Roman" w:eastAsia="Times New Roman" w:hAnsi="Times New Roman"/>
          <w:sz w:val="16"/>
          <w:szCs w:val="16"/>
          <w:color w:val="auto"/>
        </w:rPr>
        <w:t>”) of the shares of Common Stock outstanding immediately after giving effect to such exercise. For purposes of the foregoing sentence, the aggregate number of shares of Common Stock beneficially owned by such person and its affiliates shall include the number of shares of Common Stock issuable upon exercise of the Warrant with respect to which the determination of such sentence is being made, but shall exclude the shares of Common Stock that would be issuable upon (x) exercise of the remaining, unexercised portion of the Warrant beneficially owned by such person and its affiliates and (y) exercise or conversion of the unexercised or unconverted portion of any other securities of the Company beneficially owned by such person and its affiliates (including, without limitation, any convertible notes or convertible preferred shares or warrants) subject to a limitation on conversion or exercise analogous to the limitation contained herein. Except as set forth in the preceding sentence, for purposes of this paragraph, beneficial ownership shall be calculated in accordance with Section 13(d) of the Securities Exchange Act of 1934, as amended (the “</w:t>
      </w:r>
      <w:r>
        <w:rPr>
          <w:rFonts w:ascii="Times New Roman" w:cs="Times New Roman" w:eastAsia="Times New Roman" w:hAnsi="Times New Roman"/>
          <w:sz w:val="16"/>
          <w:szCs w:val="16"/>
          <w:b w:val="1"/>
          <w:bCs w:val="1"/>
          <w:color w:val="auto"/>
        </w:rPr>
        <w:t>Exchange Act</w:t>
      </w:r>
      <w:r>
        <w:rPr>
          <w:rFonts w:ascii="Times New Roman" w:cs="Times New Roman" w:eastAsia="Times New Roman" w:hAnsi="Times New Roman"/>
          <w:sz w:val="16"/>
          <w:szCs w:val="16"/>
          <w:color w:val="auto"/>
        </w:rPr>
        <w:t>”). For purposes of the Warrant, in determining the number of outstanding shares of Common Stock, the holder may rely on the number of outstanding shares of Common Stock as reflected in (1) the Company’s most recent annual report on Form 10-K, quarterly report on Form 10-Q, current report on Form 8-K or other public filing with the SEC as the case may be, (2) a more recent public announcement by the Company, or (3) any other notice by the Company or the Warrant Agent setting forth the number of shares of Common Stock outstanding. For any reason at any time, upon the written request of the holder of the Warrant, the Company shall, within two business days, confirm orally and in writing to such holder the number of shares of Common Stock then outstanding. In any case, the number of outstanding shares of Common Stock shall be determined after giving effect to the conversion or exercise of equity securities of the Company by the holder and its affiliates since the date as of which such number of outstanding shares of Common Stock was reported. By written notice to the Company, the holder of a Warrant may from time to time increase or decrease the Maximum Percentage applicable to such holder to any other percentage specified in such notice; provided, however, that any such increase shall not be effective until the sixty-first (61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6"/>
          <w:szCs w:val="16"/>
          <w:color w:val="auto"/>
        </w:rPr>
        <w:t>) day after such notice is delivered to the Company.</w:t>
      </w:r>
    </w:p>
    <w:p>
      <w:pPr>
        <w:spacing w:after="0" w:line="69" w:lineRule="exact"/>
        <w:rPr>
          <w:sz w:val="20"/>
          <w:szCs w:val="20"/>
          <w:color w:val="auto"/>
        </w:rPr>
      </w:pPr>
    </w:p>
    <w:p>
      <w:pPr>
        <w:ind w:left="540" w:hanging="162"/>
        <w:spacing w:after="0"/>
        <w:tabs>
          <w:tab w:leader="none" w:pos="540" w:val="left"/>
        </w:tabs>
        <w:numPr>
          <w:ilvl w:val="0"/>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Adjustments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382"/>
        <w:spacing w:after="0" w:line="252" w:lineRule="auto"/>
        <w:rPr>
          <w:sz w:val="20"/>
          <w:szCs w:val="20"/>
          <w:color w:val="auto"/>
        </w:rPr>
      </w:pPr>
      <w:r>
        <w:rPr>
          <w:rFonts w:ascii="Times New Roman" w:cs="Times New Roman" w:eastAsia="Times New Roman" w:hAnsi="Times New Roman"/>
          <w:sz w:val="16"/>
          <w:szCs w:val="16"/>
          <w:color w:val="auto"/>
        </w:rPr>
        <w:t xml:space="preserve">4.1 </w:t>
      </w:r>
      <w:r>
        <w:rPr>
          <w:rFonts w:ascii="Times New Roman" w:cs="Times New Roman" w:eastAsia="Times New Roman" w:hAnsi="Times New Roman"/>
          <w:sz w:val="16"/>
          <w:szCs w:val="16"/>
          <w:u w:val="single" w:color="auto"/>
          <w:color w:val="auto"/>
        </w:rPr>
        <w:t>Stock Dividends, Splits</w:t>
      </w:r>
      <w:r>
        <w:rPr>
          <w:rFonts w:ascii="Times New Roman" w:cs="Times New Roman" w:eastAsia="Times New Roman" w:hAnsi="Times New Roman"/>
          <w:sz w:val="16"/>
          <w:szCs w:val="16"/>
          <w:color w:val="auto"/>
        </w:rPr>
        <w:t>. If, after the date hereof, and subject to the provisions of Section 4.5 below, the number of outstanding shares of Common Stock is increased or decreased by a stock dividend payable in shares of Common Stock, or by a forward or reverse split of shares of Common Stock, or other similar event, then, on the effective date of such stock dividend, split or similar event, the number of shares of Common Stock issuable on exercise of each Warrant shall be increased or decreased in proportion to such increase or decrease in outstanding shares of Common Stock. A rights offering to all holders of the shares of Common Stock entitling holders to purchase shares of Common Stock at a price less than the Fair Market Value shall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the shares of Common Stock) multiplied by (ii) one minus the quotient of (x) the price per share of Common Stock paid in such rights offering divided by (y) the Fair Market Value. For purposes of this subsection 4.1, if the rights offering is for securities convertible into or exercisable for shares of Common Stock, in determining the price payable for the shares of Common Stock, there shall be taken into account any consideration received for such rights, as well as any additional amount payable upon exercise or conversion.</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83" w:name="page184"/>
    <w:bookmarkEnd w:id="183"/>
    <w:p>
      <w:pPr>
        <w:jc w:val="both"/>
        <w:ind w:firstLine="382"/>
        <w:spacing w:after="0" w:line="259" w:lineRule="auto"/>
        <w:rPr>
          <w:sz w:val="20"/>
          <w:szCs w:val="20"/>
          <w:color w:val="auto"/>
        </w:rPr>
      </w:pPr>
      <w:r>
        <w:rPr>
          <w:rFonts w:ascii="Times New Roman" w:cs="Times New Roman" w:eastAsia="Times New Roman" w:hAnsi="Times New Roman"/>
          <w:sz w:val="16"/>
          <w:szCs w:val="16"/>
          <w:color w:val="auto"/>
        </w:rPr>
        <w:t xml:space="preserve">4.2 </w:t>
      </w:r>
      <w:r>
        <w:rPr>
          <w:rFonts w:ascii="Times New Roman" w:cs="Times New Roman" w:eastAsia="Times New Roman" w:hAnsi="Times New Roman"/>
          <w:sz w:val="16"/>
          <w:szCs w:val="16"/>
          <w:u w:val="single" w:color="auto"/>
          <w:color w:val="auto"/>
        </w:rPr>
        <w:t>Aggregation of Shares</w:t>
      </w:r>
      <w:r>
        <w:rPr>
          <w:rFonts w:ascii="Times New Roman" w:cs="Times New Roman" w:eastAsia="Times New Roman" w:hAnsi="Times New Roman"/>
          <w:sz w:val="16"/>
          <w:szCs w:val="16"/>
          <w:color w:val="auto"/>
        </w:rPr>
        <w:t>. If, after the date hereof, and subject to the provisions of Section 4.6, the number of outstanding shares of Common Stock is decreased by a consolidation, combination or reclassification of shares of Common Stock or other similar event, then, on the effective date of such consolidation, combination, reclassification or similar event, the number of shares of Common Stock issuable on exercise of each Warrant shall be decreased in proportion to such decrease in outstanding shares of Common Stock.</w:t>
      </w:r>
    </w:p>
    <w:p>
      <w:pPr>
        <w:spacing w:after="0" w:line="162" w:lineRule="exact"/>
        <w:rPr>
          <w:sz w:val="20"/>
          <w:szCs w:val="20"/>
          <w:color w:val="auto"/>
        </w:rPr>
      </w:pPr>
    </w:p>
    <w:p>
      <w:pPr>
        <w:jc w:val="both"/>
        <w:ind w:firstLine="382"/>
        <w:spacing w:after="0" w:line="251" w:lineRule="auto"/>
        <w:rPr>
          <w:sz w:val="20"/>
          <w:szCs w:val="20"/>
          <w:color w:val="auto"/>
        </w:rPr>
      </w:pPr>
      <w:r>
        <w:rPr>
          <w:rFonts w:ascii="Times New Roman" w:cs="Times New Roman" w:eastAsia="Times New Roman" w:hAnsi="Times New Roman"/>
          <w:sz w:val="16"/>
          <w:szCs w:val="16"/>
          <w:color w:val="auto"/>
        </w:rPr>
        <w:t xml:space="preserve">4.3 </w:t>
      </w:r>
      <w:r>
        <w:rPr>
          <w:rFonts w:ascii="Times New Roman" w:cs="Times New Roman" w:eastAsia="Times New Roman" w:hAnsi="Times New Roman"/>
          <w:sz w:val="16"/>
          <w:szCs w:val="16"/>
          <w:u w:val="single" w:color="auto"/>
          <w:color w:val="auto"/>
        </w:rPr>
        <w:t>Extraordinary Dividends</w:t>
      </w:r>
      <w:r>
        <w:rPr>
          <w:rFonts w:ascii="Times New Roman" w:cs="Times New Roman" w:eastAsia="Times New Roman" w:hAnsi="Times New Roman"/>
          <w:sz w:val="16"/>
          <w:szCs w:val="16"/>
          <w:color w:val="auto"/>
        </w:rPr>
        <w:t>. If the Company, at any time while the Warrants (or rights to purchase the Warrants) are outstanding and unexpired, shall pay a dividend or make a distribution in cash, securities or other assets to the holders of the shares of Common Stock on account of such shares of Common Stock (or other shares of the Company’s capital stock into which the Warrants are convertible), other than (a) as described in subsection 4.1 above, (b) Ordinary Cash Dividends (as defined below), (c) to satisfy the conversion rights of the holders of the shares of Common Stock in connection with a proposed initial business combination or vote to extend the time period to complete an initial business combination, (d) as a result of the repurchase of shares of Common Stock by the Company in connection with an initial business combination or as otherwise permitted by the Investment Management Trust Agreement between the Company and the Warrant Agent dated of even date herewith or (e) in connection with the Company’s liquidation and the distribution of its assets upon its failure to consummate a business combination (any such non-excluded event being referred to herein as an “</w:t>
      </w:r>
      <w:r>
        <w:rPr>
          <w:rFonts w:ascii="Times New Roman" w:cs="Times New Roman" w:eastAsia="Times New Roman" w:hAnsi="Times New Roman"/>
          <w:sz w:val="16"/>
          <w:szCs w:val="16"/>
          <w:b w:val="1"/>
          <w:bCs w:val="1"/>
          <w:color w:val="auto"/>
        </w:rPr>
        <w:t>Extraordinary Dividend</w:t>
      </w:r>
      <w:r>
        <w:rPr>
          <w:rFonts w:ascii="Times New Roman" w:cs="Times New Roman" w:eastAsia="Times New Roman" w:hAnsi="Times New Roman"/>
          <w:sz w:val="16"/>
          <w:szCs w:val="16"/>
          <w:color w:val="auto"/>
        </w:rPr>
        <w:t>”), then the Warrant Price shall be decreased, effective immediately after the effective date of such Extraordinary Dividend, by the amount of cash and the fair market value (as determined by the Company’s board of directors, in good faith) of any securities or other assets paid on each share of Common Stock in respect of such Extraordinary Dividend. For purposes of this subsection 4.3, “</w:t>
      </w:r>
      <w:r>
        <w:rPr>
          <w:rFonts w:ascii="Times New Roman" w:cs="Times New Roman" w:eastAsia="Times New Roman" w:hAnsi="Times New Roman"/>
          <w:sz w:val="16"/>
          <w:szCs w:val="16"/>
          <w:b w:val="1"/>
          <w:bCs w:val="1"/>
          <w:color w:val="auto"/>
        </w:rPr>
        <w:t>Ordinary Cash Dividends</w:t>
      </w:r>
      <w:r>
        <w:rPr>
          <w:rFonts w:ascii="Times New Roman" w:cs="Times New Roman" w:eastAsia="Times New Roman" w:hAnsi="Times New Roman"/>
          <w:sz w:val="16"/>
          <w:szCs w:val="16"/>
          <w:color w:val="auto"/>
        </w:rPr>
        <w:t>” means any cash dividend or cash distribution which, when combined on a per share basis with the per share amounts of all other cash dividends and cash distributions paid on the shares of Common Stock during the 365-day period ending on the date of declaration of such dividend or distribution (as adjusted to appropriately reflect any of the events referred to in other subsections of this Section 4 and excluding cash dividends or cash distributions that resulted in an adjustment to the Warrant Price or to the number of shares of Common Stock issuable on exercise of each Warrant) does not exceed $0.50 (being 5% of the offering price of the Units in the Offering). The foregoing adjustment shall not apply to the Private Warrants or the Note Financing Warrants.</w:t>
      </w:r>
    </w:p>
    <w:p>
      <w:pPr>
        <w:spacing w:after="0" w:line="174"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6"/>
          <w:szCs w:val="16"/>
          <w:color w:val="auto"/>
        </w:rPr>
        <w:t xml:space="preserve">4.4 </w:t>
      </w:r>
      <w:r>
        <w:rPr>
          <w:rFonts w:ascii="Times New Roman" w:cs="Times New Roman" w:eastAsia="Times New Roman" w:hAnsi="Times New Roman"/>
          <w:sz w:val="16"/>
          <w:szCs w:val="16"/>
          <w:u w:val="single" w:color="auto"/>
          <w:color w:val="auto"/>
        </w:rPr>
        <w:t>Adjustments in Exercise Price</w:t>
      </w:r>
      <w:r>
        <w:rPr>
          <w:rFonts w:ascii="Times New Roman" w:cs="Times New Roman" w:eastAsia="Times New Roman" w:hAnsi="Times New Roman"/>
          <w:sz w:val="16"/>
          <w:szCs w:val="16"/>
          <w:color w:val="auto"/>
        </w:rPr>
        <w:t>. Whenever the number of shares of Common Stock purchasable upon the exercise of the Warrants is adjusted, as provided in Sections 4.1 and 4.2 above, the Warrant Price shall be adjusted (to the nearest cent) by multiplying such Warrant Price, immediately prior to such adjustment, by a fraction, (a) the numerator of which shall be the number of shares of Common Stock purchasable upon the exercise of the Warrants immediately prior to such adjustment, and (b) the denominator of which shall be the number of shares of Common Stock so purchasable immediately thereafter.</w:t>
      </w:r>
    </w:p>
    <w:p>
      <w:pPr>
        <w:spacing w:after="0" w:line="162" w:lineRule="exact"/>
        <w:rPr>
          <w:sz w:val="20"/>
          <w:szCs w:val="20"/>
          <w:color w:val="auto"/>
        </w:rPr>
      </w:pPr>
    </w:p>
    <w:p>
      <w:pPr>
        <w:jc w:val="both"/>
        <w:ind w:firstLine="382"/>
        <w:spacing w:after="0" w:line="252" w:lineRule="auto"/>
        <w:rPr>
          <w:sz w:val="20"/>
          <w:szCs w:val="20"/>
          <w:color w:val="auto"/>
        </w:rPr>
      </w:pPr>
      <w:r>
        <w:rPr>
          <w:rFonts w:ascii="Times New Roman" w:cs="Times New Roman" w:eastAsia="Times New Roman" w:hAnsi="Times New Roman"/>
          <w:sz w:val="16"/>
          <w:szCs w:val="16"/>
          <w:color w:val="auto"/>
        </w:rPr>
        <w:t xml:space="preserve">4.5 </w:t>
      </w:r>
      <w:r>
        <w:rPr>
          <w:rFonts w:ascii="Times New Roman" w:cs="Times New Roman" w:eastAsia="Times New Roman" w:hAnsi="Times New Roman"/>
          <w:sz w:val="16"/>
          <w:szCs w:val="16"/>
          <w:u w:val="single" w:color="auto"/>
          <w:color w:val="auto"/>
        </w:rPr>
        <w:t>Replacement of Securities upon Reorganization, etc.</w:t>
      </w:r>
      <w:r>
        <w:rPr>
          <w:rFonts w:ascii="Times New Roman" w:cs="Times New Roman" w:eastAsia="Times New Roman" w:hAnsi="Times New Roman"/>
          <w:sz w:val="16"/>
          <w:szCs w:val="16"/>
          <w:color w:val="auto"/>
        </w:rPr>
        <w:t xml:space="preserve"> In case of any reclassification or reorganization of the outstanding shares of Common Stock (other than a change covered by Sections 4.1, 4.2 or 4.3 hereof or one that solely affects the par value of such shares of Common Stock), or, in the case of any merger or consolidation of the Company with or into another entity (other than a consolidation or merger in which the Company is the continuing entity and that does not result in any reclassification or reorganization of the outstanding shares of Common Stock), or, in the case of any sale or conveyance to another corporation or entity of the assets or other property of the Company as an entirety or substantially as an entirety, in connection with which the Company is dissolved, the Registered Holders shall thereafter have the right to purchase and receive, upon the basis and upon the terms and conditions specified in the Warrants and in lieu of the shares of Common Stock of the Company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Registered Holder would have received if such Registered Holder had exercised his, her or its Warrant(s) immediately prior to such event; and if any reclassification also results in a change in shares of Common Stock covered by Sections 4.1, 4.2 or 4.3, then such adjustment shall be made pursuant to Sections 4.1, 4.2, 4.3 and this Section 4.5. The provisions of this Section 4.5 shall similarly apply to successive reclassifications, reorganizations, mergers or consolidations, sales or other transfers. In no event shall the Warrant Price be reduced to less than the par value per share of Common Stock issuable upon exercise of the Warrant.</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84" w:name="page185"/>
    <w:bookmarkEnd w:id="184"/>
    <w:p>
      <w:pPr>
        <w:jc w:val="both"/>
        <w:ind w:firstLine="382"/>
        <w:spacing w:after="0" w:line="255" w:lineRule="auto"/>
        <w:rPr>
          <w:sz w:val="20"/>
          <w:szCs w:val="20"/>
          <w:color w:val="auto"/>
        </w:rPr>
      </w:pPr>
      <w:r>
        <w:rPr>
          <w:rFonts w:ascii="Times New Roman" w:cs="Times New Roman" w:eastAsia="Times New Roman" w:hAnsi="Times New Roman"/>
          <w:sz w:val="16"/>
          <w:szCs w:val="16"/>
          <w:color w:val="auto"/>
        </w:rPr>
        <w:t xml:space="preserve">4.6 </w:t>
      </w:r>
      <w:r>
        <w:rPr>
          <w:rFonts w:ascii="Times New Roman" w:cs="Times New Roman" w:eastAsia="Times New Roman" w:hAnsi="Times New Roman"/>
          <w:sz w:val="16"/>
          <w:szCs w:val="16"/>
          <w:u w:val="single" w:color="auto"/>
          <w:color w:val="auto"/>
        </w:rPr>
        <w:t>Notices of Changes in Warrant</w:t>
      </w:r>
      <w:r>
        <w:rPr>
          <w:rFonts w:ascii="Times New Roman" w:cs="Times New Roman" w:eastAsia="Times New Roman" w:hAnsi="Times New Roman"/>
          <w:sz w:val="16"/>
          <w:szCs w:val="16"/>
          <w:color w:val="auto"/>
        </w:rPr>
        <w:t xml:space="preserve">. Upon every adjustment of the Warrant Price or the number of shares of Common Stock issuable upon exercise of a Warrant, the Company shall give written notice thereof to the Warrant Agent, which notice shall state the Warrant Price resulting from such adjustment and the increase or decrease, if any, in the number of shares of Common Stock purchasable at such price upon the exercise of a Warrant, setting forth in reasonable detail the method of calculation and the facts upon which such calculation is based. Upon the occurrence of any event specified in </w:t>
      </w:r>
      <w:r>
        <w:rPr>
          <w:rFonts w:ascii="Times New Roman" w:cs="Times New Roman" w:eastAsia="Times New Roman" w:hAnsi="Times New Roman"/>
          <w:sz w:val="16"/>
          <w:szCs w:val="16"/>
          <w:u w:val="single" w:color="auto"/>
          <w:color w:val="auto"/>
        </w:rPr>
        <w:t>Sections 4.1 – 4.5</w:t>
      </w:r>
      <w:r>
        <w:rPr>
          <w:rFonts w:ascii="Times New Roman" w:cs="Times New Roman" w:eastAsia="Times New Roman" w:hAnsi="Times New Roman"/>
          <w:sz w:val="16"/>
          <w:szCs w:val="16"/>
          <w:color w:val="auto"/>
        </w:rPr>
        <w:t xml:space="preserve"> the Company shall give written notice to each Registered Holder, at the last address set forth for such Registered Holder in the Warrant Register, of the record date or the effective date of the event. Failure to give such notice, or any defect therein, shall not affect the legality or validity of such event.</w:t>
      </w:r>
    </w:p>
    <w:p>
      <w:pPr>
        <w:spacing w:after="0" w:line="165"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6"/>
          <w:szCs w:val="16"/>
          <w:color w:val="auto"/>
        </w:rPr>
        <w:t xml:space="preserve">4.7 </w:t>
      </w:r>
      <w:r>
        <w:rPr>
          <w:rFonts w:ascii="Times New Roman" w:cs="Times New Roman" w:eastAsia="Times New Roman" w:hAnsi="Times New Roman"/>
          <w:sz w:val="16"/>
          <w:szCs w:val="16"/>
          <w:u w:val="single" w:color="auto"/>
          <w:color w:val="auto"/>
        </w:rPr>
        <w:t>Form of Warrant</w:t>
      </w:r>
      <w:r>
        <w:rPr>
          <w:rFonts w:ascii="Times New Roman" w:cs="Times New Roman" w:eastAsia="Times New Roman" w:hAnsi="Times New Roman"/>
          <w:sz w:val="16"/>
          <w:szCs w:val="16"/>
          <w:color w:val="auto"/>
        </w:rPr>
        <w:t>. The form of Warrant need not be changed because of any adjustment pursuant to this Section 4, and Warrants issued after such adjustment may state the same Warrant Price and the same number of shares as is stated in the Warrants initially issued pursuant to this Warrant Agreement. However,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spacing w:after="0" w:line="162" w:lineRule="exact"/>
        <w:rPr>
          <w:sz w:val="20"/>
          <w:szCs w:val="20"/>
          <w:color w:val="auto"/>
        </w:rPr>
      </w:pPr>
    </w:p>
    <w:p>
      <w:pPr>
        <w:jc w:val="both"/>
        <w:ind w:firstLine="382"/>
        <w:spacing w:after="0" w:line="253" w:lineRule="auto"/>
        <w:rPr>
          <w:sz w:val="20"/>
          <w:szCs w:val="20"/>
          <w:color w:val="auto"/>
        </w:rPr>
      </w:pPr>
      <w:r>
        <w:rPr>
          <w:rFonts w:ascii="Times New Roman" w:cs="Times New Roman" w:eastAsia="Times New Roman" w:hAnsi="Times New Roman"/>
          <w:sz w:val="16"/>
          <w:szCs w:val="16"/>
          <w:color w:val="auto"/>
        </w:rPr>
        <w:t xml:space="preserve">4.8 </w:t>
      </w:r>
      <w:r>
        <w:rPr>
          <w:rFonts w:ascii="Times New Roman" w:cs="Times New Roman" w:eastAsia="Times New Roman" w:hAnsi="Times New Roman"/>
          <w:sz w:val="16"/>
          <w:szCs w:val="16"/>
          <w:u w:val="single" w:color="auto"/>
          <w:color w:val="auto"/>
        </w:rPr>
        <w:t>Notice of Certain Transactions</w:t>
      </w:r>
      <w:r>
        <w:rPr>
          <w:rFonts w:ascii="Times New Roman" w:cs="Times New Roman" w:eastAsia="Times New Roman" w:hAnsi="Times New Roman"/>
          <w:sz w:val="16"/>
          <w:szCs w:val="16"/>
          <w:color w:val="auto"/>
        </w:rPr>
        <w:t>. In the event that the Company shall (a) offer to holders of all its shares of Common Stock rights to subscribe for or to purchase any securities convertible into shares of Common Stock or shares of stock of any class or any other securities, rights or options, (b) issue any rights, options or warrants entitling all the holders of shares of Common Stock to subscribe for shares of Common Stock, or (c) make a tender offer, redemption offer or exchange offer with respect to the shares of Common Stock, the Company shall send to the Registered Holders a notice of such action or offer. Such notice shall be mailed to the Registered Holders at their addresses as they appear in the Warrant Register, which shall specify the record date for the purposes of such dividend, distribution or rights, or the date such issuance or event is to take place and the date of participation therein by the holders of shares of Common Stock, if any such date is to be fixed, and shall briefly indicate the effect of such action on the shares of Common Stock and on the number and kind of any other shares of stock and on other property, if any, and the number of shares of Common Stock and other property, if any, issuable upon exercise of each Warrant and the Warrant Price after giving effect to any adjustment pursuant to this Section 4 which would be required as a result of such action. Such notice shall be given as promptly as practicable after the Company has taken any such action.</w:t>
      </w:r>
    </w:p>
    <w:p>
      <w:pPr>
        <w:spacing w:after="0" w:line="166"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6"/>
          <w:szCs w:val="16"/>
          <w:color w:val="auto"/>
        </w:rPr>
        <w:t xml:space="preserve">4.9 </w:t>
      </w:r>
      <w:r>
        <w:rPr>
          <w:rFonts w:ascii="Times New Roman" w:cs="Times New Roman" w:eastAsia="Times New Roman" w:hAnsi="Times New Roman"/>
          <w:sz w:val="16"/>
          <w:szCs w:val="16"/>
          <w:u w:val="single" w:color="auto"/>
          <w:color w:val="auto"/>
        </w:rPr>
        <w:t>Other Events</w:t>
      </w:r>
      <w:r>
        <w:rPr>
          <w:rFonts w:ascii="Times New Roman" w:cs="Times New Roman" w:eastAsia="Times New Roman" w:hAnsi="Times New Roman"/>
          <w:sz w:val="16"/>
          <w:szCs w:val="16"/>
          <w:color w:val="auto"/>
        </w:rPr>
        <w:t>. In case any event shall occur affecting the Company as to which none of the provisions of preceding subsections of this Section 4 are strictly applicable, but which would require an adjustment to the terms of the Warrants in order to (i) avoid an adverse impact on the Warrants and (ii) effectuate the intent and purpose of this Section 4, then, in each such case, the Company shall appoint a firm of independent public accountants, investment banking or other appraisal firm of recognized national standing, which shall give its opinion as to whether or not any adjustment to the rights represented by the Warrants is necessary to effectuate the intent and purpose of this Section 4 and, if they determine that an adjustment is necessary, the terms of such adjustment. The Company shall adjust the terms of the Warrants in a manner that is consistent with any adjustment recommended in such opinion.</w:t>
      </w:r>
    </w:p>
    <w:p>
      <w:pPr>
        <w:spacing w:after="0" w:line="165" w:lineRule="exact"/>
        <w:rPr>
          <w:sz w:val="20"/>
          <w:szCs w:val="20"/>
          <w:color w:val="auto"/>
        </w:rPr>
      </w:pPr>
    </w:p>
    <w:p>
      <w:pPr>
        <w:ind w:left="540" w:hanging="162"/>
        <w:spacing w:after="0"/>
        <w:tabs>
          <w:tab w:leader="none" w:pos="540" w:val="left"/>
        </w:tabs>
        <w:numPr>
          <w:ilvl w:val="0"/>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Transfer and Exchange of Warrants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382"/>
        <w:spacing w:after="0" w:line="259" w:lineRule="auto"/>
        <w:rPr>
          <w:sz w:val="20"/>
          <w:szCs w:val="20"/>
          <w:color w:val="auto"/>
        </w:rPr>
      </w:pPr>
      <w:r>
        <w:rPr>
          <w:rFonts w:ascii="Times New Roman" w:cs="Times New Roman" w:eastAsia="Times New Roman" w:hAnsi="Times New Roman"/>
          <w:sz w:val="16"/>
          <w:szCs w:val="16"/>
          <w:color w:val="auto"/>
        </w:rPr>
        <w:t xml:space="preserve">5.1 </w:t>
      </w:r>
      <w:r>
        <w:rPr>
          <w:rFonts w:ascii="Times New Roman" w:cs="Times New Roman" w:eastAsia="Times New Roman" w:hAnsi="Times New Roman"/>
          <w:sz w:val="16"/>
          <w:szCs w:val="16"/>
          <w:u w:val="single" w:color="auto"/>
          <w:color w:val="auto"/>
        </w:rPr>
        <w:t>Registration of Transfer</w:t>
      </w:r>
      <w:r>
        <w:rPr>
          <w:rFonts w:ascii="Times New Roman" w:cs="Times New Roman" w:eastAsia="Times New Roman" w:hAnsi="Times New Roman"/>
          <w:sz w:val="16"/>
          <w:szCs w:val="16"/>
          <w:color w:val="auto"/>
        </w:rPr>
        <w:t>. The Warrant Agent shall register the transfer, from time to time, of any outstanding Warrant into the Warrant Register, upon surrender of such Warrant for transfer, properly endorsed with signatures properly guaranteed and accompanied by appropriate instructions for transfer. Upon any such transfer, a new Warrant representing an equal aggregate number of Warrants shall be issued and the old Warrant shall be cancelled by the Warrant Agent. The Warrants so cancelled shall be delivered by the Warrant Agent to the Company from time to time upon the Company’s request.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85" w:name="page186"/>
    <w:bookmarkEnd w:id="185"/>
    <w:p>
      <w:pPr>
        <w:jc w:val="both"/>
        <w:ind w:firstLine="382"/>
        <w:spacing w:after="0" w:line="257" w:lineRule="auto"/>
        <w:rPr>
          <w:sz w:val="20"/>
          <w:szCs w:val="20"/>
          <w:color w:val="auto"/>
        </w:rPr>
      </w:pPr>
      <w:r>
        <w:rPr>
          <w:rFonts w:ascii="Times New Roman" w:cs="Times New Roman" w:eastAsia="Times New Roman" w:hAnsi="Times New Roman"/>
          <w:sz w:val="16"/>
          <w:szCs w:val="16"/>
          <w:color w:val="auto"/>
        </w:rPr>
        <w:t xml:space="preserve">5.2 </w:t>
      </w:r>
      <w:r>
        <w:rPr>
          <w:rFonts w:ascii="Times New Roman" w:cs="Times New Roman" w:eastAsia="Times New Roman" w:hAnsi="Times New Roman"/>
          <w:sz w:val="16"/>
          <w:szCs w:val="16"/>
          <w:u w:val="single" w:color="auto"/>
          <w:color w:val="auto"/>
        </w:rPr>
        <w:t>Procedure for Surrender of Warrants</w:t>
      </w:r>
      <w:r>
        <w:rPr>
          <w:rFonts w:ascii="Times New Roman" w:cs="Times New Roman" w:eastAsia="Times New Roman" w:hAnsi="Times New Roman"/>
          <w:sz w:val="16"/>
          <w:szCs w:val="16"/>
          <w:color w:val="auto"/>
        </w:rPr>
        <w:t>. Warrants may be surrendered to the Warrant Agent, together with a written request for exchange or transfer, and, thereupon, the Warrant Agent shall issue in exchange therefor one or more new Warrants as requested by the Registered Holder of the Warrants so surrendered, representing an equal aggregate number of Warrants; provided, however, that, in the event a Warrant surrendered for transfer bears a restrictive legend, the Warrant Agent shall not cancel such Warrant and shall issue new Warrants in exchange therefor until the Warrant Agent has received an opinion of counsel for the Company stating that such transfer may be made and indicating whether the new Warrants must also bear a restrictive legend.</w:t>
      </w:r>
    </w:p>
    <w:p>
      <w:pPr>
        <w:spacing w:after="0" w:line="162"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 xml:space="preserve">5.3 </w:t>
      </w:r>
      <w:r>
        <w:rPr>
          <w:rFonts w:ascii="Times New Roman" w:cs="Times New Roman" w:eastAsia="Times New Roman" w:hAnsi="Times New Roman"/>
          <w:sz w:val="16"/>
          <w:szCs w:val="16"/>
          <w:u w:val="single" w:color="auto"/>
          <w:color w:val="auto"/>
        </w:rPr>
        <w:t>Fractional Warrants</w:t>
      </w:r>
      <w:r>
        <w:rPr>
          <w:rFonts w:ascii="Times New Roman" w:cs="Times New Roman" w:eastAsia="Times New Roman" w:hAnsi="Times New Roman"/>
          <w:sz w:val="16"/>
          <w:szCs w:val="16"/>
          <w:color w:val="auto"/>
        </w:rPr>
        <w:t>. The Warrant Agent shall not be required to effect any registration of transfer or exchange which will result in the issuance of a warrant certificate or book-entry position for a fraction of a warrant.</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5.4 </w:t>
      </w:r>
      <w:r>
        <w:rPr>
          <w:rFonts w:ascii="Times New Roman" w:cs="Times New Roman" w:eastAsia="Times New Roman" w:hAnsi="Times New Roman"/>
          <w:sz w:val="16"/>
          <w:szCs w:val="16"/>
          <w:u w:val="single" w:color="auto"/>
          <w:color w:val="auto"/>
        </w:rPr>
        <w:t>Service Charges</w:t>
      </w:r>
      <w:r>
        <w:rPr>
          <w:rFonts w:ascii="Times New Roman" w:cs="Times New Roman" w:eastAsia="Times New Roman" w:hAnsi="Times New Roman"/>
          <w:sz w:val="16"/>
          <w:szCs w:val="16"/>
          <w:color w:val="auto"/>
        </w:rPr>
        <w:t>. No service charge shall be made for any exchange or registration of transfer of Warrants.</w:t>
      </w:r>
    </w:p>
    <w:p>
      <w:pPr>
        <w:spacing w:after="0" w:line="198"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 xml:space="preserve">5.5 </w:t>
      </w:r>
      <w:r>
        <w:rPr>
          <w:rFonts w:ascii="Times New Roman" w:cs="Times New Roman" w:eastAsia="Times New Roman" w:hAnsi="Times New Roman"/>
          <w:sz w:val="16"/>
          <w:szCs w:val="16"/>
          <w:u w:val="single" w:color="auto"/>
          <w:color w:val="auto"/>
        </w:rPr>
        <w:t>Warrant Execution and Countersignature</w:t>
      </w:r>
      <w:r>
        <w:rPr>
          <w:rFonts w:ascii="Times New Roman" w:cs="Times New Roman" w:eastAsia="Times New Roman" w:hAnsi="Times New Roman"/>
          <w:sz w:val="16"/>
          <w:szCs w:val="16"/>
          <w:color w:val="auto"/>
        </w:rPr>
        <w:t>. The Warrant Agent is hereby authorized to countersign and to deliver, in accordance with the terms of this Warrant Agreement, the Warrants required to be issued pursuant to the provisions of this Section 5, and the Company, whenever required by the Warrant Agent, will supply the Warrant Agent with Warrants duly executed on behalf of the Company for such purpose.</w:t>
      </w:r>
    </w:p>
    <w:p>
      <w:pPr>
        <w:spacing w:after="0" w:line="155" w:lineRule="exact"/>
        <w:rPr>
          <w:sz w:val="20"/>
          <w:szCs w:val="20"/>
          <w:color w:val="auto"/>
        </w:rPr>
      </w:pPr>
    </w:p>
    <w:p>
      <w:pPr>
        <w:ind w:left="540" w:hanging="162"/>
        <w:spacing w:after="0"/>
        <w:tabs>
          <w:tab w:leader="none" w:pos="540" w:val="left"/>
        </w:tabs>
        <w:numPr>
          <w:ilvl w:val="0"/>
          <w:numId w:val="2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Redemption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382"/>
        <w:spacing w:after="0" w:line="252" w:lineRule="auto"/>
        <w:rPr>
          <w:sz w:val="20"/>
          <w:szCs w:val="20"/>
          <w:color w:val="auto"/>
        </w:rPr>
      </w:pPr>
      <w:r>
        <w:rPr>
          <w:rFonts w:ascii="Times New Roman" w:cs="Times New Roman" w:eastAsia="Times New Roman" w:hAnsi="Times New Roman"/>
          <w:sz w:val="16"/>
          <w:szCs w:val="16"/>
          <w:color w:val="auto"/>
        </w:rPr>
        <w:t xml:space="preserve">6.1 </w:t>
      </w:r>
      <w:r>
        <w:rPr>
          <w:rFonts w:ascii="Times New Roman" w:cs="Times New Roman" w:eastAsia="Times New Roman" w:hAnsi="Times New Roman"/>
          <w:sz w:val="16"/>
          <w:szCs w:val="16"/>
          <w:u w:val="single" w:color="auto"/>
          <w:color w:val="auto"/>
        </w:rPr>
        <w:t>Redemption</w:t>
      </w:r>
      <w:r>
        <w:rPr>
          <w:rFonts w:ascii="Times New Roman" w:cs="Times New Roman" w:eastAsia="Times New Roman" w:hAnsi="Times New Roman"/>
          <w:sz w:val="16"/>
          <w:szCs w:val="16"/>
          <w:color w:val="auto"/>
        </w:rPr>
        <w:t>. Subject to the second sentence of this Section 6.1, all (and not less than all) of the outstanding Warrants may be redeemed, in whole and not in part, at the option of the Company, at any time from and after the Warrants become exercisable, and prior to their expiration, at the office of the Warrant Agent, upon the notice referred to in Section 6.2, at the price of $0.01 per Warrant (“</w:t>
      </w:r>
      <w:r>
        <w:rPr>
          <w:rFonts w:ascii="Times New Roman" w:cs="Times New Roman" w:eastAsia="Times New Roman" w:hAnsi="Times New Roman"/>
          <w:sz w:val="16"/>
          <w:szCs w:val="16"/>
          <w:b w:val="1"/>
          <w:bCs w:val="1"/>
          <w:color w:val="auto"/>
        </w:rPr>
        <w:t>Redemption Price</w:t>
      </w:r>
      <w:r>
        <w:rPr>
          <w:rFonts w:ascii="Times New Roman" w:cs="Times New Roman" w:eastAsia="Times New Roman" w:hAnsi="Times New Roman"/>
          <w:sz w:val="16"/>
          <w:szCs w:val="16"/>
          <w:color w:val="auto"/>
        </w:rPr>
        <w:t>”); provided that the last sales price of the shares of Common Stock has been equal to or greater than (i) $16.50 per share in the case of the Note Financing Warrants and the Private Warrants or (ii)165% of the volume weighted average trading price of the Common Stock during the 20 trading day period starting on the trading day prior to the day on which the Company consummated the Merger in the case of the Public Warrants (subject to adjustment for splits, dividends, recapitalizations and other similar events), for any twenty (20) trading days within a thirty (30) trading day period ending on the third business day prior to the date on which notice of redemption is given and provided further that there is a current registration statement in effect with respect to the shares of Common Stock underlying the Warrants and a current prospectus relating thereto, for each day in the aforementioned 30-day trading period and continuing each day thereafter until the Redemption Date (defined below). For avoidance of doubt, if and when the warrants become redeemable by the Company under this Section, the Company may exercise its redemption right, even if it is unable to register or qualify the Warrant Shares for sale under all applicable state securities laws.</w:t>
      </w:r>
    </w:p>
    <w:p>
      <w:pPr>
        <w:spacing w:after="0" w:line="171" w:lineRule="exact"/>
        <w:rPr>
          <w:sz w:val="20"/>
          <w:szCs w:val="20"/>
          <w:color w:val="auto"/>
        </w:rPr>
      </w:pPr>
    </w:p>
    <w:p>
      <w:pPr>
        <w:jc w:val="both"/>
        <w:ind w:right="20" w:firstLine="382"/>
        <w:spacing w:after="0" w:line="259" w:lineRule="auto"/>
        <w:rPr>
          <w:sz w:val="20"/>
          <w:szCs w:val="20"/>
          <w:color w:val="auto"/>
        </w:rPr>
      </w:pPr>
      <w:r>
        <w:rPr>
          <w:rFonts w:ascii="Times New Roman" w:cs="Times New Roman" w:eastAsia="Times New Roman" w:hAnsi="Times New Roman"/>
          <w:sz w:val="16"/>
          <w:szCs w:val="16"/>
          <w:color w:val="auto"/>
        </w:rPr>
        <w:t xml:space="preserve">6.2 </w:t>
      </w:r>
      <w:r>
        <w:rPr>
          <w:rFonts w:ascii="Times New Roman" w:cs="Times New Roman" w:eastAsia="Times New Roman" w:hAnsi="Times New Roman"/>
          <w:sz w:val="16"/>
          <w:szCs w:val="16"/>
          <w:u w:val="single" w:color="auto"/>
          <w:color w:val="auto"/>
        </w:rPr>
        <w:t>Date Fixed for, and Notice of, Redemption</w:t>
      </w:r>
      <w:r>
        <w:rPr>
          <w:rFonts w:ascii="Times New Roman" w:cs="Times New Roman" w:eastAsia="Times New Roman" w:hAnsi="Times New Roman"/>
          <w:sz w:val="16"/>
          <w:szCs w:val="16"/>
          <w:color w:val="auto"/>
        </w:rPr>
        <w:t>. In the event the Company shall elect to redeem all of the Warrants, the Company shall fix a date for the redemption (the “</w:t>
      </w:r>
      <w:r>
        <w:rPr>
          <w:rFonts w:ascii="Times New Roman" w:cs="Times New Roman" w:eastAsia="Times New Roman" w:hAnsi="Times New Roman"/>
          <w:sz w:val="16"/>
          <w:szCs w:val="16"/>
          <w:b w:val="1"/>
          <w:bCs w:val="1"/>
          <w:color w:val="auto"/>
        </w:rPr>
        <w:t>Redemption Date</w:t>
      </w:r>
      <w:r>
        <w:rPr>
          <w:rFonts w:ascii="Times New Roman" w:cs="Times New Roman" w:eastAsia="Times New Roman" w:hAnsi="Times New Roman"/>
          <w:sz w:val="16"/>
          <w:szCs w:val="16"/>
          <w:color w:val="auto"/>
        </w:rPr>
        <w:t>”). Notice of redemption shall be mailed by first class mail, postage prepaid, by the Company not less than 30 days prior to the date fixed for redemption to the Registered Holders of the Warrants to be redeemed at their last addresses as they shall appear on the Warrant Register. Any notice mailed in the manner herein provided shall be conclusively presumed to have been duly given, whether or not the Registered Holder received such notice.</w:t>
      </w:r>
    </w:p>
    <w:p>
      <w:pPr>
        <w:spacing w:after="0" w:line="162"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6"/>
          <w:szCs w:val="16"/>
          <w:color w:val="auto"/>
        </w:rPr>
        <w:t xml:space="preserve">6.3 </w:t>
      </w:r>
      <w:r>
        <w:rPr>
          <w:rFonts w:ascii="Times New Roman" w:cs="Times New Roman" w:eastAsia="Times New Roman" w:hAnsi="Times New Roman"/>
          <w:sz w:val="16"/>
          <w:szCs w:val="16"/>
          <w:u w:val="single" w:color="auto"/>
          <w:color w:val="auto"/>
        </w:rPr>
        <w:t>Exercise After Notice of Redemption</w:t>
      </w:r>
      <w:r>
        <w:rPr>
          <w:rFonts w:ascii="Times New Roman" w:cs="Times New Roman" w:eastAsia="Times New Roman" w:hAnsi="Times New Roman"/>
          <w:sz w:val="16"/>
          <w:szCs w:val="16"/>
          <w:color w:val="auto"/>
        </w:rPr>
        <w:t>. The Warrants may be exercised in accordance with Section 3 of this Warrant Agreement at any time after notice of redemption shall have been given by the Company pursuant to Section 6.2 hereof and prior to the Redemption Date; provided that the Company may require the Registered Holder who desires to exercise the Warrant to elect cashless exercise as set forth under Section 3.3.2, and such Registered Holder must exercise the Warrants on a cashless basis if the Company so requires. On and after the Redemption Date, the Registered Holder of the Warrants shall have no further rights except to receive, upon surrender of the Warrants, the Redemption Price.</w:t>
      </w:r>
    </w:p>
    <w:p>
      <w:pPr>
        <w:spacing w:after="0" w:line="162"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 xml:space="preserve">6.4 </w:t>
      </w:r>
      <w:r>
        <w:rPr>
          <w:rFonts w:ascii="Times New Roman" w:cs="Times New Roman" w:eastAsia="Times New Roman" w:hAnsi="Times New Roman"/>
          <w:sz w:val="16"/>
          <w:szCs w:val="16"/>
          <w:u w:val="single" w:color="auto"/>
          <w:color w:val="auto"/>
        </w:rPr>
        <w:t>No Other Rights to Cash Payment</w:t>
      </w:r>
      <w:r>
        <w:rPr>
          <w:rFonts w:ascii="Times New Roman" w:cs="Times New Roman" w:eastAsia="Times New Roman" w:hAnsi="Times New Roman"/>
          <w:sz w:val="16"/>
          <w:szCs w:val="16"/>
          <w:color w:val="auto"/>
        </w:rPr>
        <w:t>. Except for a redemption in accordance with this Section 6, no Registered Holder of any Warrant shall be entitled to any cash payment whatsoever from the Company in connection with the ownership, exercise or surrender of any Warrant under this Warrant Agreement.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86" w:name="page187"/>
    <w:bookmarkEnd w:id="186"/>
    <w:p>
      <w:pPr>
        <w:ind w:left="540" w:hanging="162"/>
        <w:spacing w:after="0"/>
        <w:tabs>
          <w:tab w:leader="none" w:pos="540"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Other Provisions Relating to Rights of Registered Holders of Warrants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382"/>
        <w:spacing w:after="0" w:line="265" w:lineRule="auto"/>
        <w:rPr>
          <w:sz w:val="20"/>
          <w:szCs w:val="20"/>
          <w:color w:val="auto"/>
        </w:rPr>
      </w:pPr>
      <w:r>
        <w:rPr>
          <w:rFonts w:ascii="Times New Roman" w:cs="Times New Roman" w:eastAsia="Times New Roman" w:hAnsi="Times New Roman"/>
          <w:sz w:val="16"/>
          <w:szCs w:val="16"/>
          <w:color w:val="auto"/>
        </w:rPr>
        <w:t xml:space="preserve">7.1 </w:t>
      </w:r>
      <w:r>
        <w:rPr>
          <w:rFonts w:ascii="Times New Roman" w:cs="Times New Roman" w:eastAsia="Times New Roman" w:hAnsi="Times New Roman"/>
          <w:sz w:val="16"/>
          <w:szCs w:val="16"/>
          <w:u w:val="single" w:color="auto"/>
          <w:color w:val="auto"/>
        </w:rPr>
        <w:t>No Rights as Stockholder</w:t>
      </w:r>
      <w:r>
        <w:rPr>
          <w:rFonts w:ascii="Times New Roman" w:cs="Times New Roman" w:eastAsia="Times New Roman" w:hAnsi="Times New Roman"/>
          <w:sz w:val="16"/>
          <w:szCs w:val="16"/>
          <w:color w:val="auto"/>
        </w:rPr>
        <w:t>. A Warrant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w:t>
      </w:r>
    </w:p>
    <w:p>
      <w:pPr>
        <w:spacing w:after="0" w:line="155" w:lineRule="exact"/>
        <w:rPr>
          <w:sz w:val="20"/>
          <w:szCs w:val="20"/>
          <w:color w:val="auto"/>
        </w:rPr>
      </w:pPr>
    </w:p>
    <w:p>
      <w:pPr>
        <w:jc w:val="both"/>
        <w:ind w:right="20" w:firstLine="382"/>
        <w:spacing w:after="0" w:line="259" w:lineRule="auto"/>
        <w:rPr>
          <w:sz w:val="20"/>
          <w:szCs w:val="20"/>
          <w:color w:val="auto"/>
        </w:rPr>
      </w:pPr>
      <w:r>
        <w:rPr>
          <w:rFonts w:ascii="Times New Roman" w:cs="Times New Roman" w:eastAsia="Times New Roman" w:hAnsi="Times New Roman"/>
          <w:sz w:val="16"/>
          <w:szCs w:val="16"/>
          <w:color w:val="auto"/>
        </w:rPr>
        <w:t xml:space="preserve">7.2 </w:t>
      </w:r>
      <w:r>
        <w:rPr>
          <w:rFonts w:ascii="Times New Roman" w:cs="Times New Roman" w:eastAsia="Times New Roman" w:hAnsi="Times New Roman"/>
          <w:sz w:val="16"/>
          <w:szCs w:val="16"/>
          <w:u w:val="single" w:color="auto"/>
          <w:color w:val="auto"/>
        </w:rPr>
        <w:t>Lost, Stolen Mutilated or Destroyed Warrants</w:t>
      </w:r>
      <w:r>
        <w:rPr>
          <w:rFonts w:ascii="Times New Roman" w:cs="Times New Roman" w:eastAsia="Times New Roman" w:hAnsi="Times New Roman"/>
          <w:sz w:val="16"/>
          <w:szCs w:val="16"/>
          <w:color w:val="auto"/>
        </w:rPr>
        <w:t>. If any Warrant is lost, stolen, mutilated or destroyed, the Company and the Warrant Agent may, on such terms as to indemnity or otherwise as they may in their discretion impose (which terms shall,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w:t>
      </w:r>
    </w:p>
    <w:p>
      <w:pPr>
        <w:spacing w:after="0" w:line="162" w:lineRule="exact"/>
        <w:rPr>
          <w:sz w:val="20"/>
          <w:szCs w:val="20"/>
          <w:color w:val="auto"/>
        </w:rPr>
      </w:pPr>
    </w:p>
    <w:p>
      <w:pPr>
        <w:jc w:val="both"/>
        <w:ind w:firstLine="382"/>
        <w:spacing w:after="0" w:line="280" w:lineRule="auto"/>
        <w:rPr>
          <w:sz w:val="20"/>
          <w:szCs w:val="20"/>
          <w:color w:val="auto"/>
        </w:rPr>
      </w:pPr>
      <w:r>
        <w:rPr>
          <w:rFonts w:ascii="Times New Roman" w:cs="Times New Roman" w:eastAsia="Times New Roman" w:hAnsi="Times New Roman"/>
          <w:sz w:val="16"/>
          <w:szCs w:val="16"/>
          <w:color w:val="auto"/>
        </w:rPr>
        <w:t xml:space="preserve">7.3 </w:t>
      </w:r>
      <w:r>
        <w:rPr>
          <w:rFonts w:ascii="Times New Roman" w:cs="Times New Roman" w:eastAsia="Times New Roman" w:hAnsi="Times New Roman"/>
          <w:sz w:val="16"/>
          <w:szCs w:val="16"/>
          <w:u w:val="single" w:color="auto"/>
          <w:color w:val="auto"/>
        </w:rPr>
        <w:t>Reservation of shares of Common Stock</w:t>
      </w:r>
      <w:r>
        <w:rPr>
          <w:rFonts w:ascii="Times New Roman" w:cs="Times New Roman" w:eastAsia="Times New Roman" w:hAnsi="Times New Roman"/>
          <w:sz w:val="16"/>
          <w:szCs w:val="16"/>
          <w:color w:val="auto"/>
        </w:rPr>
        <w:t>. The Company shall at all times reserve and keep available a number of its authorized but unissued shares of Common Stock that will be sufficient to permit the exercise in full of all outstanding Warrants issued pursuant to this Warrant Agreement.</w:t>
      </w:r>
    </w:p>
    <w:p>
      <w:pPr>
        <w:spacing w:after="0" w:line="144" w:lineRule="exact"/>
        <w:rPr>
          <w:sz w:val="20"/>
          <w:szCs w:val="20"/>
          <w:color w:val="auto"/>
        </w:rPr>
      </w:pPr>
    </w:p>
    <w:p>
      <w:pPr>
        <w:jc w:val="both"/>
        <w:ind w:right="20" w:firstLine="382"/>
        <w:spacing w:after="0" w:line="257" w:lineRule="auto"/>
        <w:rPr>
          <w:sz w:val="20"/>
          <w:szCs w:val="20"/>
          <w:color w:val="auto"/>
        </w:rPr>
      </w:pPr>
      <w:r>
        <w:rPr>
          <w:rFonts w:ascii="Times New Roman" w:cs="Times New Roman" w:eastAsia="Times New Roman" w:hAnsi="Times New Roman"/>
          <w:sz w:val="16"/>
          <w:szCs w:val="16"/>
          <w:color w:val="auto"/>
        </w:rPr>
        <w:t xml:space="preserve">7.4 </w:t>
      </w:r>
      <w:r>
        <w:rPr>
          <w:rFonts w:ascii="Times New Roman" w:cs="Times New Roman" w:eastAsia="Times New Roman" w:hAnsi="Times New Roman"/>
          <w:sz w:val="16"/>
          <w:szCs w:val="16"/>
          <w:u w:val="single" w:color="auto"/>
          <w:color w:val="auto"/>
        </w:rPr>
        <w:t>Registration of shares of Common Stock</w:t>
      </w:r>
      <w:r>
        <w:rPr>
          <w:rFonts w:ascii="Times New Roman" w:cs="Times New Roman" w:eastAsia="Times New Roman" w:hAnsi="Times New Roman"/>
          <w:sz w:val="16"/>
          <w:szCs w:val="16"/>
          <w:color w:val="auto"/>
        </w:rPr>
        <w:t>. The Company agrees that as soon as practicable, but in no event later than 30 business days after the closing of a business combination, it shall use its best efforts to file with the SEC a registration statement for the registration under the Act of the shares of Common Stock issuable upon exercise of the Warrants, and to cause the same to become effective and to maintain the effectiveness of such registration statement, and a current prospectus relating thereto, until the expiration of the Warrants in accordance with the provisions of this Warrant Agreement. In addition, the Company agrees to use its best efforts to register the shares of Common Stock issuable upon exercise of the Warrants under state blue sky laws, to the extent an exemption is not available.</w:t>
      </w:r>
    </w:p>
    <w:p>
      <w:pPr>
        <w:spacing w:after="0" w:line="162" w:lineRule="exact"/>
        <w:rPr>
          <w:sz w:val="20"/>
          <w:szCs w:val="20"/>
          <w:color w:val="auto"/>
        </w:rPr>
      </w:pPr>
    </w:p>
    <w:p>
      <w:pPr>
        <w:ind w:left="540" w:hanging="162"/>
        <w:spacing w:after="0"/>
        <w:tabs>
          <w:tab w:leader="none" w:pos="540"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Concerning the Warrant Agent and Other Matters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382"/>
        <w:spacing w:after="0" w:line="265" w:lineRule="auto"/>
        <w:rPr>
          <w:sz w:val="20"/>
          <w:szCs w:val="20"/>
          <w:color w:val="auto"/>
        </w:rPr>
      </w:pPr>
      <w:r>
        <w:rPr>
          <w:rFonts w:ascii="Times New Roman" w:cs="Times New Roman" w:eastAsia="Times New Roman" w:hAnsi="Times New Roman"/>
          <w:sz w:val="16"/>
          <w:szCs w:val="16"/>
          <w:color w:val="auto"/>
        </w:rPr>
        <w:t xml:space="preserve">8.1 </w:t>
      </w:r>
      <w:r>
        <w:rPr>
          <w:rFonts w:ascii="Times New Roman" w:cs="Times New Roman" w:eastAsia="Times New Roman" w:hAnsi="Times New Roman"/>
          <w:sz w:val="16"/>
          <w:szCs w:val="16"/>
          <w:u w:val="single" w:color="auto"/>
          <w:color w:val="auto"/>
        </w:rPr>
        <w:t>Payment of Taxes</w:t>
      </w:r>
      <w:r>
        <w:rPr>
          <w:rFonts w:ascii="Times New Roman" w:cs="Times New Roman" w:eastAsia="Times New Roman" w:hAnsi="Times New Roman"/>
          <w:sz w:val="16"/>
          <w:szCs w:val="16"/>
          <w:color w:val="auto"/>
        </w:rPr>
        <w:t>. The Company will, from time to time, promptly pay all taxes and charges that may be imposed upon the Company or the Warrant Agent in respect of the issuance or delivery of shares of Common Stock upon the exercise of Warrants, but the Company shall not be obligated to pay any transfer taxes in respect of the Warrants or such shares of Common Stock.</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8.2 </w:t>
      </w:r>
      <w:r>
        <w:rPr>
          <w:rFonts w:ascii="Times New Roman" w:cs="Times New Roman" w:eastAsia="Times New Roman" w:hAnsi="Times New Roman"/>
          <w:sz w:val="16"/>
          <w:szCs w:val="16"/>
          <w:u w:val="single" w:color="auto"/>
          <w:color w:val="auto"/>
        </w:rPr>
        <w:t>Resignation, Consolidation, or Merger of Warrant Agent</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382"/>
        <w:spacing w:after="0" w:line="252" w:lineRule="auto"/>
        <w:rPr>
          <w:sz w:val="20"/>
          <w:szCs w:val="20"/>
          <w:color w:val="auto"/>
        </w:rPr>
      </w:pPr>
      <w:r>
        <w:rPr>
          <w:rFonts w:ascii="Times New Roman" w:cs="Times New Roman" w:eastAsia="Times New Roman" w:hAnsi="Times New Roman"/>
          <w:sz w:val="16"/>
          <w:szCs w:val="16"/>
          <w:color w:val="auto"/>
        </w:rPr>
        <w:t xml:space="preserve">8.2.1 </w:t>
      </w:r>
      <w:r>
        <w:rPr>
          <w:rFonts w:ascii="Times New Roman" w:cs="Times New Roman" w:eastAsia="Times New Roman" w:hAnsi="Times New Roman"/>
          <w:sz w:val="16"/>
          <w:szCs w:val="16"/>
          <w:u w:val="single" w:color="auto"/>
          <w:color w:val="auto"/>
        </w:rPr>
        <w:t>Appointment of Successor Warrant Agent</w:t>
      </w:r>
      <w:r>
        <w:rPr>
          <w:rFonts w:ascii="Times New Roman" w:cs="Times New Roman" w:eastAsia="Times New Roman" w:hAnsi="Times New Roman"/>
          <w:sz w:val="16"/>
          <w:szCs w:val="16"/>
          <w:color w:val="auto"/>
        </w:rPr>
        <w:t>. The Warrant Agent, or any successor to it hereafter appointed, may resign its duties and be discharged from all further duties and liabilities hereunder after giving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30 days after it has been notified in writing of such resignation or incapacity by the Warrant Agent or by the Registered Holder of the Warrant (who shall, with such notice, submit his, her or its Warrant for inspection by the Company), then the Registered Holder of any Warrant may apply to the Supreme Court of the State of New York for the County of New York for the appointment of a successor Warrant Agent. Any successor Warrant Agent, whether appointed by the Company or by such court, shall be a corporation organized and existing under the laws of the State of New York, in good standing and having its principal office in the Borough of Manhattan, City and State of New York, and be authorized under such laws to exercise corporate trust powers and subject to supervision or examination by federal or state authorities.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87" w:name="page188"/>
    <w:bookmarkEnd w:id="187"/>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 xml:space="preserve">8.2.2 </w:t>
      </w:r>
      <w:r>
        <w:rPr>
          <w:rFonts w:ascii="Times New Roman" w:cs="Times New Roman" w:eastAsia="Times New Roman" w:hAnsi="Times New Roman"/>
          <w:sz w:val="16"/>
          <w:szCs w:val="16"/>
          <w:u w:val="single" w:color="auto"/>
          <w:color w:val="auto"/>
        </w:rPr>
        <w:t>Notice of Successor Warrant Agent</w:t>
      </w:r>
      <w:r>
        <w:rPr>
          <w:rFonts w:ascii="Times New Roman" w:cs="Times New Roman" w:eastAsia="Times New Roman" w:hAnsi="Times New Roman"/>
          <w:sz w:val="16"/>
          <w:szCs w:val="16"/>
          <w:color w:val="auto"/>
        </w:rPr>
        <w:t>. In the event a successor Warrant Agent shall be appointed, the Company shall give notice thereof to the predecessor Warrant Agent and the transfer agent for the shares of Common Stock not later than the effective date of any such appointment.</w:t>
      </w:r>
    </w:p>
    <w:p>
      <w:pPr>
        <w:spacing w:after="0" w:line="144"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 xml:space="preserve">8.2.3 </w:t>
      </w:r>
      <w:r>
        <w:rPr>
          <w:rFonts w:ascii="Times New Roman" w:cs="Times New Roman" w:eastAsia="Times New Roman" w:hAnsi="Times New Roman"/>
          <w:sz w:val="16"/>
          <w:szCs w:val="16"/>
          <w:u w:val="single" w:color="auto"/>
          <w:color w:val="auto"/>
        </w:rPr>
        <w:t>Merger or Consolidation of Warrant Agent</w:t>
      </w:r>
      <w:r>
        <w:rPr>
          <w:rFonts w:ascii="Times New Roman" w:cs="Times New Roman" w:eastAsia="Times New Roman" w:hAnsi="Times New Roman"/>
          <w:sz w:val="16"/>
          <w:szCs w:val="16"/>
          <w:color w:val="auto"/>
        </w:rPr>
        <w:t>. Any corporation into which the Warrant Agent may be merged or with which it may be consolidated or any corporation resulting from any merger or consolidation to which the Warrant Agent shall be a party shall be the successor Warrant Agent under this Warrant Agreement without any further act on the part of the Company or the Warrant Agent.</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8.3 </w:t>
      </w:r>
      <w:r>
        <w:rPr>
          <w:rFonts w:ascii="Times New Roman" w:cs="Times New Roman" w:eastAsia="Times New Roman" w:hAnsi="Times New Roman"/>
          <w:sz w:val="16"/>
          <w:szCs w:val="16"/>
          <w:u w:val="single" w:color="auto"/>
          <w:color w:val="auto"/>
        </w:rPr>
        <w:t>Fees and Expenses of Warrant Agent</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 xml:space="preserve">8.3.1 </w:t>
      </w:r>
      <w:r>
        <w:rPr>
          <w:rFonts w:ascii="Times New Roman" w:cs="Times New Roman" w:eastAsia="Times New Roman" w:hAnsi="Times New Roman"/>
          <w:sz w:val="16"/>
          <w:szCs w:val="16"/>
          <w:u w:val="single" w:color="auto"/>
          <w:color w:val="auto"/>
        </w:rPr>
        <w:t>Remuneration</w:t>
      </w:r>
      <w:r>
        <w:rPr>
          <w:rFonts w:ascii="Times New Roman" w:cs="Times New Roman" w:eastAsia="Times New Roman" w:hAnsi="Times New Roman"/>
          <w:sz w:val="16"/>
          <w:szCs w:val="16"/>
          <w:color w:val="auto"/>
        </w:rPr>
        <w:t>. The Company agrees to pay the Warrant Agent reasonable remuneration for its services as Warrant Agent hereunder and will reimburse the Warrant Agent upon demand for all expenditures that the Warrant Agent may reasonably incur in the execution of its duties hereunder.</w:t>
      </w:r>
    </w:p>
    <w:p>
      <w:pPr>
        <w:spacing w:after="0" w:line="144"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 xml:space="preserve">8.3.2 </w:t>
      </w:r>
      <w:r>
        <w:rPr>
          <w:rFonts w:ascii="Times New Roman" w:cs="Times New Roman" w:eastAsia="Times New Roman" w:hAnsi="Times New Roman"/>
          <w:sz w:val="16"/>
          <w:szCs w:val="16"/>
          <w:u w:val="single" w:color="auto"/>
          <w:color w:val="auto"/>
        </w:rPr>
        <w:t>Further Assurances</w:t>
      </w:r>
      <w:r>
        <w:rPr>
          <w:rFonts w:ascii="Times New Roman" w:cs="Times New Roman" w:eastAsia="Times New Roman" w:hAnsi="Times New Roman"/>
          <w:sz w:val="16"/>
          <w:szCs w:val="16"/>
          <w:color w:val="auto"/>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Warrant Agreement.</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8.4 </w:t>
      </w:r>
      <w:r>
        <w:rPr>
          <w:rFonts w:ascii="Times New Roman" w:cs="Times New Roman" w:eastAsia="Times New Roman" w:hAnsi="Times New Roman"/>
          <w:sz w:val="16"/>
          <w:szCs w:val="16"/>
          <w:u w:val="single" w:color="auto"/>
          <w:color w:val="auto"/>
        </w:rPr>
        <w:t>Liability of Warrant Agent</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382"/>
        <w:spacing w:after="0" w:line="257" w:lineRule="auto"/>
        <w:rPr>
          <w:sz w:val="20"/>
          <w:szCs w:val="20"/>
          <w:color w:val="auto"/>
        </w:rPr>
      </w:pPr>
      <w:r>
        <w:rPr>
          <w:rFonts w:ascii="Times New Roman" w:cs="Times New Roman" w:eastAsia="Times New Roman" w:hAnsi="Times New Roman"/>
          <w:sz w:val="16"/>
          <w:szCs w:val="16"/>
          <w:color w:val="auto"/>
        </w:rPr>
        <w:t xml:space="preserve">8.4.1 </w:t>
      </w:r>
      <w:r>
        <w:rPr>
          <w:rFonts w:ascii="Times New Roman" w:cs="Times New Roman" w:eastAsia="Times New Roman" w:hAnsi="Times New Roman"/>
          <w:sz w:val="16"/>
          <w:szCs w:val="16"/>
          <w:u w:val="single" w:color="auto"/>
          <w:color w:val="auto"/>
        </w:rPr>
        <w:t>Reliance on Company Statement</w:t>
      </w:r>
      <w:r>
        <w:rPr>
          <w:rFonts w:ascii="Times New Roman" w:cs="Times New Roman" w:eastAsia="Times New Roman" w:hAnsi="Times New Roman"/>
          <w:sz w:val="16"/>
          <w:szCs w:val="16"/>
          <w:color w:val="auto"/>
        </w:rPr>
        <w:t>. Whenever, in the performance of its duties under this Warrant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Chief Financial Officer or Chairman of the Board of the Company and delivered to the Warrant Agent. The Warrant Agent may rely upon such statement for any action taken or suffered in good faith by it pursuant to the provisions of this Warrant Agreement.</w:t>
      </w:r>
    </w:p>
    <w:p>
      <w:pPr>
        <w:spacing w:after="0" w:line="162"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 xml:space="preserve">8.4.2 </w:t>
      </w:r>
      <w:r>
        <w:rPr>
          <w:rFonts w:ascii="Times New Roman" w:cs="Times New Roman" w:eastAsia="Times New Roman" w:hAnsi="Times New Roman"/>
          <w:sz w:val="16"/>
          <w:szCs w:val="16"/>
          <w:u w:val="single" w:color="auto"/>
          <w:color w:val="auto"/>
        </w:rPr>
        <w:t>Indemnity</w:t>
      </w:r>
      <w:r>
        <w:rPr>
          <w:rFonts w:ascii="Times New Roman" w:cs="Times New Roman" w:eastAsia="Times New Roman" w:hAnsi="Times New Roman"/>
          <w:sz w:val="16"/>
          <w:szCs w:val="16"/>
          <w:color w:val="auto"/>
        </w:rPr>
        <w:t>. The Warrant Agent shall be liable hereunder only for its own gross negligence, willful misconduct or bad faith. The Company agrees to indemnify the Warrant Agent and hold it harmless against any and all liabilities, including judgments, costs and reasonable counsel fees, for anything done or omitted by the Warrant Agent in the execution of this Warrant Agreement, except as a result of the Warrant Agent’s gross negligence, willful misconduct or bad faith.</w:t>
      </w:r>
    </w:p>
    <w:p>
      <w:pPr>
        <w:spacing w:after="0" w:line="155" w:lineRule="exact"/>
        <w:rPr>
          <w:sz w:val="20"/>
          <w:szCs w:val="20"/>
          <w:color w:val="auto"/>
        </w:rPr>
      </w:pPr>
    </w:p>
    <w:p>
      <w:pPr>
        <w:jc w:val="both"/>
        <w:ind w:right="20" w:firstLine="382"/>
        <w:spacing w:after="0" w:line="255" w:lineRule="auto"/>
        <w:rPr>
          <w:sz w:val="20"/>
          <w:szCs w:val="20"/>
          <w:color w:val="auto"/>
        </w:rPr>
      </w:pPr>
      <w:r>
        <w:rPr>
          <w:rFonts w:ascii="Times New Roman" w:cs="Times New Roman" w:eastAsia="Times New Roman" w:hAnsi="Times New Roman"/>
          <w:sz w:val="16"/>
          <w:szCs w:val="16"/>
          <w:color w:val="auto"/>
        </w:rPr>
        <w:t xml:space="preserve">8.4.3 </w:t>
      </w:r>
      <w:r>
        <w:rPr>
          <w:rFonts w:ascii="Times New Roman" w:cs="Times New Roman" w:eastAsia="Times New Roman" w:hAnsi="Times New Roman"/>
          <w:sz w:val="16"/>
          <w:szCs w:val="16"/>
          <w:u w:val="single" w:color="auto"/>
          <w:color w:val="auto"/>
        </w:rPr>
        <w:t>Exclusions</w:t>
      </w:r>
      <w:r>
        <w:rPr>
          <w:rFonts w:ascii="Times New Roman" w:cs="Times New Roman" w:eastAsia="Times New Roman" w:hAnsi="Times New Roman"/>
          <w:sz w:val="16"/>
          <w:szCs w:val="16"/>
          <w:color w:val="auto"/>
        </w:rPr>
        <w:t>. The Warrant Agent shall have no responsibility with respect to the validity of this Warrant Agreement or with respect to the validity or execution of any Warrant (except its countersignature thereof); nor shall it be responsible for any breach by the Company of any covenant or condition contained in this Warrant Agreement or in any Warrant; nor shall it be responsible to make any adjustments required under the provisions of Section 4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shares of Common Stock to be issued pursuant to this Warrant Agreement or any Warrant or as to whether any shares of Common Stock will when issued be valid and fully paid and non-assessable.</w:t>
      </w:r>
    </w:p>
    <w:p>
      <w:pPr>
        <w:spacing w:after="0" w:line="165"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 xml:space="preserve">8.5 </w:t>
      </w:r>
      <w:r>
        <w:rPr>
          <w:rFonts w:ascii="Times New Roman" w:cs="Times New Roman" w:eastAsia="Times New Roman" w:hAnsi="Times New Roman"/>
          <w:sz w:val="16"/>
          <w:szCs w:val="16"/>
          <w:u w:val="single" w:color="auto"/>
          <w:color w:val="auto"/>
        </w:rPr>
        <w:t>Acceptance of Agency</w:t>
      </w:r>
      <w:r>
        <w:rPr>
          <w:rFonts w:ascii="Times New Roman" w:cs="Times New Roman" w:eastAsia="Times New Roman" w:hAnsi="Times New Roman"/>
          <w:sz w:val="16"/>
          <w:szCs w:val="16"/>
          <w:color w:val="auto"/>
        </w:rPr>
        <w:t>. The Warrant Agent hereby accepts the agency established by this Warrant Agreement and agrees to perform the same upon the terms and conditions herein set forth and, among other things, shall account promptly to the Company with respect to Warrants exercised and concurrently account for, and pay to the Company, all moneys received by the Warrant Agent for the purchase of shares of the Company’s shares of Common Stock through the exercise of Warrants.</w:t>
      </w:r>
    </w:p>
    <w:p>
      <w:pPr>
        <w:spacing w:after="0" w:line="155" w:lineRule="exact"/>
        <w:rPr>
          <w:sz w:val="20"/>
          <w:szCs w:val="20"/>
          <w:color w:val="auto"/>
        </w:rPr>
      </w:pPr>
    </w:p>
    <w:p>
      <w:pPr>
        <w:ind w:left="540" w:hanging="162"/>
        <w:spacing w:after="0"/>
        <w:tabs>
          <w:tab w:leader="none" w:pos="540" w:val="left"/>
        </w:tabs>
        <w:numPr>
          <w:ilvl w:val="0"/>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 Provisions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firstLine="382"/>
        <w:spacing w:after="0" w:line="280" w:lineRule="auto"/>
        <w:rPr>
          <w:sz w:val="20"/>
          <w:szCs w:val="20"/>
          <w:color w:val="auto"/>
        </w:rPr>
      </w:pPr>
      <w:r>
        <w:rPr>
          <w:rFonts w:ascii="Times New Roman" w:cs="Times New Roman" w:eastAsia="Times New Roman" w:hAnsi="Times New Roman"/>
          <w:sz w:val="16"/>
          <w:szCs w:val="16"/>
          <w:color w:val="auto"/>
        </w:rPr>
        <w:t xml:space="preserve">9.1 </w:t>
      </w:r>
      <w:r>
        <w:rPr>
          <w:rFonts w:ascii="Times New Roman" w:cs="Times New Roman" w:eastAsia="Times New Roman" w:hAnsi="Times New Roman"/>
          <w:sz w:val="16"/>
          <w:szCs w:val="16"/>
          <w:u w:val="single" w:color="auto"/>
          <w:color w:val="auto"/>
        </w:rPr>
        <w:t>Successors</w:t>
      </w:r>
      <w:r>
        <w:rPr>
          <w:rFonts w:ascii="Times New Roman" w:cs="Times New Roman" w:eastAsia="Times New Roman" w:hAnsi="Times New Roman"/>
          <w:sz w:val="16"/>
          <w:szCs w:val="16"/>
          <w:color w:val="auto"/>
        </w:rPr>
        <w:t>. All the covenants and provisions of this Warrant Agreement by or for the benefit of the Company or the Warrant Agent shall bind and inure to the benefit of their respective successors and assigns.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88" w:name="page189"/>
    <w:bookmarkEnd w:id="188"/>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 xml:space="preserve">9.2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Any notice, statement or demand authorized by this Warrant Agreement to be given or made by the Warrant Agent or by the Registered Holder of any Warrant to or on the Company shall be delivered by hand or sent by registered or certified mail or overnight courier service, addressed (until another address is filed in writing by the Company with the Warrant Agent) as follows:</w:t>
      </w:r>
    </w:p>
    <w:p>
      <w:pPr>
        <w:spacing w:after="0" w:line="1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Ventoux CCM Acquisition Corp.</w:t>
      </w:r>
    </w:p>
    <w:p>
      <w:pPr>
        <w:spacing w:after="0" w:line="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3000 El Camino Real 2 Palo Alto Square Suite 900</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Palo Alto, California 94306-2109</w:t>
      </w:r>
    </w:p>
    <w:p>
      <w:pPr>
        <w:spacing w:after="0" w:line="18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White and Case LLP</w:t>
      </w:r>
    </w:p>
    <w:p>
      <w:pPr>
        <w:spacing w:after="0" w:line="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1221 Avenue of the Americas</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New York, NY 10020-1095</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Attn: Colin Diamond</w:t>
      </w:r>
    </w:p>
    <w:p>
      <w:pPr>
        <w:spacing w:after="0" w:line="18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Any notice, statement or demand authorized by this Warrant Agreement to be given or made by the Registered Holder of any Warrant or by the Company to or on the Warrant Agent shall be delivered by hand or sent by registered or certified mail or overnight courier service, addressed (until another address is filed in writing by the Warrant Agent with the Company), as follows:</w:t>
      </w:r>
    </w:p>
    <w:p>
      <w:pPr>
        <w:spacing w:after="0" w:line="1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Continental Stock Transfer &amp; Trust Company</w:t>
      </w:r>
    </w:p>
    <w:p>
      <w:pPr>
        <w:ind w:left="1140"/>
        <w:spacing w:after="0" w:line="202" w:lineRule="auto"/>
        <w:rPr>
          <w:sz w:val="20"/>
          <w:szCs w:val="20"/>
          <w:color w:val="auto"/>
        </w:rPr>
      </w:pPr>
      <w:r>
        <w:rPr>
          <w:rFonts w:ascii="Times New Roman" w:cs="Times New Roman" w:eastAsia="Times New Roman" w:hAnsi="Times New Roman"/>
          <w:sz w:val="16"/>
          <w:szCs w:val="16"/>
          <w:color w:val="auto"/>
        </w:rPr>
        <w:t>1 State Street,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Floor</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New York, New York 10004</w:t>
      </w:r>
    </w:p>
    <w:p>
      <w:pPr>
        <w:spacing w:after="0" w:line="18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Any notice, sent pursuant to this Warrant Agreement shall be effective, if delivered by hand, upon receipt thereof by the party to whom it is addressed, if sent by overnight courier, on the next business day of the delivery to the courier, and if sent by registered or certified mail on the third day after registration or certification thereof.</w:t>
      </w:r>
    </w:p>
    <w:p>
      <w:pPr>
        <w:spacing w:after="0" w:line="144" w:lineRule="exact"/>
        <w:rPr>
          <w:sz w:val="20"/>
          <w:szCs w:val="20"/>
          <w:color w:val="auto"/>
        </w:rPr>
      </w:pPr>
    </w:p>
    <w:p>
      <w:pPr>
        <w:jc w:val="both"/>
        <w:ind w:firstLine="382"/>
        <w:spacing w:after="0" w:line="254" w:lineRule="auto"/>
        <w:rPr>
          <w:sz w:val="20"/>
          <w:szCs w:val="20"/>
          <w:color w:val="auto"/>
        </w:rPr>
      </w:pPr>
      <w:r>
        <w:rPr>
          <w:rFonts w:ascii="Times New Roman" w:cs="Times New Roman" w:eastAsia="Times New Roman" w:hAnsi="Times New Roman"/>
          <w:sz w:val="16"/>
          <w:szCs w:val="16"/>
          <w:color w:val="auto"/>
        </w:rPr>
        <w:t xml:space="preserve">9.3 </w:t>
      </w:r>
      <w:r>
        <w:rPr>
          <w:rFonts w:ascii="Times New Roman" w:cs="Times New Roman" w:eastAsia="Times New Roman" w:hAnsi="Times New Roman"/>
          <w:sz w:val="16"/>
          <w:szCs w:val="16"/>
          <w:u w:val="single" w:color="auto"/>
          <w:color w:val="auto"/>
        </w:rPr>
        <w:t>Applicable Law</w:t>
      </w:r>
      <w:r>
        <w:rPr>
          <w:rFonts w:ascii="Times New Roman" w:cs="Times New Roman" w:eastAsia="Times New Roman" w:hAnsi="Times New Roman"/>
          <w:sz w:val="16"/>
          <w:szCs w:val="16"/>
          <w:color w:val="auto"/>
        </w:rPr>
        <w:t>. The validity, interpretation, and performance of this Warrant Agreement and of the Warrants shall be governed in all respects by the laws of the State of New York, without giving effect to conflict of laws. Subject to applicable law, the Company and the Warrant Agent hereby agree that any action, proceeding or claim against either of them arising out of or relating in any way to this Warrant Agreement shall be brought and enforced in the courts of the State of New York or the United States District Court for the Southern District of New York, and irrevocably submits to such jurisdiction, which jurisdiction shall be exclusive forum for any such action, proceeding or claim. The Company and the Warrant Agent hereby waive any objection to such exclusive jurisdiction and that such courts represent an inconvenient forum. Notwithstanding the foregoing, the provisions of this paragraph will not apply to suits brought to enforce any liability or duty created by the Exchange Act or any other claim for which the federal district courts of the United States of America are the sole and exclusive forum.</w:t>
      </w:r>
    </w:p>
    <w:p>
      <w:pPr>
        <w:spacing w:after="0" w:line="167"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6"/>
          <w:szCs w:val="16"/>
          <w:color w:val="auto"/>
        </w:rPr>
        <w:t xml:space="preserve">Any person or entity purchasing or otherwise acquiring any interest in the Warrants shall be deemed to have notice of and to have consented to the forum provisions in this </w:t>
      </w:r>
      <w:r>
        <w:rPr>
          <w:rFonts w:ascii="Times New Roman" w:cs="Times New Roman" w:eastAsia="Times New Roman" w:hAnsi="Times New Roman"/>
          <w:sz w:val="16"/>
          <w:szCs w:val="16"/>
          <w:u w:val="single" w:color="auto"/>
          <w:color w:val="auto"/>
        </w:rPr>
        <w:t>Section 9.3</w:t>
      </w:r>
      <w:r>
        <w:rPr>
          <w:rFonts w:ascii="Times New Roman" w:cs="Times New Roman" w:eastAsia="Times New Roman" w:hAnsi="Times New Roman"/>
          <w:sz w:val="16"/>
          <w:szCs w:val="16"/>
          <w:color w:val="auto"/>
        </w:rPr>
        <w:t>. If any action, the subject matter of which is within the scope the forum provisions above, is filed in a court other than a court located within the State of New York or the United States District Court for the Southern District of New York (a “</w:t>
      </w:r>
      <w:r>
        <w:rPr>
          <w:rFonts w:ascii="Times New Roman" w:cs="Times New Roman" w:eastAsia="Times New Roman" w:hAnsi="Times New Roman"/>
          <w:sz w:val="16"/>
          <w:szCs w:val="16"/>
          <w:b w:val="1"/>
          <w:bCs w:val="1"/>
          <w:color w:val="auto"/>
        </w:rPr>
        <w:t>foreign action</w:t>
      </w:r>
      <w:r>
        <w:rPr>
          <w:rFonts w:ascii="Times New Roman" w:cs="Times New Roman" w:eastAsia="Times New Roman" w:hAnsi="Times New Roman"/>
          <w:sz w:val="16"/>
          <w:szCs w:val="16"/>
          <w:color w:val="auto"/>
        </w:rPr>
        <w:t>”) in the name of any Warrant holder, such Warrant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w:t>
      </w:r>
      <w:r>
        <w:rPr>
          <w:rFonts w:ascii="Times New Roman" w:cs="Times New Roman" w:eastAsia="Times New Roman" w:hAnsi="Times New Roman"/>
          <w:sz w:val="16"/>
          <w:szCs w:val="16"/>
          <w:b w:val="1"/>
          <w:bCs w:val="1"/>
          <w:color w:val="auto"/>
        </w:rPr>
        <w:t>enforcement action</w:t>
      </w:r>
      <w:r>
        <w:rPr>
          <w:rFonts w:ascii="Times New Roman" w:cs="Times New Roman" w:eastAsia="Times New Roman" w:hAnsi="Times New Roman"/>
          <w:sz w:val="16"/>
          <w:szCs w:val="16"/>
          <w:color w:val="auto"/>
        </w:rPr>
        <w:t>”), and (y) having service of process made upon such Warrant holder in any such enforcement action by service upon such Warrant holder’s counsel in the foreign action as agent for such Warrant holder.</w:t>
      </w:r>
    </w:p>
    <w:p>
      <w:pPr>
        <w:spacing w:after="0" w:line="165" w:lineRule="exact"/>
        <w:rPr>
          <w:sz w:val="20"/>
          <w:szCs w:val="20"/>
          <w:color w:val="auto"/>
        </w:rPr>
      </w:pPr>
    </w:p>
    <w:p>
      <w:pPr>
        <w:jc w:val="both"/>
        <w:ind w:right="20" w:firstLine="382"/>
        <w:spacing w:after="0" w:line="265" w:lineRule="auto"/>
        <w:rPr>
          <w:sz w:val="20"/>
          <w:szCs w:val="20"/>
          <w:color w:val="auto"/>
        </w:rPr>
      </w:pPr>
      <w:r>
        <w:rPr>
          <w:rFonts w:ascii="Times New Roman" w:cs="Times New Roman" w:eastAsia="Times New Roman" w:hAnsi="Times New Roman"/>
          <w:sz w:val="16"/>
          <w:szCs w:val="16"/>
          <w:color w:val="auto"/>
        </w:rPr>
        <w:t xml:space="preserve">Any such process or summons to be served upon the Company or the Warrant Agent may be served by transmitting a copy thereof by registered or certified mail, return receipt requested, postage prepaid, addressed to it at the address set forth in </w:t>
      </w:r>
      <w:r>
        <w:rPr>
          <w:rFonts w:ascii="Times New Roman" w:cs="Times New Roman" w:eastAsia="Times New Roman" w:hAnsi="Times New Roman"/>
          <w:sz w:val="16"/>
          <w:szCs w:val="16"/>
          <w:u w:val="single" w:color="auto"/>
          <w:color w:val="auto"/>
        </w:rPr>
        <w:t>Section 9.2</w:t>
      </w:r>
      <w:r>
        <w:rPr>
          <w:rFonts w:ascii="Times New Roman" w:cs="Times New Roman" w:eastAsia="Times New Roman" w:hAnsi="Times New Roman"/>
          <w:sz w:val="16"/>
          <w:szCs w:val="16"/>
          <w:color w:val="auto"/>
        </w:rPr>
        <w:t xml:space="preserve"> hereof. Such mailing shall be deemed personal service and shall be legal and binding upon the party receiving such service in any action, proceeding or claim.</w:t>
      </w:r>
    </w:p>
    <w:p>
      <w:pPr>
        <w:spacing w:after="0" w:line="155"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6"/>
          <w:szCs w:val="16"/>
          <w:color w:val="auto"/>
        </w:rPr>
        <w:t xml:space="preserve">9.4 </w:t>
      </w:r>
      <w:r>
        <w:rPr>
          <w:rFonts w:ascii="Times New Roman" w:cs="Times New Roman" w:eastAsia="Times New Roman" w:hAnsi="Times New Roman"/>
          <w:sz w:val="16"/>
          <w:szCs w:val="16"/>
          <w:u w:val="single" w:color="auto"/>
          <w:color w:val="auto"/>
        </w:rPr>
        <w:t>Persons Having Rights under this Warrant Agreement</w:t>
      </w:r>
      <w:r>
        <w:rPr>
          <w:rFonts w:ascii="Times New Roman" w:cs="Times New Roman" w:eastAsia="Times New Roman" w:hAnsi="Times New Roman"/>
          <w:sz w:val="16"/>
          <w:szCs w:val="16"/>
          <w:color w:val="auto"/>
        </w:rPr>
        <w:t xml:space="preserve">. Nothing in this Warrant Agreement expressed and nothing that may be implied from any of the provisions hereof is intended, or shall be construed, to confer upon, or give to, any person or corporation other than the parties hereto and the Registered Holders of the Warrants and, for the purposes of </w:t>
      </w:r>
      <w:r>
        <w:rPr>
          <w:rFonts w:ascii="Times New Roman" w:cs="Times New Roman" w:eastAsia="Times New Roman" w:hAnsi="Times New Roman"/>
          <w:sz w:val="16"/>
          <w:szCs w:val="16"/>
          <w:u w:val="single" w:color="auto"/>
          <w:color w:val="auto"/>
        </w:rPr>
        <w:t>Sections 2.5</w:t>
      </w:r>
      <w:r>
        <w:rPr>
          <w:rFonts w:ascii="Times New Roman" w:cs="Times New Roman" w:eastAsia="Times New Roman" w:hAnsi="Times New Roman"/>
          <w:sz w:val="16"/>
          <w:szCs w:val="16"/>
          <w:color w:val="auto"/>
        </w:rPr>
        <w:t xml:space="preserve"> hereof, the Representative and the underwriters, any right, remedy, or claim under or by reason of this Warrant Agreement or of any covenant, condition, stipulation, promise, or agreement hereof. All covenants, conditions, stipulations, promises, and agreements contained in this Warrant Agreement shall be for the sole and exclusive benefit of the parties hereto and their successors and assigns and of the Registered Holders of the Warrants.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89" w:name="page190"/>
    <w:bookmarkEnd w:id="189"/>
    <w:p>
      <w:pPr>
        <w:jc w:val="both"/>
        <w:ind w:right="20" w:firstLine="382"/>
        <w:spacing w:after="0" w:line="265" w:lineRule="auto"/>
        <w:rPr>
          <w:sz w:val="20"/>
          <w:szCs w:val="20"/>
          <w:color w:val="auto"/>
        </w:rPr>
      </w:pPr>
      <w:r>
        <w:rPr>
          <w:rFonts w:ascii="Times New Roman" w:cs="Times New Roman" w:eastAsia="Times New Roman" w:hAnsi="Times New Roman"/>
          <w:sz w:val="16"/>
          <w:szCs w:val="16"/>
          <w:color w:val="auto"/>
        </w:rPr>
        <w:t xml:space="preserve">9.5 </w:t>
      </w:r>
      <w:r>
        <w:rPr>
          <w:rFonts w:ascii="Times New Roman" w:cs="Times New Roman" w:eastAsia="Times New Roman" w:hAnsi="Times New Roman"/>
          <w:sz w:val="16"/>
          <w:szCs w:val="16"/>
          <w:u w:val="single" w:color="auto"/>
          <w:color w:val="auto"/>
        </w:rPr>
        <w:t>Examination of the Warrant Agreement</w:t>
      </w:r>
      <w:r>
        <w:rPr>
          <w:rFonts w:ascii="Times New Roman" w:cs="Times New Roman" w:eastAsia="Times New Roman" w:hAnsi="Times New Roman"/>
          <w:sz w:val="16"/>
          <w:szCs w:val="16"/>
          <w:color w:val="auto"/>
        </w:rPr>
        <w:t>. A copy of this Warrant Agreement shall be available at all reasonable times at the office of the Warrant Agent in the Borough of Manhattan, City and State of New York, for inspection by the Registered Holder of any Warrant. The Warrant Agent may require any such Registered Holder to submit his, her or its Warrant for inspection.</w:t>
      </w:r>
    </w:p>
    <w:p>
      <w:pPr>
        <w:spacing w:after="0" w:line="155"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 xml:space="preserve">9.6 </w:t>
      </w:r>
      <w:r>
        <w:rPr>
          <w:rFonts w:ascii="Times New Roman" w:cs="Times New Roman" w:eastAsia="Times New Roman" w:hAnsi="Times New Roman"/>
          <w:sz w:val="16"/>
          <w:szCs w:val="16"/>
          <w:u w:val="single" w:color="auto"/>
          <w:color w:val="auto"/>
        </w:rPr>
        <w:t>Counterparts- Facsimile Signatures</w:t>
      </w:r>
      <w:r>
        <w:rPr>
          <w:rFonts w:ascii="Times New Roman" w:cs="Times New Roman" w:eastAsia="Times New Roman" w:hAnsi="Times New Roman"/>
          <w:sz w:val="16"/>
          <w:szCs w:val="16"/>
          <w:color w:val="auto"/>
        </w:rPr>
        <w:t>. This Warrant Agreement may be executed in any number of counterparts, and each of such counterparts shall, for all purposes, be deemed to be an original, and all such counterparts shall together constitute one and the same instrument. Facsimile signatures shall constitute original signatures for all purposes of this Warrant Agreement.</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9.7 </w:t>
      </w:r>
      <w:r>
        <w:rPr>
          <w:rFonts w:ascii="Times New Roman" w:cs="Times New Roman" w:eastAsia="Times New Roman" w:hAnsi="Times New Roman"/>
          <w:sz w:val="16"/>
          <w:szCs w:val="16"/>
          <w:u w:val="single" w:color="auto"/>
          <w:color w:val="auto"/>
        </w:rPr>
        <w:t>Effect of Headings</w:t>
      </w:r>
      <w:r>
        <w:rPr>
          <w:rFonts w:ascii="Times New Roman" w:cs="Times New Roman" w:eastAsia="Times New Roman" w:hAnsi="Times New Roman"/>
          <w:sz w:val="16"/>
          <w:szCs w:val="16"/>
          <w:color w:val="auto"/>
        </w:rPr>
        <w:t>. The section headings herein are for convenience only and are not part of this Warrant Agreement and shall not affect the interpretation there of</w:t>
      </w:r>
    </w:p>
    <w:p>
      <w:pPr>
        <w:spacing w:after="0" w:line="198" w:lineRule="exact"/>
        <w:rPr>
          <w:sz w:val="20"/>
          <w:szCs w:val="20"/>
          <w:color w:val="auto"/>
        </w:rPr>
      </w:pPr>
    </w:p>
    <w:p>
      <w:pPr>
        <w:jc w:val="both"/>
        <w:ind w:firstLine="382"/>
        <w:spacing w:after="0" w:line="252" w:lineRule="auto"/>
        <w:rPr>
          <w:sz w:val="20"/>
          <w:szCs w:val="20"/>
          <w:color w:val="auto"/>
        </w:rPr>
      </w:pPr>
      <w:r>
        <w:rPr>
          <w:rFonts w:ascii="Times New Roman" w:cs="Times New Roman" w:eastAsia="Times New Roman" w:hAnsi="Times New Roman"/>
          <w:sz w:val="16"/>
          <w:szCs w:val="16"/>
          <w:color w:val="auto"/>
        </w:rPr>
        <w:t xml:space="preserve">9.8 </w:t>
      </w:r>
      <w:r>
        <w:rPr>
          <w:rFonts w:ascii="Times New Roman" w:cs="Times New Roman" w:eastAsia="Times New Roman" w:hAnsi="Times New Roman"/>
          <w:sz w:val="16"/>
          <w:szCs w:val="16"/>
          <w:u w:val="single" w:color="auto"/>
          <w:color w:val="auto"/>
        </w:rPr>
        <w:t>Amendments</w:t>
      </w:r>
      <w:r>
        <w:rPr>
          <w:rFonts w:ascii="Times New Roman" w:cs="Times New Roman" w:eastAsia="Times New Roman" w:hAnsi="Times New Roman"/>
          <w:sz w:val="16"/>
          <w:szCs w:val="16"/>
          <w:color w:val="auto"/>
        </w:rPr>
        <w:t>. This Warrant Agreement and any Warrant certificate may be amended by the parties hereto by executing a supplemental warrant agreement (a “</w:t>
      </w:r>
      <w:r>
        <w:rPr>
          <w:rFonts w:ascii="Times New Roman" w:cs="Times New Roman" w:eastAsia="Times New Roman" w:hAnsi="Times New Roman"/>
          <w:sz w:val="16"/>
          <w:szCs w:val="16"/>
          <w:b w:val="1"/>
          <w:bCs w:val="1"/>
          <w:color w:val="auto"/>
        </w:rPr>
        <w:t>Supplemental Agreement</w:t>
      </w:r>
      <w:r>
        <w:rPr>
          <w:rFonts w:ascii="Times New Roman" w:cs="Times New Roman" w:eastAsia="Times New Roman" w:hAnsi="Times New Roman"/>
          <w:sz w:val="16"/>
          <w:szCs w:val="16"/>
          <w:color w:val="auto"/>
        </w:rPr>
        <w:t>”), without the consent of any of the Warrant holders, for the purpose of (i) curing any ambiguity, or curing, correcting or supplementing any defective provision contained herein, or making any other provisions with respect to matters or questions arising under this Warrant Agreement that is not inconsistent with the provisions of this Warrant Agreement or the Warrant certificates, (ii) evidencing the succession of another corporation to the Company and the assumption by any such successor of the covenants of the Company contained in this Warrant Agreement and the Warrants, (iii) evidencing and providing for the acceptance of appointment by a successor Warrant Agent with respect to the Warrants, (iv) adding to the covenants of the Company for the benefit of the Registered Holders or surrendering any right or power conferred upon the Company under this Warrant Agreement, or (viii) amending this Warrant Agreement and the Warrants in any manner that the Company may deem to be necessary or desirable and that will not adversely affect the interests of the Registered Holders in any material respect. All other modifications or amendments to this Warrant Agreement, including any amendment to increase the Warrant Price or shorten the Exercise Period and any amendment to the terms of only the Note Financing Warrants, shall require the written consent of the Registered Holders of a majority of the then outstanding Warrants. Notwithstanding the foregoing, the Company may extend the duration of the Exercise Period in accordance with Section 3.2 without such consent.</w:t>
      </w:r>
    </w:p>
    <w:p>
      <w:pPr>
        <w:spacing w:after="0" w:line="169" w:lineRule="exact"/>
        <w:rPr>
          <w:sz w:val="20"/>
          <w:szCs w:val="20"/>
          <w:color w:val="auto"/>
        </w:rPr>
      </w:pPr>
    </w:p>
    <w:p>
      <w:pPr>
        <w:jc w:val="both"/>
        <w:ind w:right="20" w:firstLine="382"/>
        <w:spacing w:after="0" w:line="259" w:lineRule="auto"/>
        <w:rPr>
          <w:sz w:val="20"/>
          <w:szCs w:val="20"/>
          <w:color w:val="auto"/>
        </w:rPr>
      </w:pPr>
      <w:r>
        <w:rPr>
          <w:rFonts w:ascii="Times New Roman" w:cs="Times New Roman" w:eastAsia="Times New Roman" w:hAnsi="Times New Roman"/>
          <w:sz w:val="16"/>
          <w:szCs w:val="16"/>
          <w:color w:val="auto"/>
        </w:rPr>
        <w:t xml:space="preserve">9.9 </w:t>
      </w: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This Warrant Agreement shall be deemed severable, and the invalidity or unenforceability of any term or provision hereof shall not affect the validity or enforceability of this Warrant Agreement or of any other term or provision hereof. Furthermore, in lieu of any such invalid or unenforceable term or provision, the parties hereto intend that there shall be added as a part of this Warrant Agreement a provision as similar in terms to such invalid or unenforceable provision as may be possible and be valid and enforceable.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FOLLOWS]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6"/>
          <w:szCs w:val="16"/>
          <w:color w:val="auto"/>
        </w:rPr>
        <w:t>IN WITNESS WHEREOF, this Warrant Agreement has been duly executed by the parties hereto as of the day and year first above written.</w:t>
      </w:r>
    </w:p>
    <w:p>
      <w:pPr>
        <w:spacing w:after="0" w:line="19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b w:val="1"/>
          <w:bCs w:val="1"/>
          <w:color w:val="auto"/>
        </w:rPr>
        <w:t>VENTOUX CCM ACQUISITION CORP.</w:t>
      </w:r>
    </w:p>
    <w:p>
      <w:pPr>
        <w:spacing w:after="0" w:line="272"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15240</wp:posOffset>
            </wp:positionV>
            <wp:extent cx="2572385" cy="152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820"/>
        <w:spacing w:after="0"/>
        <w:tabs>
          <w:tab w:leader="none" w:pos="7360" w:val="left"/>
        </w:tabs>
        <w:rPr>
          <w:sz w:val="20"/>
          <w:szCs w:val="20"/>
          <w:color w:val="auto"/>
        </w:rPr>
      </w:pPr>
      <w:r>
        <w:rPr>
          <w:rFonts w:ascii="Times New Roman" w:cs="Times New Roman" w:eastAsia="Times New Roman" w:hAnsi="Times New Roman"/>
          <w:sz w:val="16"/>
          <w:szCs w:val="16"/>
          <w:color w:val="auto"/>
        </w:rPr>
        <w:t>Name:</w:t>
        <w:tab/>
        <w:t>Edward Scheetz</w:t>
      </w:r>
    </w:p>
    <w:p>
      <w:pPr>
        <w:spacing w:after="0" w:line="24" w:lineRule="exact"/>
        <w:rPr>
          <w:sz w:val="20"/>
          <w:szCs w:val="20"/>
          <w:color w:val="auto"/>
        </w:rPr>
      </w:pPr>
    </w:p>
    <w:p>
      <w:pPr>
        <w:ind w:left="6820"/>
        <w:spacing w:after="0"/>
        <w:tabs>
          <w:tab w:leader="none" w:pos="7360" w:val="left"/>
        </w:tabs>
        <w:rPr>
          <w:sz w:val="20"/>
          <w:szCs w:val="20"/>
          <w:color w:val="auto"/>
        </w:rPr>
      </w:pPr>
      <w:r>
        <w:rPr>
          <w:rFonts w:ascii="Times New Roman" w:cs="Times New Roman" w:eastAsia="Times New Roman" w:hAnsi="Times New Roman"/>
          <w:sz w:val="16"/>
          <w:szCs w:val="16"/>
          <w:color w:val="auto"/>
        </w:rPr>
        <w:t>Title:</w:t>
        <w:tab/>
        <w:t>Chief Executive Officer</w:t>
      </w:r>
    </w:p>
    <w:p>
      <w:pPr>
        <w:spacing w:after="0" w:line="180"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5"/>
          <w:szCs w:val="15"/>
          <w:b w:val="1"/>
          <w:bCs w:val="1"/>
          <w:color w:val="auto"/>
        </w:rPr>
        <w:t>CONTINENTAL STOCK TRANSFER &amp; TRUST COMPANY</w:t>
      </w:r>
    </w:p>
    <w:p>
      <w:pPr>
        <w:spacing w:after="0" w:line="212"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15240</wp:posOffset>
            </wp:positionV>
            <wp:extent cx="2572385" cy="152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color w:val="auto"/>
        </w:rPr>
        <w:t>Name:</w:t>
      </w:r>
    </w:p>
    <w:p>
      <w:pPr>
        <w:spacing w:after="0" w:line="24"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color w:val="auto"/>
        </w:rPr>
        <w:t>Title:</w:t>
      </w:r>
    </w:p>
    <w:p>
      <w:pPr>
        <w:spacing w:after="0" w:line="39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15240</wp:posOffset>
            </wp:positionV>
            <wp:extent cx="7148195" cy="152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40"/>
          </w:cols>
          <w:pgMar w:left="700" w:top="816" w:right="559" w:bottom="1440" w:gutter="0" w:footer="0" w:header="0"/>
        </w:sectPr>
      </w:pPr>
    </w:p>
    <w:bookmarkStart w:id="191" w:name="page192"/>
    <w:bookmarkEnd w:id="191"/>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Exhibit A</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Form of Warrant</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SPECIMEN WARRANT CERTIFICATE</w:t>
      </w:r>
    </w:p>
    <w:p>
      <w:pPr>
        <w:sectPr>
          <w:pgSz w:w="11900" w:h="16838" w:orient="portrait"/>
          <w:cols w:equalWidth="0" w:num="1">
            <w:col w:w="11260"/>
          </w:cols>
          <w:pgMar w:left="320" w:top="838" w:right="319" w:bottom="1440" w:gutter="0" w:footer="0" w:header="0"/>
        </w:sectPr>
      </w:pP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NUMBER</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 WARRANTS</w:t>
      </w:r>
    </w:p>
    <w:p>
      <w:pPr>
        <w:spacing w:after="0" w:line="401" w:lineRule="exact"/>
        <w:rPr>
          <w:sz w:val="20"/>
          <w:szCs w:val="20"/>
          <w:color w:val="auto"/>
        </w:rPr>
      </w:pPr>
    </w:p>
    <w:p>
      <w:pPr>
        <w:sectPr>
          <w:pgSz w:w="11900" w:h="16838" w:orient="portrait"/>
          <w:cols w:equalWidth="0" w:num="2">
            <w:col w:w="9480" w:space="720"/>
            <w:col w:w="1060"/>
          </w:cols>
          <w:pgMar w:left="320" w:top="838"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color w:val="auto"/>
        </w:rPr>
        <w:t>(THIS WARRANT WILL BE VOID IF NOT EXERCISED PRIOR TO 5:00 P.M.</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NEW YORK CITY TIME, FIVE YEARS FROM THE CLOSING DATE OF THE COMPANY’S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INITIAL BUSINESS COMBINATION)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VENTOUX CCM ACQUISITION CORP.</w:t>
      </w:r>
    </w:p>
    <w:p>
      <w:pPr>
        <w:spacing w:after="0" w:line="182"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15"/>
          <w:szCs w:val="15"/>
          <w:color w:val="auto"/>
        </w:rPr>
        <w:t>CUSIP 92280L119</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WARRANT</w:t>
      </w:r>
    </w:p>
    <w:p>
      <w:pPr>
        <w:spacing w:after="0" w:line="198" w:lineRule="exact"/>
        <w:rPr>
          <w:sz w:val="20"/>
          <w:szCs w:val="20"/>
          <w:color w:val="auto"/>
        </w:rPr>
      </w:pPr>
    </w:p>
    <w:p>
      <w:pPr>
        <w:jc w:val="both"/>
        <w:ind w:right="20" w:firstLine="382"/>
        <w:spacing w:after="0" w:line="257" w:lineRule="auto"/>
        <w:rPr>
          <w:sz w:val="20"/>
          <w:szCs w:val="20"/>
          <w:color w:val="auto"/>
        </w:rPr>
      </w:pPr>
      <w:r>
        <w:rPr>
          <w:rFonts w:ascii="Times New Roman" w:cs="Times New Roman" w:eastAsia="Times New Roman" w:hAnsi="Times New Roman"/>
          <w:sz w:val="16"/>
          <w:szCs w:val="16"/>
          <w:color w:val="auto"/>
        </w:rPr>
        <w:t>THIS WARRANT CERTIFIES THAT, for value received, or registered assigns, is the registered holder of a Warrant or Warrants (the “Warrant”), expiring on a date which is five years from the completion of the Company’s initial business combination, to purchase one-half of one fully paid and non-assessable share (the “Warrant Shares”), of common stock, par value $0.0001 per share (the “Common Stock”), of Ventoux CCM Acquisition Corp., a Delaware corporation (the “Company”), for each Warrant evidenced by this Warrant Certificate. This Warrant Certificate is subject to and shall be interpreted under the terms and conditions of the Warrant Agreement (as defined below).</w:t>
      </w:r>
    </w:p>
    <w:p>
      <w:pPr>
        <w:spacing w:after="0" w:line="162" w:lineRule="exact"/>
        <w:rPr>
          <w:sz w:val="20"/>
          <w:szCs w:val="20"/>
          <w:color w:val="auto"/>
        </w:rPr>
      </w:pPr>
    </w:p>
    <w:p>
      <w:pPr>
        <w:jc w:val="both"/>
        <w:ind w:firstLine="382"/>
        <w:spacing w:after="0" w:line="253" w:lineRule="auto"/>
        <w:rPr>
          <w:sz w:val="20"/>
          <w:szCs w:val="20"/>
          <w:color w:val="auto"/>
        </w:rPr>
      </w:pPr>
      <w:r>
        <w:rPr>
          <w:rFonts w:ascii="Times New Roman" w:cs="Times New Roman" w:eastAsia="Times New Roman" w:hAnsi="Times New Roman"/>
          <w:sz w:val="16"/>
          <w:szCs w:val="16"/>
          <w:color w:val="auto"/>
        </w:rPr>
        <w:t>The Warrant entitles the holder thereof to purchase from the Company, from time to time, in whole or in part, commencing on the later to occur of (i) the completion of the Company’s initial business combination or (ii) twelve (12) months following the closing of the Company’s initial public offering, such number of Warrant Shares at the Warrant Price (as defined in the Warrant Agreement), upon surrender of this Warrant Certificate and payment of the Warrant Price at the office or agency of Continental Stock Transfer &amp; Trust Company (the “Warrant Agent”), such payment to be made subject to the conditions set forth herein and in the Warrant Agreement, dated [●], 2020, between the Company and the Warrant Agent (the “Warrant Agreement”). In no event shall the registered holder(s) of this Warrant be entitled to receive a net-cash settlement in lieu of physical settlement in Warrant Shares of the Company. The Warrant Agreement provides that, upon the occurrence of certain events, the Warrant Price and the number of Warrant Shares purchasable hereunder, set forth on the face hereof, may be adjusted, subject to certain conditions. The term Warrant Price as used in this Warrant Certificate refers to the price per full Warrant Share at which Warrant Shares may be purchased at the time the Warrant is exercised.</w:t>
      </w:r>
    </w:p>
    <w:p>
      <w:pPr>
        <w:spacing w:after="0" w:line="169" w:lineRule="exact"/>
        <w:rPr>
          <w:sz w:val="20"/>
          <w:szCs w:val="20"/>
          <w:color w:val="auto"/>
        </w:rPr>
      </w:pPr>
    </w:p>
    <w:p>
      <w:pPr>
        <w:jc w:val="both"/>
        <w:ind w:firstLine="382"/>
        <w:spacing w:after="0" w:line="280" w:lineRule="auto"/>
        <w:rPr>
          <w:sz w:val="20"/>
          <w:szCs w:val="20"/>
          <w:color w:val="auto"/>
        </w:rPr>
      </w:pPr>
      <w:r>
        <w:rPr>
          <w:rFonts w:ascii="Times New Roman" w:cs="Times New Roman" w:eastAsia="Times New Roman" w:hAnsi="Times New Roman"/>
          <w:sz w:val="16"/>
          <w:szCs w:val="16"/>
          <w:color w:val="auto"/>
        </w:rPr>
        <w:t>This Warrant will expire on the date first referenced above if it is not exercised prior to such date by the registered holder pursuant to the terms of the Warrant Agreement or if it is not redeemed by the Company prior to such date.</w:t>
      </w:r>
    </w:p>
    <w:p>
      <w:pPr>
        <w:spacing w:after="0" w:line="144"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No fractional shares will be issued upon any exercise of a Warrant. If, upon exercise of a Warrant, a holder would be entitled to receive a fractional interest in a share, the Company will, upon exercise, issue or cause to be issued only the largest whole number of Warrant Shares issuable on such exercise (and such fraction of a share will be disregarded).</w:t>
      </w:r>
    </w:p>
    <w:p>
      <w:pPr>
        <w:spacing w:after="0" w:line="155"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Upon any exercise of the Warrant for less than the total number of full Warrant Shares provided for herein, there shall be issued to the registered holder(s) hereof or its assignee(s) a new Warrant Certificate covering the number of Warrant Shares for which the Warrant has not been exercised.</w:t>
      </w:r>
    </w:p>
    <w:p>
      <w:pPr>
        <w:spacing w:after="0" w:line="144"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Warrant Certificates, when surrendered at the office or agency of the Warrant Agent by the registered holder(s) hereof in person or by attorney duly authorized in writing, may be exchanged in the manner and subject to the limitations provided in the Warrant Agreement, but without payment of any service charge, for another Warrant Certificate or Warrant Certificates of like tenor and evidencing in the aggregate a like number of Warrants.</w:t>
      </w:r>
    </w:p>
    <w:p>
      <w:pPr>
        <w:spacing w:after="0" w:line="155"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Upon due presentment for registration of transfer of the Warrant Certificate at the office or agency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applicable tax or other governmental charge.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type w:val="continuous"/>
        </w:sectPr>
      </w:pPr>
    </w:p>
    <w:bookmarkStart w:id="192" w:name="page193"/>
    <w:bookmarkEnd w:id="192"/>
    <w:p>
      <w:pPr>
        <w:jc w:val="both"/>
        <w:ind w:right="20" w:firstLine="382"/>
        <w:spacing w:after="0" w:line="265" w:lineRule="auto"/>
        <w:rPr>
          <w:sz w:val="20"/>
          <w:szCs w:val="20"/>
          <w:color w:val="auto"/>
        </w:rPr>
      </w:pPr>
      <w:r>
        <w:rPr>
          <w:rFonts w:ascii="Times New Roman" w:cs="Times New Roman" w:eastAsia="Times New Roman" w:hAnsi="Times New Roman"/>
          <w:sz w:val="16"/>
          <w:szCs w:val="16"/>
          <w:color w:val="auto"/>
        </w:rPr>
        <w:t>The Company and the Warrant Agent may deem and treat the registered holder(s) as the absolute owner(s) of this Warrant Certificate (notwithstanding any notation of ownership or other writing hereon made by anyone) for the purpose of any exercise hereof, of any distribution to the registered holder(s), and for all other purposes, and neither the Company nor the Warrant Agent shall be affected by any notice to the contrary.</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This Warrant does not entitle the registered holder(s) to any of the rights of a stockholder of the Company.</w:t>
      </w:r>
    </w:p>
    <w:p>
      <w:pPr>
        <w:spacing w:after="0" w:line="198" w:lineRule="exact"/>
        <w:rPr>
          <w:sz w:val="20"/>
          <w:szCs w:val="20"/>
          <w:color w:val="auto"/>
        </w:rPr>
      </w:pPr>
    </w:p>
    <w:p>
      <w:pPr>
        <w:jc w:val="both"/>
        <w:ind w:firstLine="382"/>
        <w:spacing w:after="0" w:line="253" w:lineRule="auto"/>
        <w:rPr>
          <w:sz w:val="20"/>
          <w:szCs w:val="20"/>
          <w:color w:val="auto"/>
        </w:rPr>
      </w:pPr>
      <w:r>
        <w:rPr>
          <w:rFonts w:ascii="Times New Roman" w:cs="Times New Roman" w:eastAsia="Times New Roman" w:hAnsi="Times New Roman"/>
          <w:sz w:val="16"/>
          <w:szCs w:val="16"/>
          <w:color w:val="auto"/>
        </w:rPr>
        <w:t>After the Warrant becomes exercisable and prior to its expiration date, the Company reserves the right to call the Warrant at any time, with a notice of call in writing to the holder(s) of record of the Warrant, giving 30 days’ written notice of such call if the last reported sale price of the Common Stock has been equal to or greater than (i) $16.50 per share in the case of the Note Financing Warrants and the Private Warrants or (ii)165% of the volume weighted average trading price of the Common Stock during the 20 trading day period starting on the trading day prior to the day on which the Company consummated the Merger in the case of the Public Warrants for any 20 trading for any 20 trading days within a 30 trading day period ending on the third trading day prior to the date on which notice of such call is given, provided that (i) a registration statement under the Securities Act of 1933, as amended (the “Act”) with respect to the shares of Common Stock issuable upon exercise must be effective and a current prospectus must be available for use by the registered holders hereof or (ii) the Warrants may be exercised on cashless basis as set forth in the Warrant Agreement and such cashless exercise is exempt from registration under the Act. The call price is $0.01 per Warrant Share. No fractional shares will be issued upon exercise of the Warrant.</w:t>
      </w:r>
    </w:p>
    <w:p>
      <w:pPr>
        <w:spacing w:after="0" w:line="169" w:lineRule="exact"/>
        <w:rPr>
          <w:sz w:val="20"/>
          <w:szCs w:val="20"/>
          <w:color w:val="auto"/>
        </w:rPr>
      </w:pPr>
    </w:p>
    <w:p>
      <w:pPr>
        <w:jc w:val="both"/>
        <w:ind w:right="20" w:firstLine="382"/>
        <w:spacing w:after="0" w:line="282" w:lineRule="auto"/>
        <w:rPr>
          <w:sz w:val="20"/>
          <w:szCs w:val="20"/>
          <w:color w:val="auto"/>
        </w:rPr>
      </w:pPr>
      <w:r>
        <w:rPr>
          <w:rFonts w:ascii="Times New Roman" w:cs="Times New Roman" w:eastAsia="Times New Roman" w:hAnsi="Times New Roman"/>
          <w:sz w:val="15"/>
          <w:szCs w:val="15"/>
          <w:color w:val="auto"/>
        </w:rPr>
        <w:t>If the foregoing conditions are satisfied and the Company calls the Warrant for redemption, each holder will then be entitled to exercise his, her or its Warrant prior to the date scheduled for redemption; provided that the Company may require the Registered Holder who desires to exercise the Warrant, to elect cashless exercise as set forth in the Warrant Agreement, and such Registered Holder must exercise the Warrants on a cashless basis if the Company so requires. Any Warrant either not exercised or tendered back to the Company by the end of the date specified in the notice of call shall be canceled on the books of the Company and have no further value except for the $0.01 call price.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572385" cy="152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93" w:name="page194"/>
    <w:bookmarkEnd w:id="193"/>
    <w:p>
      <w:pPr>
        <w:jc w:val="center"/>
        <w:spacing w:after="0"/>
        <w:rPr>
          <w:sz w:val="20"/>
          <w:szCs w:val="20"/>
          <w:color w:val="auto"/>
        </w:rPr>
      </w:pPr>
      <w:r>
        <w:rPr>
          <w:rFonts w:ascii="Times New Roman" w:cs="Times New Roman" w:eastAsia="Times New Roman" w:hAnsi="Times New Roman"/>
          <w:sz w:val="16"/>
          <w:szCs w:val="16"/>
          <w:color w:val="auto"/>
        </w:rPr>
        <w:t>[REVERSE OF CERTIFICATE]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SUBSCRIPTION FORM</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To Be Executed by the Registered Holder(s) in Order to Exercise Warrants</w:t>
      </w:r>
    </w:p>
    <w:p>
      <w:pPr>
        <w:spacing w:after="0" w:line="198" w:lineRule="exact"/>
        <w:rPr>
          <w:sz w:val="20"/>
          <w:szCs w:val="20"/>
          <w:color w:val="auto"/>
        </w:rPr>
      </w:pPr>
    </w:p>
    <w:p>
      <w:pPr>
        <w:jc w:val="both"/>
        <w:ind w:right="20" w:firstLine="382"/>
        <w:spacing w:after="0" w:line="265" w:lineRule="auto"/>
        <w:rPr>
          <w:sz w:val="20"/>
          <w:szCs w:val="20"/>
          <w:color w:val="auto"/>
        </w:rPr>
      </w:pPr>
      <w:r>
        <w:rPr>
          <w:rFonts w:ascii="Times New Roman" w:cs="Times New Roman" w:eastAsia="Times New Roman" w:hAnsi="Times New Roman"/>
          <w:sz w:val="16"/>
          <w:szCs w:val="16"/>
          <w:color w:val="auto"/>
        </w:rPr>
        <w:t>The undersigned hereby irrevocably elects to exercise the right, represented by this Warrant Certificate, to receive shares of Common Stock in accordance with the terms of this Warrant Certificate and pursuant to the method selected below. Capitalized terms used herein and not otherwise defined have the respective meanings set forth in the Warrant Certificate. PLEASE CHECK ONE METHOD OF PAYMENT:</w:t>
      </w:r>
    </w:p>
    <w:p>
      <w:pPr>
        <w:spacing w:after="0" w:line="15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6"/>
          <w:szCs w:val="16"/>
          <w:color w:val="auto"/>
        </w:rPr>
        <w:t>a “</w:t>
      </w:r>
      <w:r>
        <w:rPr>
          <w:rFonts w:ascii="Times New Roman" w:cs="Times New Roman" w:eastAsia="Times New Roman" w:hAnsi="Times New Roman"/>
          <w:sz w:val="16"/>
          <w:szCs w:val="16"/>
          <w:u w:val="single" w:color="auto"/>
          <w:color w:val="auto"/>
        </w:rPr>
        <w:t>Cash Exercise</w:t>
      </w:r>
      <w:r>
        <w:rPr>
          <w:rFonts w:ascii="Times New Roman" w:cs="Times New Roman" w:eastAsia="Times New Roman" w:hAnsi="Times New Roman"/>
          <w:sz w:val="16"/>
          <w:szCs w:val="16"/>
          <w:color w:val="auto"/>
        </w:rPr>
        <w:t>” with respect to Warrant Shares; and/or</w:t>
      </w:r>
    </w:p>
    <w:p>
      <w:pPr>
        <w:spacing w:after="0" w:line="270" w:lineRule="exact"/>
        <w:rPr>
          <w:sz w:val="20"/>
          <w:szCs w:val="20"/>
          <w:color w:val="auto"/>
        </w:rPr>
      </w:pPr>
    </w:p>
    <w:p>
      <w:pPr>
        <w:jc w:val="both"/>
        <w:ind w:left="5280"/>
        <w:spacing w:after="0" w:line="257" w:lineRule="auto"/>
        <w:rPr>
          <w:sz w:val="20"/>
          <w:szCs w:val="20"/>
          <w:color w:val="auto"/>
        </w:rPr>
      </w:pPr>
      <w:r>
        <w:rPr>
          <w:rFonts w:ascii="Times New Roman" w:cs="Times New Roman" w:eastAsia="Times New Roman" w:hAnsi="Times New Roman"/>
          <w:sz w:val="16"/>
          <w:szCs w:val="16"/>
          <w:color w:val="auto"/>
        </w:rPr>
        <w:t>a “</w:t>
      </w:r>
      <w:r>
        <w:rPr>
          <w:rFonts w:ascii="Times New Roman" w:cs="Times New Roman" w:eastAsia="Times New Roman" w:hAnsi="Times New Roman"/>
          <w:sz w:val="16"/>
          <w:szCs w:val="16"/>
          <w:u w:val="single" w:color="auto"/>
          <w:color w:val="auto"/>
        </w:rPr>
        <w:t>Cashless Exercise</w:t>
      </w:r>
      <w:r>
        <w:rPr>
          <w:rFonts w:ascii="Times New Roman" w:cs="Times New Roman" w:eastAsia="Times New Roman" w:hAnsi="Times New Roman"/>
          <w:sz w:val="16"/>
          <w:szCs w:val="16"/>
          <w:color w:val="auto"/>
        </w:rPr>
        <w:t xml:space="preserve">” with respect to Warrant Shares because on the date of this exercise, there is no effective registration statement registering the Warrant Shares, or the prospectus contained therein is not available for the resale of the Warrant Shares, in which event the Company shall deliver to the registered holder(s) shares of Common Stock pursuant to </w:t>
      </w:r>
      <w:r>
        <w:rPr>
          <w:rFonts w:ascii="Times New Roman" w:cs="Times New Roman" w:eastAsia="Times New Roman" w:hAnsi="Times New Roman"/>
          <w:sz w:val="16"/>
          <w:szCs w:val="16"/>
          <w:u w:val="single" w:color="auto"/>
          <w:color w:val="auto"/>
        </w:rPr>
        <w:t>Section 3.3.2</w:t>
      </w:r>
      <w:r>
        <w:rPr>
          <w:rFonts w:ascii="Times New Roman" w:cs="Times New Roman" w:eastAsia="Times New Roman" w:hAnsi="Times New Roman"/>
          <w:sz w:val="16"/>
          <w:szCs w:val="16"/>
          <w:color w:val="auto"/>
        </w:rPr>
        <w:t xml:space="preserve"> of the Warrant Agreement.</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undersigned requests that a certificate for such shares be registered in the name(s) of:</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TYPE OR PRINT NAME(S)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148195" cy="152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(SOCIAL SECURITY OR TAX IDENTIFICATION NUMBER(S))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be delivered to</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(PLEASE PRINT OR TYPE NAME(S) AND ADDRESS)</w:t>
      </w:r>
    </w:p>
    <w:p>
      <w:pPr>
        <w:spacing w:after="0" w:line="198"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and, if such number of Warrants shall not be all the Warrants evidenced by this Warrant Certificate, that a new Warrant Certificate for the balance of such Warrants be registered in the name of, and delivered to, the registered holder(s) at the address(es) stated below:</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2860675" cy="152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860675" cy="1524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2860675" cy="152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860675" cy="1524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(TAX IDENTIFICATION NUMBER(S))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40" w:right="319" w:bottom="1440" w:gutter="0" w:footer="0" w:header="0"/>
        </w:sectPr>
      </w:pPr>
    </w:p>
    <w:bookmarkStart w:id="194" w:name="page195"/>
    <w:bookmarkEnd w:id="194"/>
    <w:p>
      <w:pPr>
        <w:jc w:val="center"/>
        <w:spacing w:after="0"/>
        <w:rPr>
          <w:sz w:val="20"/>
          <w:szCs w:val="20"/>
          <w:color w:val="auto"/>
        </w:rPr>
      </w:pPr>
      <w:r>
        <w:rPr>
          <w:rFonts w:ascii="Times New Roman" w:cs="Times New Roman" w:eastAsia="Times New Roman" w:hAnsi="Times New Roman"/>
          <w:sz w:val="16"/>
          <w:szCs w:val="16"/>
          <w:color w:val="auto"/>
        </w:rPr>
        <w:t>ASSIGNMENT</w:t>
      </w:r>
    </w:p>
    <w:p>
      <w:pPr>
        <w:spacing w:after="0" w:line="19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6"/>
          <w:szCs w:val="16"/>
          <w:color w:val="auto"/>
        </w:rPr>
        <w:t>To Be Executed by the Registered Holder in Order to Assign Warrants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Value Received, 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148195" cy="152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TYPE OR PRINT NAME(S) AND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7148195" cy="152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(SOCIAL SECURITY OR TAX IDENTIFICATION NUMBER(S))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to be delivered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273050</wp:posOffset>
            </wp:positionV>
            <wp:extent cx="2716530" cy="152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716530" cy="1524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6"/>
          <w:szCs w:val="16"/>
          <w:color w:val="auto"/>
        </w:rPr>
        <w:t>(PLEASE PRINT OR TYPE NAME(S)</w:t>
      </w:r>
    </w:p>
    <w:p>
      <w:pPr>
        <w:spacing w:after="0" w:line="2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6"/>
          <w:szCs w:val="16"/>
          <w:color w:val="auto"/>
        </w:rPr>
        <w:t>AND ADDRESS(ES))</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(SOCIAL SECURITY OR TAX IDENTIFICATION NUMBER(S))</w:t>
      </w:r>
    </w:p>
    <w:p>
      <w:pPr>
        <w:spacing w:after="0" w:line="19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of the Warrants represented by this Warrant Certificate, and hereby irrevocably constitute and appoint Attorney to transfer this Warrant Certificate on the books of the Company, with full power of substitution in the premises.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3004820" cy="152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004820" cy="1524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(SIGNATURE(S))</w:t>
      </w:r>
    </w:p>
    <w:p>
      <w:pPr>
        <w:spacing w:after="0" w:line="19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NOTICE: THE SIGNATURE(S) TO THIS ASSIGNMENT MUST CORRESPOND WITH THE NAME AS WRITTEN UPON THE FACE OF THE CERTIFICATE IN EVERY PARTICULAR, WITHOUT ALTERATION OR ENLARGEMENT OR ANY CHANGE WHATEVER.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Signature(s) Guaranteed: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7620</wp:posOffset>
            </wp:positionV>
            <wp:extent cx="2572385" cy="152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3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THE SIGNATURE(S) MUST BE GUARANTEED BY AN ELIGIBLE GUARANTOR INSTITUTION (BANKS, STOCKBROKERS, SAVINGS AND LOAN ASSOCIATIONS AND CREDIT UNIONS WITH MEMBERSHIP IN AN APPROVED SIGNATURE GUARANTEE MEDALLION PROGRAM, PURSUANT TO S.E.C. RULE 17Ad-15).</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40" w:right="31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9"/>
          <w:szCs w:val="19"/>
          <w:b w:val="1"/>
          <w:bCs w:val="1"/>
          <w:color w:val="auto"/>
        </w:rPr>
        <w:t>Exhibit 10.5</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AMENDED AND RESTATED REGISTRATION RIGHTS AGREEMENT</w:t>
      </w:r>
    </w:p>
    <w:p>
      <w:pPr>
        <w:spacing w:after="0" w:line="200" w:lineRule="exact"/>
        <w:rPr>
          <w:sz w:val="20"/>
          <w:szCs w:val="20"/>
          <w:color w:val="auto"/>
        </w:rPr>
      </w:pPr>
    </w:p>
    <w:p>
      <w:pPr>
        <w:jc w:val="both"/>
        <w:ind w:firstLine="382"/>
        <w:spacing w:after="0" w:line="254" w:lineRule="auto"/>
        <w:rPr>
          <w:sz w:val="20"/>
          <w:szCs w:val="20"/>
          <w:color w:val="auto"/>
        </w:rPr>
      </w:pPr>
      <w:r>
        <w:rPr>
          <w:rFonts w:ascii="Times New Roman" w:cs="Times New Roman" w:eastAsia="Times New Roman" w:hAnsi="Times New Roman"/>
          <w:sz w:val="16"/>
          <w:szCs w:val="16"/>
          <w:color w:val="auto"/>
        </w:rPr>
        <w:t>This AMENDED AND RESTATED REGISTRATION RIGHTS AGREEMENT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is made as of [●], 2022, by and among (i) Ventoux CCM Acquisition Corp., a Delaware corporation (“</w:t>
      </w:r>
      <w:r>
        <w:rPr>
          <w:rFonts w:ascii="Times New Roman" w:cs="Times New Roman" w:eastAsia="Times New Roman" w:hAnsi="Times New Roman"/>
          <w:sz w:val="16"/>
          <w:szCs w:val="16"/>
          <w:u w:val="single" w:color="auto"/>
          <w:color w:val="auto"/>
        </w:rPr>
        <w:t>Pubco</w:t>
      </w:r>
      <w:r>
        <w:rPr>
          <w:rFonts w:ascii="Times New Roman" w:cs="Times New Roman" w:eastAsia="Times New Roman" w:hAnsi="Times New Roman"/>
          <w:sz w:val="16"/>
          <w:szCs w:val="16"/>
          <w:color w:val="auto"/>
        </w:rPr>
        <w:t>”), (ii) Ventoux Acquisition Holdings LLC, a Delaware limited liability company (“</w:t>
      </w:r>
      <w:r>
        <w:rPr>
          <w:rFonts w:ascii="Times New Roman" w:cs="Times New Roman" w:eastAsia="Times New Roman" w:hAnsi="Times New Roman"/>
          <w:sz w:val="16"/>
          <w:szCs w:val="16"/>
          <w:u w:val="single" w:color="auto"/>
          <w:color w:val="auto"/>
        </w:rPr>
        <w:t>Co-Sponsor</w:t>
      </w:r>
      <w:r>
        <w:rPr>
          <w:rFonts w:ascii="Times New Roman" w:cs="Times New Roman" w:eastAsia="Times New Roman" w:hAnsi="Times New Roman"/>
          <w:sz w:val="16"/>
          <w:szCs w:val="16"/>
          <w:color w:val="auto"/>
        </w:rPr>
        <w:t>”), (iii) Chardan International Investments, LLC, a Delaware limited liability company (together with the Co-Sponsor, the “</w:t>
      </w:r>
      <w:r>
        <w:rPr>
          <w:rFonts w:ascii="Times New Roman" w:cs="Times New Roman" w:eastAsia="Times New Roman" w:hAnsi="Times New Roman"/>
          <w:sz w:val="16"/>
          <w:szCs w:val="16"/>
          <w:u w:val="single" w:color="auto"/>
          <w:color w:val="auto"/>
        </w:rPr>
        <w:t>Sponsors</w:t>
      </w:r>
      <w:r>
        <w:rPr>
          <w:rFonts w:ascii="Times New Roman" w:cs="Times New Roman" w:eastAsia="Times New Roman" w:hAnsi="Times New Roman"/>
          <w:sz w:val="16"/>
          <w:szCs w:val="16"/>
          <w:color w:val="auto"/>
        </w:rPr>
        <w:t>”), (iv) Silver Rock Contingent Credit Fund LP (the “SR Fund”) and Silver Rock Tactical Allocation Fund LP (together with the SR Fund, the “Silver Rock Investors”), (v) each of the Persons listed on the Schedule of Investors attached hereto as of the date hereof, and (vi) each of the other Persons set forth from time to time on the Schedule of Investors who, at any time, own securities of Pubco and enter into a joinder to this Agreement agreeing to be bound by the terms hereof (each Person identified in the foregoing (ii) through (vi), an “</w:t>
      </w:r>
      <w:r>
        <w:rPr>
          <w:rFonts w:ascii="Times New Roman" w:cs="Times New Roman" w:eastAsia="Times New Roman" w:hAnsi="Times New Roman"/>
          <w:sz w:val="16"/>
          <w:szCs w:val="16"/>
          <w:u w:val="single" w:color="auto"/>
          <w:color w:val="auto"/>
        </w:rPr>
        <w:t>Investor</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u w:val="single" w:color="auto"/>
          <w:color w:val="auto"/>
        </w:rPr>
        <w:t>Investors</w:t>
      </w:r>
      <w:r>
        <w:rPr>
          <w:rFonts w:ascii="Times New Roman" w:cs="Times New Roman" w:eastAsia="Times New Roman" w:hAnsi="Times New Roman"/>
          <w:sz w:val="16"/>
          <w:szCs w:val="16"/>
          <w:color w:val="auto"/>
        </w:rPr>
        <w:t xml:space="preserve">”). Unless otherwise provided in this Agreement, capitalized terms used herein shall have the meanings set forth in </w:t>
      </w: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 xml:space="preserve"> hereof.</w:t>
      </w:r>
    </w:p>
    <w:p>
      <w:pPr>
        <w:spacing w:after="0" w:line="167"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WHEREAS, Pubco and certain of the Investors (the “</w:t>
      </w:r>
      <w:r>
        <w:rPr>
          <w:rFonts w:ascii="Times New Roman" w:cs="Times New Roman" w:eastAsia="Times New Roman" w:hAnsi="Times New Roman"/>
          <w:sz w:val="16"/>
          <w:szCs w:val="16"/>
          <w:u w:val="single" w:color="auto"/>
          <w:color w:val="auto"/>
        </w:rPr>
        <w:t>Original Holders</w:t>
      </w:r>
      <w:r>
        <w:rPr>
          <w:rFonts w:ascii="Times New Roman" w:cs="Times New Roman" w:eastAsia="Times New Roman" w:hAnsi="Times New Roman"/>
          <w:sz w:val="16"/>
          <w:szCs w:val="16"/>
          <w:color w:val="auto"/>
        </w:rPr>
        <w:t>”) are parties to that certain Registration Rights Agreement, dated as of December 23, 2020 (the “</w:t>
      </w:r>
      <w:r>
        <w:rPr>
          <w:rFonts w:ascii="Times New Roman" w:cs="Times New Roman" w:eastAsia="Times New Roman" w:hAnsi="Times New Roman"/>
          <w:sz w:val="16"/>
          <w:szCs w:val="16"/>
          <w:u w:val="single" w:color="auto"/>
          <w:color w:val="auto"/>
        </w:rPr>
        <w:t>Prior Agreement</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WHEREAS, upon the consummation of the transactions contemplated by the Merger Agreement, the Original Holders will hold an aggregate of 2,689,187 shares (the “</w:t>
      </w:r>
      <w:r>
        <w:rPr>
          <w:rFonts w:ascii="Times New Roman" w:cs="Times New Roman" w:eastAsia="Times New Roman" w:hAnsi="Times New Roman"/>
          <w:sz w:val="16"/>
          <w:szCs w:val="16"/>
          <w:u w:val="single" w:color="auto"/>
          <w:color w:val="auto"/>
        </w:rPr>
        <w:t>Founder Shares</w:t>
      </w:r>
      <w:r>
        <w:rPr>
          <w:rFonts w:ascii="Times New Roman" w:cs="Times New Roman" w:eastAsia="Times New Roman" w:hAnsi="Times New Roman"/>
          <w:sz w:val="16"/>
          <w:szCs w:val="16"/>
          <w:color w:val="auto"/>
        </w:rPr>
        <w:t>”) of common stock of Pubco, par value $0.0001 per share, originally issued prior to Pubco’s initial public offering;</w:t>
      </w:r>
    </w:p>
    <w:p>
      <w:pPr>
        <w:spacing w:after="0" w:line="144"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WHEREAS, upon the consummation of the transactions contemplated by the Merger Agreement, the Original Holders will hold an aggregate of 6,075,000 warrants (the “</w:t>
      </w:r>
      <w:r>
        <w:rPr>
          <w:rFonts w:ascii="Times New Roman" w:cs="Times New Roman" w:eastAsia="Times New Roman" w:hAnsi="Times New Roman"/>
          <w:sz w:val="16"/>
          <w:szCs w:val="16"/>
          <w:u w:val="single" w:color="auto"/>
          <w:color w:val="auto"/>
        </w:rPr>
        <w:t>Private Placement Warrants</w:t>
      </w:r>
      <w:r>
        <w:rPr>
          <w:rFonts w:ascii="Times New Roman" w:cs="Times New Roman" w:eastAsia="Times New Roman" w:hAnsi="Times New Roman"/>
          <w:sz w:val="16"/>
          <w:szCs w:val="16"/>
          <w:color w:val="auto"/>
        </w:rPr>
        <w:t>”) to purchase, at an exercise price of $11.50 per share (subject to adjustment), shares of Common Stock;</w:t>
      </w:r>
    </w:p>
    <w:p>
      <w:pPr>
        <w:spacing w:after="0" w:line="144"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6"/>
          <w:szCs w:val="16"/>
          <w:color w:val="auto"/>
        </w:rPr>
        <w:t>WHEREAS, Pubco, Ventoux Merger Sub I, Inc. (“</w:t>
      </w:r>
      <w:r>
        <w:rPr>
          <w:rFonts w:ascii="Times New Roman" w:cs="Times New Roman" w:eastAsia="Times New Roman" w:hAnsi="Times New Roman"/>
          <w:sz w:val="16"/>
          <w:szCs w:val="16"/>
          <w:u w:val="single" w:color="auto"/>
          <w:color w:val="auto"/>
        </w:rPr>
        <w:t>First Merger Sub</w:t>
      </w:r>
      <w:r>
        <w:rPr>
          <w:rFonts w:ascii="Times New Roman" w:cs="Times New Roman" w:eastAsia="Times New Roman" w:hAnsi="Times New Roman"/>
          <w:sz w:val="16"/>
          <w:szCs w:val="16"/>
          <w:color w:val="auto"/>
        </w:rPr>
        <w:t>”), Ventoux Merger Sub II, LLC (“</w:t>
      </w:r>
      <w:r>
        <w:rPr>
          <w:rFonts w:ascii="Times New Roman" w:cs="Times New Roman" w:eastAsia="Times New Roman" w:hAnsi="Times New Roman"/>
          <w:sz w:val="16"/>
          <w:szCs w:val="16"/>
          <w:u w:val="single" w:color="auto"/>
          <w:color w:val="auto"/>
        </w:rPr>
        <w:t>Second Merger Sub</w:t>
      </w:r>
      <w:r>
        <w:rPr>
          <w:rFonts w:ascii="Times New Roman" w:cs="Times New Roman" w:eastAsia="Times New Roman" w:hAnsi="Times New Roman"/>
          <w:sz w:val="16"/>
          <w:szCs w:val="16"/>
          <w:color w:val="auto"/>
        </w:rPr>
        <w:t>”) and E La Carte, Inc. (the “</w:t>
      </w:r>
      <w:r>
        <w:rPr>
          <w:rFonts w:ascii="Times New Roman" w:cs="Times New Roman" w:eastAsia="Times New Roman" w:hAnsi="Times New Roman"/>
          <w:sz w:val="16"/>
          <w:szCs w:val="16"/>
          <w:u w:val="single" w:color="auto"/>
          <w:color w:val="auto"/>
        </w:rPr>
        <w:t>Target”)</w:t>
      </w:r>
      <w:r>
        <w:rPr>
          <w:rFonts w:ascii="Times New Roman" w:cs="Times New Roman" w:eastAsia="Times New Roman" w:hAnsi="Times New Roman"/>
          <w:sz w:val="16"/>
          <w:szCs w:val="16"/>
          <w:color w:val="auto"/>
        </w:rPr>
        <w:t xml:space="preserve"> have entered into that certain Agreement and Plan of Merger, dated as of November 10, 2021 (as amended,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pursuant to which (and subject to the terms and conditions set forth therein) First Merger Sub will merge with and into the Target, with the Target surviving such merger as a wholly-owned subsidiary of Pubco (the “</w:t>
      </w:r>
      <w:r>
        <w:rPr>
          <w:rFonts w:ascii="Times New Roman" w:cs="Times New Roman" w:eastAsia="Times New Roman" w:hAnsi="Times New Roman"/>
          <w:sz w:val="16"/>
          <w:szCs w:val="16"/>
          <w:u w:val="single" w:color="auto"/>
          <w:color w:val="auto"/>
        </w:rPr>
        <w:t>First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and immediately following the First Merger, the surviving corporation will merge with and into Second Merger Sub, with Second Merger Sub continuing on as the surviving entity as a wholly-owned subsidiary of the Company (the merger transactions collectively referred to as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6"/>
          <w:szCs w:val="16"/>
          <w:color w:val="auto"/>
        </w:rPr>
        <w:t>WHEREAS, in connection with the execution and delivery of the Merger Agreement, Pubco and the Silver Rock Investors entered into subscription agreements, dated as of November 10, 2021 (as amended, the “</w:t>
      </w:r>
      <w:r>
        <w:rPr>
          <w:rFonts w:ascii="Times New Roman" w:cs="Times New Roman" w:eastAsia="Times New Roman" w:hAnsi="Times New Roman"/>
          <w:sz w:val="16"/>
          <w:szCs w:val="16"/>
          <w:u w:val="single" w:color="auto"/>
          <w:color w:val="auto"/>
        </w:rPr>
        <w:t>Subscription Agreements</w:t>
      </w:r>
      <w:r>
        <w:rPr>
          <w:rFonts w:ascii="Times New Roman" w:cs="Times New Roman" w:eastAsia="Times New Roman" w:hAnsi="Times New Roman"/>
          <w:sz w:val="16"/>
          <w:szCs w:val="16"/>
          <w:color w:val="auto"/>
        </w:rPr>
        <w:t>”), pursuant to which, and subject to the terms and conditions thereof, such Silver Rock Investors have agreed to purchase the Subscribed Shares, the Subscribed Notes and the Subscribed Warrants, each as defined in the Subscription Agreements);</w:t>
      </w:r>
    </w:p>
    <w:p>
      <w:pPr>
        <w:spacing w:after="0" w:line="155"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6"/>
          <w:szCs w:val="16"/>
          <w:color w:val="auto"/>
        </w:rPr>
        <w:t>WHEREAS, the parties to the Prior Agreement desire to amend and restate the Prior Agreement in its entirety on the terms and conditions included herein and to include the recipients of the other Registrable Securities identified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360045</wp:posOffset>
            </wp:positionV>
            <wp:extent cx="7148195" cy="152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96" w:name="page197"/>
    <w:bookmarkEnd w:id="196"/>
    <w:p>
      <w:pPr>
        <w:ind w:right="20" w:firstLine="382"/>
        <w:spacing w:after="0" w:line="280" w:lineRule="auto"/>
        <w:rPr>
          <w:sz w:val="20"/>
          <w:szCs w:val="20"/>
          <w:color w:val="auto"/>
        </w:rPr>
      </w:pPr>
      <w:r>
        <w:rPr>
          <w:rFonts w:ascii="Times New Roman" w:cs="Times New Roman" w:eastAsia="Times New Roman" w:hAnsi="Times New Roman"/>
          <w:sz w:val="16"/>
          <w:szCs w:val="16"/>
          <w:color w:val="auto"/>
        </w:rPr>
        <w:t>NOW, THEREFORE, in consideration of the mutual covenants contained herein and other good and valuable consideration, the receipt and sufficiency of which are hereby acknowledged, the parties to this Agreement hereby agree as follows:</w:t>
      </w:r>
    </w:p>
    <w:p>
      <w:pPr>
        <w:spacing w:after="0" w:line="144" w:lineRule="exact"/>
        <w:rPr>
          <w:sz w:val="20"/>
          <w:szCs w:val="20"/>
          <w:color w:val="auto"/>
        </w:rPr>
      </w:pPr>
    </w:p>
    <w:p>
      <w:pPr>
        <w:ind w:left="540" w:hanging="162"/>
        <w:spacing w:after="0"/>
        <w:tabs>
          <w:tab w:leader="none" w:pos="540"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Resale Shelf Registration Rights</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jc w:val="both"/>
        <w:ind w:firstLine="1143"/>
        <w:spacing w:after="0" w:line="250" w:lineRule="auto"/>
        <w:tabs>
          <w:tab w:leader="none" w:pos="1364" w:val="left"/>
        </w:tabs>
        <w:numPr>
          <w:ilvl w:val="1"/>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Registration Statement Covering Resale of Registrable Securities</w:t>
      </w:r>
      <w:r>
        <w:rPr>
          <w:rFonts w:ascii="Times New Roman" w:cs="Times New Roman" w:eastAsia="Times New Roman" w:hAnsi="Times New Roman"/>
          <w:sz w:val="16"/>
          <w:szCs w:val="16"/>
          <w:color w:val="auto"/>
        </w:rPr>
        <w:t>. Pubco shall use its reasonable best efforts to prepare and file or cause to be prepared and filed with the Commission, no later than 30 days following the consummation of the Mergers (the “</w:t>
      </w:r>
      <w:r>
        <w:rPr>
          <w:rFonts w:ascii="Times New Roman" w:cs="Times New Roman" w:eastAsia="Times New Roman" w:hAnsi="Times New Roman"/>
          <w:sz w:val="16"/>
          <w:szCs w:val="16"/>
          <w:u w:val="single" w:color="auto"/>
          <w:color w:val="auto"/>
        </w:rPr>
        <w:t>Filing Deadline</w:t>
      </w:r>
      <w:r>
        <w:rPr>
          <w:rFonts w:ascii="Times New Roman" w:cs="Times New Roman" w:eastAsia="Times New Roman" w:hAnsi="Times New Roman"/>
          <w:sz w:val="16"/>
          <w:szCs w:val="16"/>
          <w:color w:val="auto"/>
        </w:rPr>
        <w:t>”), a Registration Statement for an offering to be made on a continuous basis pursuant to Rule 415 of the Securities Act registering the resale from time to time by the Investors of all of the Registrable Securities held by the Investors (the “</w:t>
      </w:r>
      <w:r>
        <w:rPr>
          <w:rFonts w:ascii="Times New Roman" w:cs="Times New Roman" w:eastAsia="Times New Roman" w:hAnsi="Times New Roman"/>
          <w:sz w:val="16"/>
          <w:szCs w:val="16"/>
          <w:u w:val="single" w:color="auto"/>
          <w:color w:val="auto"/>
        </w:rPr>
        <w:t>Resale Shelf Registration Statement</w:t>
      </w:r>
      <w:r>
        <w:rPr>
          <w:rFonts w:ascii="Times New Roman" w:cs="Times New Roman" w:eastAsia="Times New Roman" w:hAnsi="Times New Roman"/>
          <w:sz w:val="16"/>
          <w:szCs w:val="16"/>
          <w:color w:val="auto"/>
        </w:rPr>
        <w:t xml:space="preserve">”). The Resale Shelf Registration Statement shall be on Form S-1;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Pubco shall file, within 30 days of such time as Form S-3 (“</w:t>
      </w:r>
      <w:r>
        <w:rPr>
          <w:rFonts w:ascii="Times New Roman" w:cs="Times New Roman" w:eastAsia="Times New Roman" w:hAnsi="Times New Roman"/>
          <w:sz w:val="16"/>
          <w:szCs w:val="16"/>
          <w:u w:val="single" w:color="auto"/>
          <w:color w:val="auto"/>
        </w:rPr>
        <w:t>Form S-3</w:t>
      </w:r>
      <w:r>
        <w:rPr>
          <w:rFonts w:ascii="Times New Roman" w:cs="Times New Roman" w:eastAsia="Times New Roman" w:hAnsi="Times New Roman"/>
          <w:sz w:val="16"/>
          <w:szCs w:val="16"/>
          <w:color w:val="auto"/>
        </w:rPr>
        <w:t>”) is available for the Resale Shelf Registration Statement, a post-effective amendment to the Resale Shelf Registration Statement then in effect, or otherwise file a Registration Statement on Form S-3, registering the Registrable Securities for resale in accordance with the immediately preceding sentence on Form S-3 (provided that Pubco shall maintain the effectiveness of the Registration Statement then in effect until such time as a Registration Statement (or post-effective amendment) on Form S-3 covering such Registrable Securities has been declared effective by the Commission). Pubco shall use reasonable best efforts to cause the Resale Shelf Registration Statement to be declared effective as soon as possible after filing, but in no event later than the earlier of (i) 60 days following the Filing Deadline and (ii) three Business Days after the Commission notifies Pubco that it will not review the Resale Shelf Registration Statement, if applicable (the “</w:t>
      </w:r>
      <w:r>
        <w:rPr>
          <w:rFonts w:ascii="Times New Roman" w:cs="Times New Roman" w:eastAsia="Times New Roman" w:hAnsi="Times New Roman"/>
          <w:sz w:val="16"/>
          <w:szCs w:val="16"/>
          <w:u w:val="single" w:color="auto"/>
          <w:color w:val="auto"/>
        </w:rPr>
        <w:t>Effectiveness Deadline</w:t>
      </w:r>
      <w:r>
        <w:rPr>
          <w:rFonts w:ascii="Times New Roman" w:cs="Times New Roman" w:eastAsia="Times New Roman" w:hAnsi="Times New Roman"/>
          <w:sz w:val="16"/>
          <w:szCs w:val="16"/>
          <w:color w:val="auto"/>
        </w:rPr>
        <w:t>”); provided, that, if the Registration Statement filed pursuant to this Section 1(a) is reviewed by, and Pubco receives comments from, the Commission with respect to such Registration Statement, the Effectiveness Deadline shall be extended to 90 days following the Filing Deadline. Without limiting the foregoing, as soon as practicable, but in no event later than three Business Days, following the resolution or clearance of all Commission comments or, if applicable, following notification by the Commission that any such Registration Statement or any amendment thereto will not be subject to review, Pubco shall file a request for acceleration of effectiveness of such Registration Statement (to the extent required, by declaration or ordering of effectiveness, of such Registration Statement or amendment by the Commission) to a time and date not later than two Business days after the submission of such request. Once effective, Pubco shall use reasonable best efforts to keep the Resale Shelf Registration Statement continuously effective and to be supplemented and amended to the extent necessary to ensure that such Registration Statement is available or, if not available, to ensure that another Registration Statement is available, under the Securities Act at all times for the public resale of all of the Registrable Securities until such date as all Registrable Securities covered by the Resale Shelf Registration Statement have been disposed of in accordance with the intended method(s) of distribution set forth in such Registration Statement. The Resale Shelf Registration Statement shall contain a Prospectus in such form as to permit any Investor to sell such Registrable Securities pursuant to Rule 415 under the Securities Act (or any successor or similar provision adopted by the Commission then in effect) at any time beginning on the effective date for such Registration Statement, and Pubco shall file with the Commission the final form of such Prospectus pursuant to Rule 424 (or successor thereto) under the Securities Act no later than the first Business Day after the Resale Shelf Registration Statement becomes effective. The Resale Shelf Registration Statement shall provide that the Registrable Securities may be sold pursuant to any method or combination of methods legally available to, and requested by, the Investors. Without limiting the foregoing, subject to any comments from the Commission, each Registration Statement filed pursuant to this Section 1 shall include a “plan of distribution” approved by the Majority Presto Investors, the Majority Silver Rock Investors and the Sponsors.</w:t>
      </w:r>
    </w:p>
    <w:p>
      <w:pPr>
        <w:spacing w:after="0" w:line="179" w:lineRule="exact"/>
        <w:rPr>
          <w:rFonts w:ascii="Times New Roman" w:cs="Times New Roman" w:eastAsia="Times New Roman" w:hAnsi="Times New Roman"/>
          <w:sz w:val="16"/>
          <w:szCs w:val="16"/>
          <w:color w:val="auto"/>
        </w:rPr>
      </w:pPr>
    </w:p>
    <w:p>
      <w:pPr>
        <w:jc w:val="both"/>
        <w:ind w:firstLine="1143"/>
        <w:spacing w:after="0" w:line="268" w:lineRule="auto"/>
        <w:tabs>
          <w:tab w:leader="none" w:pos="1377" w:val="left"/>
        </w:tabs>
        <w:numPr>
          <w:ilvl w:val="1"/>
          <w:numId w:val="2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Notwithstanding the registration obligations set forth in this </w:t>
      </w:r>
      <w:r>
        <w:rPr>
          <w:rFonts w:ascii="Times New Roman" w:cs="Times New Roman" w:eastAsia="Times New Roman" w:hAnsi="Times New Roman"/>
          <w:sz w:val="15"/>
          <w:szCs w:val="15"/>
          <w:u w:val="single" w:color="auto"/>
          <w:color w:val="auto"/>
        </w:rPr>
        <w:t>Section 1</w:t>
      </w:r>
      <w:r>
        <w:rPr>
          <w:rFonts w:ascii="Times New Roman" w:cs="Times New Roman" w:eastAsia="Times New Roman" w:hAnsi="Times New Roman"/>
          <w:sz w:val="15"/>
          <w:szCs w:val="15"/>
          <w:color w:val="auto"/>
        </w:rPr>
        <w:t>, in the event that, despite Pubco’s efforts to include all of the Registrable Securities in any Registration Statement filed pursuant to Section 1(a), the Commission informs Pubco (the “</w:t>
      </w:r>
      <w:r>
        <w:rPr>
          <w:rFonts w:ascii="Times New Roman" w:cs="Times New Roman" w:eastAsia="Times New Roman" w:hAnsi="Times New Roman"/>
          <w:sz w:val="15"/>
          <w:szCs w:val="15"/>
          <w:u w:val="single" w:color="auto"/>
          <w:color w:val="auto"/>
        </w:rPr>
        <w:t>Commission’s Notice</w:t>
      </w:r>
      <w:r>
        <w:rPr>
          <w:rFonts w:ascii="Times New Roman" w:cs="Times New Roman" w:eastAsia="Times New Roman" w:hAnsi="Times New Roman"/>
          <w:sz w:val="15"/>
          <w:szCs w:val="15"/>
          <w:color w:val="auto"/>
        </w:rPr>
        <w:t>”) that all of the Registrable Securities cannot, as a result of the application of Rule 415 or otherwise, be registered for resale as a secondary offering on a single Registration Statement, Pubco agrees to promptly (i) inform each of the holders thereof and use its reasonable best efforts to file amendments to the Resale Shelf Registration Statement as required by the Commission and (ii) as soon as practicable but in no event later than the New Registration Statement Filing Deadline, file an additional Registration Statement (a “</w:t>
      </w:r>
      <w:r>
        <w:rPr>
          <w:rFonts w:ascii="Times New Roman" w:cs="Times New Roman" w:eastAsia="Times New Roman" w:hAnsi="Times New Roman"/>
          <w:sz w:val="15"/>
          <w:szCs w:val="15"/>
          <w:u w:val="single" w:color="auto"/>
          <w:color w:val="auto"/>
        </w:rPr>
        <w:t>New Registration Statement</w:t>
      </w:r>
      <w:r>
        <w:rPr>
          <w:rFonts w:ascii="Times New Roman" w:cs="Times New Roman" w:eastAsia="Times New Roman" w:hAnsi="Times New Roman"/>
          <w:sz w:val="15"/>
          <w:szCs w:val="15"/>
          <w:color w:val="auto"/>
        </w:rPr>
        <w:t>”), on Form S-3, or if Form S-3 is not then available to Pubco for such Registration Statement, on such other form available to register for resale the Registrable Securities as a secondary offering; provided, however, that prior to filing such amendment or New Registration Statement, Pubco shall be obligated to use its reasonable best efforts to advocate with the Commission for the registration of all of the Registrable Securities in accordance with any publicly-available written or oral guidance, comments, requirements or requests of the Commission staff (the “</w:t>
      </w:r>
      <w:r>
        <w:rPr>
          <w:rFonts w:ascii="Times New Roman" w:cs="Times New Roman" w:eastAsia="Times New Roman" w:hAnsi="Times New Roman"/>
          <w:sz w:val="15"/>
          <w:szCs w:val="15"/>
          <w:u w:val="single" w:color="auto"/>
          <w:color w:val="auto"/>
        </w:rPr>
        <w:t>SEC Guidance</w:t>
      </w:r>
      <w:r>
        <w:rPr>
          <w:rFonts w:ascii="Times New Roman" w:cs="Times New Roman" w:eastAsia="Times New Roman" w:hAnsi="Times New Roman"/>
          <w:sz w:val="15"/>
          <w:szCs w:val="15"/>
          <w:color w:val="auto"/>
        </w:rPr>
        <w:t>”), including without limitation, the Manual of Publicly Available Telephone Interpretations D.29. The Investors shall have the right to participate or have their respective legal counsel participate in any meetings or discussions with the Commission regarding the Commission’s position and to comment or have their respective counsel comment on any written submission made to the Commission with respect thereto. No such written submission shall be made to the Commission to which any Investor’s counsel reasonably objects. Notwithstanding any other provision of this Agreement, if any SEC Guidance sets forth a limitation of the number of Registrable Securities permitted to be registered on a particular Registration Statement as a secondary offering, unless otherwise directed in writing by a holder as to its Registrable Securities directing the inclusion of less than such holder’s pro rata amount or otherwise required by the SEC, the number of Registrable Securities to be registered on such Registration Statement will be reduced on a pro rata basis based on the total number of Registrable Securities held by the Investors. In the event Pubco amends the Resale Shelf Registration Statement or files a New Registration Statement, as the case may be, under clauses (i) or (ii) above, Pubco will use its reasonable best efforts to file with the Commission, as promptly as allowed by Commission or SEC Guidance provided to Pubco or to registrants of securities in general, one or more Registration Statements on Form S-3 or such other form available to register for resale those Registrable Securities that were not registered for resale on the Resale Shelf Registration Statement, as amended, or the New Registration Statement. If Pubco shall not be able to register for resale all of the Registrable Securities on the Resale Shelf Registration Statement within three months following the date of Pubco’s receipt of the Commission’s Notice, then, until such Resale Shelf Registration Statement is effective, each of the Majority Presto Investors, the Majority Silver Rock Investors and the Sponsors shall be entitled to demand registration rights pursuant to Section 2 below (the “</w:t>
      </w:r>
      <w:r>
        <w:rPr>
          <w:rFonts w:ascii="Times New Roman" w:cs="Times New Roman" w:eastAsia="Times New Roman" w:hAnsi="Times New Roman"/>
          <w:sz w:val="15"/>
          <w:szCs w:val="15"/>
          <w:u w:val="single" w:color="auto"/>
          <w:color w:val="auto"/>
        </w:rPr>
        <w:t>Shelf Demand Right</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97" w:name="page198"/>
    <w:bookmarkEnd w:id="197"/>
    <w:p>
      <w:pPr>
        <w:ind w:left="1360" w:hanging="217"/>
        <w:spacing w:after="0"/>
        <w:tabs>
          <w:tab w:leader="none" w:pos="1360" w:val="left"/>
        </w:tabs>
        <w:numPr>
          <w:ilvl w:val="1"/>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Registrations effected pursuant to this </w:t>
      </w:r>
      <w:r>
        <w:rPr>
          <w:rFonts w:ascii="Times New Roman" w:cs="Times New Roman" w:eastAsia="Times New Roman" w:hAnsi="Times New Roman"/>
          <w:sz w:val="16"/>
          <w:szCs w:val="16"/>
          <w:u w:val="single" w:color="auto"/>
          <w:color w:val="auto"/>
        </w:rPr>
        <w:t>Section</w:t>
      </w:r>
      <w:r>
        <w:rPr>
          <w:rFonts w:ascii="Times New Roman" w:cs="Times New Roman" w:eastAsia="Times New Roman" w:hAnsi="Times New Roman"/>
          <w:sz w:val="16"/>
          <w:szCs w:val="16"/>
          <w:color w:val="auto"/>
        </w:rPr>
        <w:t xml:space="preserve"> 1 shall not be counted as Demand Registrations effected pursuant to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jc w:val="both"/>
        <w:ind w:firstLine="1143"/>
        <w:spacing w:after="0" w:line="253" w:lineRule="auto"/>
        <w:tabs>
          <w:tab w:leader="none" w:pos="1376" w:val="left"/>
        </w:tabs>
        <w:numPr>
          <w:ilvl w:val="1"/>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Investor shall be named as an “underwriter” in any Registration Statement filed pursuant to this Section 1 without the Investor’s prior written consent; provided that if the Commission requests that an Investor be identified as a statutory underwriter in the Registration Statement, then such Investor will have the option, in its sole and absolute discretion, to either (i) have the opportunity to withdraw from the Registration Statement upon its prompt written request to Pubco, in which case Pubco’s obligation to register such Investor’s Registrable Securities shall be deemed satisfied or (ii) be included as such in the Registration Statement. Each Registration Statement (and each amendment or supplement thereto, and each request for acceleration of effectiveness thereof) shall be provided to (and shall be subject to the approval, which shall not be unreasonably withheld or delayed, of) the Majority Presto Investors, the Majority Silver Rock Investors and the Sponsors prior to its filing with, or other submission to, the Commission; provided that, Pubco shall not be deemed to be in breach of any Effectiveness Deadline or other deadline set forth in this Agreement if the failure of Pubco to meet such deadline is the result of an Investor’s failure to approve such Registration Statement or amendment or supplement thereto or request for acceleration thereof.</w:t>
      </w:r>
    </w:p>
    <w:p>
      <w:pPr>
        <w:spacing w:after="0" w:line="169"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95" w:val="left"/>
        </w:tabs>
        <w:numPr>
          <w:ilvl w:val="1"/>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on any Trading Day (as defined below) (the “</w:t>
      </w:r>
      <w:r>
        <w:rPr>
          <w:rFonts w:ascii="Times New Roman" w:cs="Times New Roman" w:eastAsia="Times New Roman" w:hAnsi="Times New Roman"/>
          <w:sz w:val="16"/>
          <w:szCs w:val="16"/>
          <w:u w:val="single" w:color="auto"/>
          <w:color w:val="auto"/>
        </w:rPr>
        <w:t>Registration Trigger Date</w:t>
      </w:r>
      <w:r>
        <w:rPr>
          <w:rFonts w:ascii="Times New Roman" w:cs="Times New Roman" w:eastAsia="Times New Roman" w:hAnsi="Times New Roman"/>
          <w:sz w:val="16"/>
          <w:szCs w:val="16"/>
          <w:color w:val="auto"/>
        </w:rPr>
        <w:t>”) the number of shares available under the Registration Statements filed pursuant to this Section 1 is insufficient to cover all of the Registrable Securities (without giving effect to any limitations on the exercise or conversion of any securities exercisable for, or convertible into, Registrable Securities and, in the case of Registrable Securities issuable upon the exercise of warrants, assuming the exercise of such warrants for cash), Pubco shall amend such Registration Statements, or file a new Registration Statement (on the short form available therefor, if applicable), or both, so as to cover the total number of Registrable Securities so issued or issuable (without giving effect to any limitations on the exercise or conversion of any securities exercisable for, or convertible into, Registrable Securities and, in the case of Registrable Securities issuable upon the exercise of warrants, assuming the exercise of such warrants for cash) as of the Registration Trigger Date as soon as practicable, but in any event within fifteen (15) days after the Registration Trigger Date. Pubco shall use its reasonable best efforts to cause such amendment and/or new Registration Statement to become effective as soon as practicable following the filing thereof, but in any event Pubco shall cause such amendment and/or new Registration Statement to become effective within 60 days of the Registration Trigger Date (or 90 days if the applicable Registration Statement or amendment is reviewed by, and comments are thereto provided from, the Commission) or as promptly as practicable in the event Pubco is required to increase its authorized shares. “</w:t>
      </w:r>
      <w:r>
        <w:rPr>
          <w:rFonts w:ascii="Times New Roman" w:cs="Times New Roman" w:eastAsia="Times New Roman" w:hAnsi="Times New Roman"/>
          <w:sz w:val="16"/>
          <w:szCs w:val="16"/>
          <w:u w:val="single" w:color="auto"/>
          <w:color w:val="auto"/>
        </w:rPr>
        <w:t>Trading Day</w:t>
      </w:r>
      <w:r>
        <w:rPr>
          <w:rFonts w:ascii="Times New Roman" w:cs="Times New Roman" w:eastAsia="Times New Roman" w:hAnsi="Times New Roman"/>
          <w:sz w:val="16"/>
          <w:szCs w:val="16"/>
          <w:color w:val="auto"/>
        </w:rPr>
        <w:t>” shall mean any day on which the Common Stock is traded for any period on the principal securities exchange or other securities market on which the Common Stock is then being traded.</w:t>
      </w:r>
    </w:p>
    <w:p>
      <w:pPr>
        <w:spacing w:after="0" w:line="167" w:lineRule="exact"/>
        <w:rPr>
          <w:rFonts w:ascii="Times New Roman" w:cs="Times New Roman" w:eastAsia="Times New Roman" w:hAnsi="Times New Roman"/>
          <w:sz w:val="16"/>
          <w:szCs w:val="16"/>
          <w:color w:val="auto"/>
        </w:rPr>
      </w:pPr>
    </w:p>
    <w:p>
      <w:pPr>
        <w:ind w:left="540" w:hanging="162"/>
        <w:spacing w:after="0"/>
        <w:tabs>
          <w:tab w:leader="none" w:pos="540"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Demand Registrations</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jc w:val="both"/>
        <w:ind w:firstLine="1143"/>
        <w:spacing w:after="0" w:line="251" w:lineRule="auto"/>
        <w:tabs>
          <w:tab w:leader="none" w:pos="1376" w:val="left"/>
        </w:tabs>
        <w:numPr>
          <w:ilvl w:val="1"/>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Requests for Registration</w:t>
      </w:r>
      <w:r>
        <w:rPr>
          <w:rFonts w:ascii="Times New Roman" w:cs="Times New Roman" w:eastAsia="Times New Roman" w:hAnsi="Times New Roman"/>
          <w:sz w:val="16"/>
          <w:szCs w:val="16"/>
          <w:color w:val="auto"/>
        </w:rPr>
        <w:t>. Subject to the terms and conditions of this Agreement and, as applicable, the lock-up provisions contained in Section 5.3 of Pubco’s Amended and Restated Bylaws (the “</w:t>
      </w:r>
      <w:r>
        <w:rPr>
          <w:rFonts w:ascii="Times New Roman" w:cs="Times New Roman" w:eastAsia="Times New Roman" w:hAnsi="Times New Roman"/>
          <w:sz w:val="16"/>
          <w:szCs w:val="16"/>
          <w:u w:val="single" w:color="auto"/>
          <w:color w:val="auto"/>
        </w:rPr>
        <w:t>Bylaws</w:t>
      </w:r>
      <w:r>
        <w:rPr>
          <w:rFonts w:ascii="Times New Roman" w:cs="Times New Roman" w:eastAsia="Times New Roman" w:hAnsi="Times New Roman"/>
          <w:sz w:val="16"/>
          <w:szCs w:val="16"/>
          <w:color w:val="auto"/>
        </w:rPr>
        <w:t>”) and the Support Agreements (as defined in the Merger Agreement) at any time or from time to time, provided that Pubco does not then have an effective Registration Statement outstanding covering all of the Registrable Securities, the holders of Registrable Securities may request registration under the Securities Act of all or any portion of their Registrable Securities on Form S-1 or any similar long-form registration statement (“</w:t>
      </w:r>
      <w:r>
        <w:rPr>
          <w:rFonts w:ascii="Times New Roman" w:cs="Times New Roman" w:eastAsia="Times New Roman" w:hAnsi="Times New Roman"/>
          <w:sz w:val="16"/>
          <w:szCs w:val="16"/>
          <w:u w:val="single" w:color="auto"/>
          <w:color w:val="auto"/>
        </w:rPr>
        <w:t>Long-Form</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Registrations</w:t>
      </w:r>
      <w:r>
        <w:rPr>
          <w:rFonts w:ascii="Times New Roman" w:cs="Times New Roman" w:eastAsia="Times New Roman" w:hAnsi="Times New Roman"/>
          <w:sz w:val="16"/>
          <w:szCs w:val="16"/>
          <w:color w:val="auto"/>
        </w:rPr>
        <w:t>”) or, if available, on Form S-3 (including a shelf registration pursuant to Rule 415 under the Securities Act) or any similar short-form registration statement, including an automatic shelf registration statement (as defined in Rule 405) (an “</w:t>
      </w:r>
      <w:r>
        <w:rPr>
          <w:rFonts w:ascii="Times New Roman" w:cs="Times New Roman" w:eastAsia="Times New Roman" w:hAnsi="Times New Roman"/>
          <w:sz w:val="16"/>
          <w:szCs w:val="16"/>
          <w:u w:val="single" w:color="auto"/>
          <w:color w:val="auto"/>
        </w:rPr>
        <w:t>Automatic Shelf Registration Statement</w:t>
      </w:r>
      <w:r>
        <w:rPr>
          <w:rFonts w:ascii="Times New Roman" w:cs="Times New Roman" w:eastAsia="Times New Roman" w:hAnsi="Times New Roman"/>
          <w:sz w:val="16"/>
          <w:szCs w:val="16"/>
          <w:color w:val="auto"/>
        </w:rPr>
        <w:t>”), if available to Pubco (“</w:t>
      </w:r>
      <w:r>
        <w:rPr>
          <w:rFonts w:ascii="Times New Roman" w:cs="Times New Roman" w:eastAsia="Times New Roman" w:hAnsi="Times New Roman"/>
          <w:sz w:val="16"/>
          <w:szCs w:val="16"/>
          <w:u w:val="single" w:color="auto"/>
          <w:color w:val="auto"/>
        </w:rPr>
        <w:t>Short-Form Registrations</w:t>
      </w:r>
      <w:r>
        <w:rPr>
          <w:rFonts w:ascii="Times New Roman" w:cs="Times New Roman" w:eastAsia="Times New Roman" w:hAnsi="Times New Roman"/>
          <w:sz w:val="16"/>
          <w:szCs w:val="16"/>
          <w:color w:val="auto"/>
        </w:rPr>
        <w:t xml:space="preserve">”), in accordance with </w:t>
      </w:r>
      <w:r>
        <w:rPr>
          <w:rFonts w:ascii="Times New Roman" w:cs="Times New Roman" w:eastAsia="Times New Roman" w:hAnsi="Times New Roman"/>
          <w:sz w:val="16"/>
          <w:szCs w:val="16"/>
          <w:u w:val="single" w:color="auto"/>
          <w:color w:val="auto"/>
        </w:rPr>
        <w:t>Section 2(b)</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2(c)</w:t>
      </w:r>
      <w:r>
        <w:rPr>
          <w:rFonts w:ascii="Times New Roman" w:cs="Times New Roman" w:eastAsia="Times New Roman" w:hAnsi="Times New Roman"/>
          <w:sz w:val="16"/>
          <w:szCs w:val="16"/>
          <w:color w:val="auto"/>
        </w:rPr>
        <w:t xml:space="preserve"> below (such holders being referred to herein as the “</w:t>
      </w:r>
      <w:r>
        <w:rPr>
          <w:rFonts w:ascii="Times New Roman" w:cs="Times New Roman" w:eastAsia="Times New Roman" w:hAnsi="Times New Roman"/>
          <w:sz w:val="16"/>
          <w:szCs w:val="16"/>
          <w:u w:val="single" w:color="auto"/>
          <w:color w:val="auto"/>
        </w:rPr>
        <w:t>Initiating Investors</w:t>
      </w:r>
      <w:r>
        <w:rPr>
          <w:rFonts w:ascii="Times New Roman" w:cs="Times New Roman" w:eastAsia="Times New Roman" w:hAnsi="Times New Roman"/>
          <w:sz w:val="16"/>
          <w:szCs w:val="16"/>
          <w:color w:val="auto"/>
        </w:rPr>
        <w:t>” and all registrations requested by the Initiating Investors being referred to herein as “</w:t>
      </w:r>
      <w:r>
        <w:rPr>
          <w:rFonts w:ascii="Times New Roman" w:cs="Times New Roman" w:eastAsia="Times New Roman" w:hAnsi="Times New Roman"/>
          <w:sz w:val="16"/>
          <w:szCs w:val="16"/>
          <w:u w:val="single" w:color="auto"/>
          <w:color w:val="auto"/>
        </w:rPr>
        <w:t>Demand Registrations</w:t>
      </w:r>
      <w:r>
        <w:rPr>
          <w:rFonts w:ascii="Times New Roman" w:cs="Times New Roman" w:eastAsia="Times New Roman" w:hAnsi="Times New Roman"/>
          <w:sz w:val="16"/>
          <w:szCs w:val="16"/>
          <w:color w:val="auto"/>
        </w:rPr>
        <w:t>”). Each request for a Demand Registration shall specify the approximate number of Registrable Securities requested to be registered and the intended method of distribution. Subject to Sections 10(a) and 10(b) (collectively, the “</w:t>
      </w:r>
      <w:r>
        <w:rPr>
          <w:rFonts w:ascii="Times New Roman" w:cs="Times New Roman" w:eastAsia="Times New Roman" w:hAnsi="Times New Roman"/>
          <w:sz w:val="16"/>
          <w:szCs w:val="16"/>
          <w:u w:val="single" w:color="auto"/>
          <w:color w:val="auto"/>
        </w:rPr>
        <w:t>MNPI Provisions</w:t>
      </w:r>
      <w:r>
        <w:rPr>
          <w:rFonts w:ascii="Times New Roman" w:cs="Times New Roman" w:eastAsia="Times New Roman" w:hAnsi="Times New Roman"/>
          <w:sz w:val="16"/>
          <w:szCs w:val="16"/>
          <w:color w:val="auto"/>
        </w:rPr>
        <w:t>”), within five Business Days after receipt of any such request, Pubco shall give written notice of such requested registration to all other holders of Registrable Securities and, subject to the terms and conditions set forth herein, shall include in such registration (and in all related registrations and qualifications under state blue sky laws or in compliance with other registration requirements and in any related underwriting) all such Registrable Securities with respect to which Pubco has received written requests for inclusion therein within five Business Days after the receipt of Pubco’s notice. Each holder of Registrable Securities agrees that such holder shall treat as confidential the receipt of the notice of Demand Registration and shall not disclose or use the information contained in such notice of Demand Registration without the prior written consent of Pubco until such time as the information contained therein is or becomes available to the public generally, other than as a result of disclosure by the holder in breach of the terms of this Agreement.</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98" w:name="page199"/>
    <w:bookmarkEnd w:id="198"/>
    <w:p>
      <w:pPr>
        <w:jc w:val="both"/>
        <w:ind w:firstLine="1143"/>
        <w:spacing w:after="0" w:line="252" w:lineRule="auto"/>
        <w:tabs>
          <w:tab w:leader="none" w:pos="1373"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Long-Form Registrations</w:t>
      </w:r>
      <w:r>
        <w:rPr>
          <w:rFonts w:ascii="Times New Roman" w:cs="Times New Roman" w:eastAsia="Times New Roman" w:hAnsi="Times New Roman"/>
          <w:sz w:val="16"/>
          <w:szCs w:val="16"/>
          <w:color w:val="auto"/>
        </w:rPr>
        <w:t>. (i) The Majority Presto Investors, on behalf of any and all Presto Investors, may request two Long-Form Registration in which Pubco shall pay all Registration Expenses whether or not any such Long-Form Registration has become effective, (ii) the Majority Silver Rock Investors, on behalf of any and all Silver Rock Investors, may request two Long-Form Registration in which Pubco shall pay all Registration Expenses whether or not any such Long-Form Registration has become effective, and (iii) the Sponsors may request two Long-Form Registration in which Pubco shall pay all Registration Expenses whether or not any such Long-Form Registration has become effective; in each case, provided thatif Pubco has already effected a Demand Registration (which became effective) in the preceding 45-day period; provided, further, that Pubco shall only be obligated to effect, or take any action to effect, two Long-Form Registrations for each of the Majority Presto Investors, the Majority Silver Rock Investors and the Sponsors. A registration shall not count as one of the permitted Long-Form Registrations until it has become effective and unless the holders of Registrable Securities are able to register and sell at least 90% of the Registrable Securities requested to be included in such registration; provided that in any event Pubco shall pay all Registration Expenses in connection with any registration initiated as a Long-Form Registration whether or not it has become effective and whether or not such registration has counted as one of the permitted Long-Form Registrations hereunder.</w:t>
      </w:r>
    </w:p>
    <w:p>
      <w:pPr>
        <w:spacing w:after="0" w:line="171" w:lineRule="exact"/>
        <w:rPr>
          <w:rFonts w:ascii="Times New Roman" w:cs="Times New Roman" w:eastAsia="Times New Roman" w:hAnsi="Times New Roman"/>
          <w:sz w:val="16"/>
          <w:szCs w:val="16"/>
          <w:color w:val="auto"/>
        </w:rPr>
      </w:pPr>
    </w:p>
    <w:p>
      <w:pPr>
        <w:jc w:val="both"/>
        <w:ind w:firstLine="1143"/>
        <w:spacing w:after="0" w:line="251" w:lineRule="auto"/>
        <w:tabs>
          <w:tab w:leader="none" w:pos="1364"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Short-Form Registrations</w:t>
      </w:r>
      <w:r>
        <w:rPr>
          <w:rFonts w:ascii="Times New Roman" w:cs="Times New Roman" w:eastAsia="Times New Roman" w:hAnsi="Times New Roman"/>
          <w:sz w:val="16"/>
          <w:szCs w:val="16"/>
          <w:color w:val="auto"/>
        </w:rPr>
        <w:t xml:space="preserve">. In addition to the Long-Form Registration provided pursuant to </w:t>
      </w:r>
      <w:r>
        <w:rPr>
          <w:rFonts w:ascii="Times New Roman" w:cs="Times New Roman" w:eastAsia="Times New Roman" w:hAnsi="Times New Roman"/>
          <w:sz w:val="16"/>
          <w:szCs w:val="16"/>
          <w:u w:val="single" w:color="auto"/>
          <w:color w:val="auto"/>
        </w:rPr>
        <w:t>Section 2(b)</w:t>
      </w:r>
      <w:r>
        <w:rPr>
          <w:rFonts w:ascii="Times New Roman" w:cs="Times New Roman" w:eastAsia="Times New Roman" w:hAnsi="Times New Roman"/>
          <w:sz w:val="16"/>
          <w:szCs w:val="16"/>
          <w:color w:val="auto"/>
        </w:rPr>
        <w:t xml:space="preserve">, each of (i) the Majority Presto Investors, on behalf of any and all Presto Investors, (ii) the Majority Silver Rock Investors, on behalf of any and all Silver Rock Investors, and (iii) the Sponsors, shall be entitled to request Short-Form Registrations in which Pubco shall pay all Registration Expenses whether or not any such Short-Form Registration has become effective; provided, however, that Pubco shall not be obligated to effect any such Short-Form Registration: (x) if Pubco has already effected three Short-Form Registrations (which became effective) for the holders of Registrable Securities requesting a Short-Form Registration pursuant to this </w:t>
      </w:r>
      <w:r>
        <w:rPr>
          <w:rFonts w:ascii="Times New Roman" w:cs="Times New Roman" w:eastAsia="Times New Roman" w:hAnsi="Times New Roman"/>
          <w:sz w:val="16"/>
          <w:szCs w:val="16"/>
          <w:u w:val="single" w:color="auto"/>
          <w:color w:val="auto"/>
        </w:rPr>
        <w:t>Section 2(c)</w:t>
      </w:r>
      <w:r>
        <w:rPr>
          <w:rFonts w:ascii="Times New Roman" w:cs="Times New Roman" w:eastAsia="Times New Roman" w:hAnsi="Times New Roman"/>
          <w:sz w:val="16"/>
          <w:szCs w:val="16"/>
          <w:color w:val="auto"/>
        </w:rPr>
        <w:t>, or (y) if Pubco has already effected a Demand Registration (which became effective) in the preceding 90-day period. Demand Registrations shall be Short-Form Registrations whenever Pubco is permitted to use any applicable short form registration and if the managing underwriters (if any) agree to the use of a Short-Form Registration. For so long as Pubco is subject to the reporting requirements of the Exchange Act, Pubco shall use its reasonable best efforts to make Short-Form Registrations available for the offer and sale of Registrable Securities. If Pubco is qualified to and, pursuant to the request of the holders of a majority of the Registrable Securities, has filed with the Commission a Registration Statement under the Securities Act on Form S-3 pursuant to Rule 415 (a “</w:t>
      </w:r>
      <w:r>
        <w:rPr>
          <w:rFonts w:ascii="Times New Roman" w:cs="Times New Roman" w:eastAsia="Times New Roman" w:hAnsi="Times New Roman"/>
          <w:sz w:val="16"/>
          <w:szCs w:val="16"/>
          <w:u w:val="single" w:color="auto"/>
          <w:color w:val="auto"/>
        </w:rPr>
        <w:t>Shelf Registration</w:t>
      </w:r>
      <w:r>
        <w:rPr>
          <w:rFonts w:ascii="Times New Roman" w:cs="Times New Roman" w:eastAsia="Times New Roman" w:hAnsi="Times New Roman"/>
          <w:sz w:val="16"/>
          <w:szCs w:val="16"/>
          <w:color w:val="auto"/>
        </w:rPr>
        <w:t>”), then Pubco shall use its reasonable best efforts to cause the Shelf Registration to be declared effective under the Securities Act as soon as practicable after filing, and, if Pubco is a WKSI at the time of any such request, to cause such Shelf Registration to be an Automatic Shelf Registration Statement, and once effective, Pubco shall cause such Shelf Registration to remain effective (including by filing a new Shelf Registration, if necessary) for a period ending on the earlier of (i) the date on which all Registrable Securities included in such registration have been sold or distributed pursuant to the Shelf Registration or (ii) the date as of which all of the Registrable Securities included in such registration are able to be sold within a 45-day period in compliance with Rule 144 under the Securities Act (without any restrictions as to volume or the manner of sale or otherwise and without the requirement for Pubco to be in compliance with the current public information required under Rule 144(c)(i) or Rule 144(i)(2) and, in the case of Registrable Securities issuable upon the exercise of warrants, assuming the exercise of such warrants for cash). If for any reason Pubco ceases to be a WKSI or becomes ineligible to utilize Form S-3, Pubco shall prepare and file with the Commission a Registration Statement or Registration Statements on such form that is available for the sale of Registrable Securities.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99" w:name="page200"/>
    <w:bookmarkEnd w:id="199"/>
    <w:p>
      <w:pPr>
        <w:jc w:val="both"/>
        <w:ind w:firstLine="1143"/>
        <w:spacing w:after="0" w:line="251" w:lineRule="auto"/>
        <w:tabs>
          <w:tab w:leader="none" w:pos="1373"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Shelf Takedowns</w:t>
      </w:r>
      <w:r>
        <w:rPr>
          <w:rFonts w:ascii="Times New Roman" w:cs="Times New Roman" w:eastAsia="Times New Roman" w:hAnsi="Times New Roman"/>
          <w:sz w:val="16"/>
          <w:szCs w:val="16"/>
          <w:color w:val="auto"/>
        </w:rPr>
        <w:t>. At any time when the Resale Shelf Registration Statement or a Shelf Registration for the sale or distribution by holders of Registrable Securities on a delayed or continuous basis pursuant to Rule 415, including by way of an underwritten offering, block sale or other distribution plan (each, a “</w:t>
      </w:r>
      <w:r>
        <w:rPr>
          <w:rFonts w:ascii="Times New Roman" w:cs="Times New Roman" w:eastAsia="Times New Roman" w:hAnsi="Times New Roman"/>
          <w:sz w:val="16"/>
          <w:szCs w:val="16"/>
          <w:u w:val="single" w:color="auto"/>
          <w:color w:val="auto"/>
        </w:rPr>
        <w:t>Resale Shelf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Registration</w:t>
      </w:r>
      <w:r>
        <w:rPr>
          <w:rFonts w:ascii="Times New Roman" w:cs="Times New Roman" w:eastAsia="Times New Roman" w:hAnsi="Times New Roman"/>
          <w:sz w:val="16"/>
          <w:szCs w:val="16"/>
          <w:color w:val="auto"/>
        </w:rPr>
        <w:t xml:space="preserve">”), is effective and its use has not been otherwise suspended by Pubco in accordance with the terms of </w:t>
      </w:r>
      <w:r>
        <w:rPr>
          <w:rFonts w:ascii="Times New Roman" w:cs="Times New Roman" w:eastAsia="Times New Roman" w:hAnsi="Times New Roman"/>
          <w:sz w:val="16"/>
          <w:szCs w:val="16"/>
          <w:u w:val="single" w:color="auto"/>
          <w:color w:val="auto"/>
        </w:rPr>
        <w:t>Section 2(f)</w:t>
      </w:r>
      <w:r>
        <w:rPr>
          <w:rFonts w:ascii="Times New Roman" w:cs="Times New Roman" w:eastAsia="Times New Roman" w:hAnsi="Times New Roman"/>
          <w:sz w:val="16"/>
          <w:szCs w:val="16"/>
          <w:color w:val="auto"/>
        </w:rPr>
        <w:t xml:space="preserve"> below, upon a written demand (a “</w:t>
      </w:r>
      <w:r>
        <w:rPr>
          <w:rFonts w:ascii="Times New Roman" w:cs="Times New Roman" w:eastAsia="Times New Roman" w:hAnsi="Times New Roman"/>
          <w:sz w:val="16"/>
          <w:szCs w:val="16"/>
          <w:u w:val="single" w:color="auto"/>
          <w:color w:val="auto"/>
        </w:rPr>
        <w:t>Takedown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Demand</w:t>
      </w:r>
      <w:r>
        <w:rPr>
          <w:rFonts w:ascii="Times New Roman" w:cs="Times New Roman" w:eastAsia="Times New Roman" w:hAnsi="Times New Roman"/>
          <w:sz w:val="16"/>
          <w:szCs w:val="16"/>
          <w:color w:val="auto"/>
        </w:rPr>
        <w:t>”) by any Investor that is, in either case, a Shelf Participant holding Registrable Securities at such time (the “</w:t>
      </w:r>
      <w:r>
        <w:rPr>
          <w:rFonts w:ascii="Times New Roman" w:cs="Times New Roman" w:eastAsia="Times New Roman" w:hAnsi="Times New Roman"/>
          <w:sz w:val="16"/>
          <w:szCs w:val="16"/>
          <w:u w:val="single" w:color="auto"/>
          <w:color w:val="auto"/>
        </w:rPr>
        <w:t>Initiating Holder</w:t>
      </w:r>
      <w:r>
        <w:rPr>
          <w:rFonts w:ascii="Times New Roman" w:cs="Times New Roman" w:eastAsia="Times New Roman" w:hAnsi="Times New Roman"/>
          <w:sz w:val="16"/>
          <w:szCs w:val="16"/>
          <w:color w:val="auto"/>
        </w:rPr>
        <w:t>”), Pubco will facilitate in the manner described in this Agreement a “takedown” of Registrable Securities off of such Resale Shelf Registration (a “</w:t>
      </w:r>
      <w:r>
        <w:rPr>
          <w:rFonts w:ascii="Times New Roman" w:cs="Times New Roman" w:eastAsia="Times New Roman" w:hAnsi="Times New Roman"/>
          <w:sz w:val="16"/>
          <w:szCs w:val="16"/>
          <w:u w:val="single" w:color="auto"/>
          <w:color w:val="auto"/>
        </w:rPr>
        <w:t>take down offering</w:t>
      </w:r>
      <w:r>
        <w:rPr>
          <w:rFonts w:ascii="Times New Roman" w:cs="Times New Roman" w:eastAsia="Times New Roman" w:hAnsi="Times New Roman"/>
          <w:sz w:val="16"/>
          <w:szCs w:val="16"/>
          <w:color w:val="auto"/>
        </w:rPr>
        <w:t>”) and Pubco shall pay all Registration Expenses in connection therewith; provided that, subject to the MNPI Provisions, Pubco will provide (x) in connection with any non-marketed underwritten takedown offering (other than a Block Trade), at least two Business Days’ notice of such Takedown Demand to each holder of Registrable Securities (other than the Initiating Holder) that is a Shelf Participant, (y) in connection with any Block Trade initiated prior to the three year anniversary of the consummation of the Mergers, notice of such Takedown Demand to each holder of Registrable Securities (other than the Initiating Holder) that is a Shelf Participant no later than noon Eastern time on the Business Day prior to the requested Takedown Demand and (z) in connection with any marketed underwritten takedown offering, at least five Business Days’ notice of such Takedown Demand to each holder of Registrable Securities (other than the Initiating Holder) that is a Shelf Participant. In connection with (x) any non-marketed underwritten takedown offering initiated prior to the three year anniversary of the consummation of the Mergers and (y) any marketed underwritten takedown offering, if any Shelf Participants entitled to receive a notice pursuant to the preceding sentence request inclusion of their Registrable Securities (by notice to Pubco, which notice must be received by Pubco no later than (A) in the case of a non-marketed underwritten takedown offering (other than a Block Trade), the Business Day following the date notice is given to such participant, (B) in the case of a Block Trade, by 10:00 p.m. Eastern time on the date notice is given to such participant and (C) in the case of a marketed underwritten takedown offering, three Business Days following the date notice is given to such participant), the Initiating Holder and the other Shelf Participants that request inclusion of their Registrable Securities shall be entitled to sell their Registrable Securities in such offering. Each holder of Registrable Securities that is a Shelf Participant agrees that such holder shall treat as confidential the receipt of the notice of a Takedown Demand and shall not disclose or use the information contained in such notice without the prior written consent of Pubco until such time as the information contained therein is or becomes available to the public generally, other than as a result of disclosure by the holder in breach of the terms of this Agreement.</w:t>
      </w:r>
    </w:p>
    <w:p>
      <w:pPr>
        <w:spacing w:after="0" w:line="168" w:lineRule="exact"/>
        <w:rPr>
          <w:rFonts w:ascii="Times New Roman" w:cs="Times New Roman" w:eastAsia="Times New Roman" w:hAnsi="Times New Roman"/>
          <w:sz w:val="16"/>
          <w:szCs w:val="16"/>
          <w:color w:val="auto"/>
        </w:rPr>
      </w:pPr>
    </w:p>
    <w:p>
      <w:pPr>
        <w:jc w:val="both"/>
        <w:ind w:firstLine="1143"/>
        <w:spacing w:after="0" w:line="253" w:lineRule="auto"/>
        <w:tabs>
          <w:tab w:leader="none" w:pos="1376"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Priority on Demand Registrations and Takedown Offerings</w:t>
      </w:r>
      <w:r>
        <w:rPr>
          <w:rFonts w:ascii="Times New Roman" w:cs="Times New Roman" w:eastAsia="Times New Roman" w:hAnsi="Times New Roman"/>
          <w:sz w:val="16"/>
          <w:szCs w:val="16"/>
          <w:color w:val="auto"/>
        </w:rPr>
        <w:t>. Pubco shall not include in any Demand Registration that is an underwritten offering any securities that are not Registrable Securities without the prior written consent of the managing underwriters and the holders of a majority of the Registrable Securities then outstanding. If a Demand Registration or a takedown offering is an underwritten offering and the managing underwriters advise Pubco in writing that in their opinion the number of Registrable Securities and, if permitted hereunder, other securities requested to be included in such offering exceeds the number of Registrable Securities and other securities, if any, which can be sold in an orderly manner in such offering within a price range acceptable to the holders of a majority of the Registrable Securities included in such underwritten offering, Pubco shall include in such offering, prior to the inclusion of any securities which are not Registrable Securities, the Registrable Securities requested to be included in such registration (pro rata among the holders of such Registrable Securities on the basis of the number of Registrable Securities owned by each such holder).</w:t>
      </w:r>
    </w:p>
    <w:p>
      <w:pPr>
        <w:spacing w:after="0" w:line="169"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70"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Restrictions on Demand Registrations and Takedown Offerings</w:t>
      </w:r>
      <w:r>
        <w:rPr>
          <w:rFonts w:ascii="Times New Roman" w:cs="Times New Roman" w:eastAsia="Times New Roman" w:hAnsi="Times New Roman"/>
          <w:sz w:val="16"/>
          <w:szCs w:val="16"/>
          <w:color w:val="auto"/>
        </w:rPr>
        <w:t>. Any demand for the filing of a Registration Statement or for a registered offering (including a takedown offering) hereunder will be subject to the constraints of any applicable lock-up arrangements to which any demanding Investor is party, and any such demand must be deferred until such lock-up arrangements no longer apply.</w:t>
      </w:r>
    </w:p>
    <w:p>
      <w:pPr>
        <w:spacing w:after="0" w:line="155" w:lineRule="exact"/>
        <w:rPr>
          <w:rFonts w:ascii="Times New Roman" w:cs="Times New Roman" w:eastAsia="Times New Roman" w:hAnsi="Times New Roman"/>
          <w:sz w:val="16"/>
          <w:szCs w:val="16"/>
          <w:color w:val="auto"/>
        </w:rPr>
      </w:pPr>
    </w:p>
    <w:p>
      <w:pPr>
        <w:jc w:val="both"/>
        <w:ind w:left="560" w:firstLine="1156"/>
        <w:spacing w:after="0" w:line="251" w:lineRule="auto"/>
        <w:tabs>
          <w:tab w:leader="none" w:pos="1915" w:val="left"/>
        </w:tabs>
        <w:numPr>
          <w:ilvl w:val="1"/>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Pubco shall not be obligated to effect any Demand Registration within 60 days prior to Pubco’s good faith estimate of the date of filing of a Registration Statement in respect of an underwritten public offering of Pubco’s securities and for such a period of time after such a filing as the managing underwriters request, provided that such period shall not exceed 120 days from the date of the underwriting agreement entered into in respect of such underwritten public offering. Pubco may postpone, for up to 60 days from the date of the request, the filing or the effectiveness of a Registration Statement for a Demand Registration or suspend the use of a prospectus that is part of any Resale Shelf Registration Statement (and therefore suspend sales of the Registrable Securities included therein pursuant to such Resale Shelf Registration Statement) by providing written notice to the holders of Registrable Securities in accordance with </w:t>
      </w:r>
      <w:r>
        <w:rPr>
          <w:rFonts w:ascii="Times New Roman" w:cs="Times New Roman" w:eastAsia="Times New Roman" w:hAnsi="Times New Roman"/>
          <w:sz w:val="16"/>
          <w:szCs w:val="16"/>
          <w:u w:val="single" w:color="auto"/>
          <w:color w:val="auto"/>
        </w:rPr>
        <w:t>Section 2(f)(ii)</w:t>
      </w:r>
      <w:r>
        <w:rPr>
          <w:rFonts w:ascii="Times New Roman" w:cs="Times New Roman" w:eastAsia="Times New Roman" w:hAnsi="Times New Roman"/>
          <w:sz w:val="16"/>
          <w:szCs w:val="16"/>
          <w:color w:val="auto"/>
        </w:rPr>
        <w:t xml:space="preserve"> if the board of directors of Pubco reasonably determines in good faith that the offer or sale of Registrable Securities would be expected to have a detrimental effect on any proposal or plan by Pubco or any subsidiary thereof to engage in any material acquisition or disposition of assets or stock (other than in the ordinary course of business) or any material merger, consolidation, tender offer, recapitalization, reorganization or similar transaction or would require Pubco to disclose any material nonpublic information which would reasonably be likely to be detrimental to Pubco and its subsidiaries; provided that in such event, the holders of Registrable Securities initially requesting such Demand Registration or Takedown Demand shall be entitled to withdraw such request. Pubco may delay or suspend the effectiveness of a Registration Statement filed hereunder or takedown offering pursuant to this </w:t>
      </w:r>
      <w:r>
        <w:rPr>
          <w:rFonts w:ascii="Times New Roman" w:cs="Times New Roman" w:eastAsia="Times New Roman" w:hAnsi="Times New Roman"/>
          <w:sz w:val="16"/>
          <w:szCs w:val="16"/>
          <w:u w:val="single" w:color="auto"/>
          <w:color w:val="auto"/>
        </w:rPr>
        <w:t>Section 2(f)(i)</w:t>
      </w:r>
      <w:r>
        <w:rPr>
          <w:rFonts w:ascii="Times New Roman" w:cs="Times New Roman" w:eastAsia="Times New Roman" w:hAnsi="Times New Roman"/>
          <w:sz w:val="16"/>
          <w:szCs w:val="16"/>
          <w:color w:val="auto"/>
        </w:rPr>
        <w:t xml:space="preserve"> twice in any consecutive twelve-month period; provided that, for the avoidance of doubt, Pubco may in any event delay or suspend the effectiveness of Demand Registration or takedown offering in the case of an event described under </w:t>
      </w:r>
      <w:r>
        <w:rPr>
          <w:rFonts w:ascii="Times New Roman" w:cs="Times New Roman" w:eastAsia="Times New Roman" w:hAnsi="Times New Roman"/>
          <w:sz w:val="16"/>
          <w:szCs w:val="16"/>
          <w:u w:val="single" w:color="auto"/>
          <w:color w:val="auto"/>
        </w:rPr>
        <w:t>Section 5(g)</w:t>
      </w:r>
      <w:r>
        <w:rPr>
          <w:rFonts w:ascii="Times New Roman" w:cs="Times New Roman" w:eastAsia="Times New Roman" w:hAnsi="Times New Roman"/>
          <w:sz w:val="16"/>
          <w:szCs w:val="16"/>
          <w:color w:val="auto"/>
        </w:rPr>
        <w:t xml:space="preserve"> to enable it to comply with its obligations set forth in </w:t>
      </w:r>
      <w:r>
        <w:rPr>
          <w:rFonts w:ascii="Times New Roman" w:cs="Times New Roman" w:eastAsia="Times New Roman" w:hAnsi="Times New Roman"/>
          <w:sz w:val="16"/>
          <w:szCs w:val="16"/>
          <w:u w:val="single" w:color="auto"/>
          <w:color w:val="auto"/>
        </w:rPr>
        <w:t>Section 5(f)</w:t>
      </w:r>
      <w:r>
        <w:rPr>
          <w:rFonts w:ascii="Times New Roman" w:cs="Times New Roman" w:eastAsia="Times New Roman" w:hAnsi="Times New Roman"/>
          <w:sz w:val="16"/>
          <w:szCs w:val="16"/>
          <w:color w:val="auto"/>
        </w:rPr>
        <w: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00" w:name="page201"/>
    <w:bookmarkEnd w:id="200"/>
    <w:p>
      <w:pPr>
        <w:jc w:val="both"/>
        <w:ind w:left="560" w:firstLine="1156"/>
        <w:spacing w:after="0" w:line="251" w:lineRule="auto"/>
        <w:tabs>
          <w:tab w:leader="none" w:pos="1945" w:val="left"/>
        </w:tabs>
        <w:numPr>
          <w:ilvl w:val="1"/>
          <w:numId w:val="2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case of an event that causes Pubco to suspend the use of any Resale Shelf Registration as set forth in </w:t>
      </w:r>
      <w:r>
        <w:rPr>
          <w:rFonts w:ascii="Times New Roman" w:cs="Times New Roman" w:eastAsia="Times New Roman" w:hAnsi="Times New Roman"/>
          <w:sz w:val="16"/>
          <w:szCs w:val="16"/>
          <w:u w:val="single" w:color="auto"/>
          <w:color w:val="auto"/>
        </w:rPr>
        <w:t>Section 2(f)(i)</w:t>
      </w:r>
      <w:r>
        <w:rPr>
          <w:rFonts w:ascii="Times New Roman" w:cs="Times New Roman" w:eastAsia="Times New Roman" w:hAnsi="Times New Roman"/>
          <w:sz w:val="16"/>
          <w:szCs w:val="16"/>
          <w:color w:val="auto"/>
        </w:rPr>
        <w:t xml:space="preserve"> or pursuant to </w:t>
      </w:r>
      <w:r>
        <w:rPr>
          <w:rFonts w:ascii="Times New Roman" w:cs="Times New Roman" w:eastAsia="Times New Roman" w:hAnsi="Times New Roman"/>
          <w:sz w:val="16"/>
          <w:szCs w:val="16"/>
          <w:u w:val="single" w:color="auto"/>
          <w:color w:val="auto"/>
        </w:rPr>
        <w:t>Section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5(g)</w:t>
      </w:r>
      <w:r>
        <w:rPr>
          <w:rFonts w:ascii="Times New Roman" w:cs="Times New Roman" w:eastAsia="Times New Roman" w:hAnsi="Times New Roman"/>
          <w:sz w:val="16"/>
          <w:szCs w:val="16"/>
          <w:color w:val="auto"/>
        </w:rPr>
        <w:t xml:space="preserve"> (a “</w:t>
      </w:r>
      <w:r>
        <w:rPr>
          <w:rFonts w:ascii="Times New Roman" w:cs="Times New Roman" w:eastAsia="Times New Roman" w:hAnsi="Times New Roman"/>
          <w:sz w:val="16"/>
          <w:szCs w:val="16"/>
          <w:u w:val="single" w:color="auto"/>
          <w:color w:val="auto"/>
        </w:rPr>
        <w:t>Suspension Event</w:t>
      </w:r>
      <w:r>
        <w:rPr>
          <w:rFonts w:ascii="Times New Roman" w:cs="Times New Roman" w:eastAsia="Times New Roman" w:hAnsi="Times New Roman"/>
          <w:sz w:val="16"/>
          <w:szCs w:val="16"/>
          <w:color w:val="auto"/>
        </w:rPr>
        <w:t>”), Pubco shall give a notice to the holders of Registrable Securities registered pursuant to such Shelf Registration (a “</w:t>
      </w:r>
      <w:r>
        <w:rPr>
          <w:rFonts w:ascii="Times New Roman" w:cs="Times New Roman" w:eastAsia="Times New Roman" w:hAnsi="Times New Roman"/>
          <w:sz w:val="16"/>
          <w:szCs w:val="16"/>
          <w:u w:val="single" w:color="auto"/>
          <w:color w:val="auto"/>
        </w:rPr>
        <w:t>Suspension Notice</w:t>
      </w:r>
      <w:r>
        <w:rPr>
          <w:rFonts w:ascii="Times New Roman" w:cs="Times New Roman" w:eastAsia="Times New Roman" w:hAnsi="Times New Roman"/>
          <w:sz w:val="16"/>
          <w:szCs w:val="16"/>
          <w:color w:val="auto"/>
        </w:rPr>
        <w:t>”), no later than three Business Days from the date of such Suspension Event, to suspend sales of the Registrable Securities and, subject to the MNPI Provisions, such notice shall state that such suspension shall continue only for so long as the Suspension Event or its effect is continuing (provided that in each notice Pubco shall not disclose the basis for such suspension or any material non-public information to any Investor unless otherwise requested in writing by such Investor). Pubco shall use commercially reasonable efforts to make the Resale Shelf Registration Statement available for the sale by Investors of Registrable Securities as soon as practicable following a Suspension Event. A holder of Registrable Securities shall not effect any sales of the Registrable Securities pursuant to such Resale Shelf Registration (or such filings) at any time after it has received a Suspension Notice from Pubco and prior to receipt of an End of Suspension Notice (as defined below); provided, for the avoidance of doubt, that the foregoing shall not restrict or otherwise affect the consummation of any sale pursuant to a contract entered into, or order placed, by any holder prior to the delivery the Suspension Notice. Each holder of Registrable Securities agrees that such holder shall treat as confidential the receipt of the Suspension Notice and shall not disclose the information contained in such Suspension Notice without the prior written consent of Pubco until such time as the information contained therein is or becomes available to the public generally, other than as a result of disclosure by such holder in breach of the terms of this Agreement. The holders of Registrable Securities may recommence effecting sales of the Registrable Securities pursuant to the Resale Shelf Registration (or such filings) following further written notice to such effect (an “</w:t>
      </w:r>
      <w:r>
        <w:rPr>
          <w:rFonts w:ascii="Times New Roman" w:cs="Times New Roman" w:eastAsia="Times New Roman" w:hAnsi="Times New Roman"/>
          <w:sz w:val="16"/>
          <w:szCs w:val="16"/>
          <w:u w:val="single" w:color="auto"/>
          <w:color w:val="auto"/>
        </w:rPr>
        <w:t>End of Suspension Notice</w:t>
      </w:r>
      <w:r>
        <w:rPr>
          <w:rFonts w:ascii="Times New Roman" w:cs="Times New Roman" w:eastAsia="Times New Roman" w:hAnsi="Times New Roman"/>
          <w:sz w:val="16"/>
          <w:szCs w:val="16"/>
          <w:color w:val="auto"/>
        </w:rPr>
        <w:t>”) from Pubco, which End of Suspension Notice shall be given by Pubco to the holders of Registrable Securities and to such holders’ counsel, if any, promptly following the conclusion of any Suspension Event.</w:t>
      </w:r>
    </w:p>
    <w:p>
      <w:pPr>
        <w:spacing w:after="0" w:line="172" w:lineRule="exact"/>
        <w:rPr>
          <w:rFonts w:ascii="Times New Roman" w:cs="Times New Roman" w:eastAsia="Times New Roman" w:hAnsi="Times New Roman"/>
          <w:sz w:val="16"/>
          <w:szCs w:val="16"/>
          <w:color w:val="auto"/>
        </w:rPr>
      </w:pPr>
    </w:p>
    <w:p>
      <w:pPr>
        <w:jc w:val="both"/>
        <w:ind w:left="560" w:firstLine="1156"/>
        <w:spacing w:after="0" w:line="255" w:lineRule="auto"/>
        <w:tabs>
          <w:tab w:leader="none" w:pos="2003" w:val="left"/>
        </w:tabs>
        <w:numPr>
          <w:ilvl w:val="1"/>
          <w:numId w:val="2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 provision herein to the contrary, if Pubco shall give a Suspension Notice with respect to any Resale Shelf Registration pursuant to this </w:t>
      </w:r>
      <w:r>
        <w:rPr>
          <w:rFonts w:ascii="Times New Roman" w:cs="Times New Roman" w:eastAsia="Times New Roman" w:hAnsi="Times New Roman"/>
          <w:sz w:val="16"/>
          <w:szCs w:val="16"/>
          <w:u w:val="single" w:color="auto"/>
          <w:color w:val="auto"/>
        </w:rPr>
        <w:t>Section 2(f)</w:t>
      </w:r>
      <w:r>
        <w:rPr>
          <w:rFonts w:ascii="Times New Roman" w:cs="Times New Roman" w:eastAsia="Times New Roman" w:hAnsi="Times New Roman"/>
          <w:sz w:val="16"/>
          <w:szCs w:val="16"/>
          <w:color w:val="auto"/>
        </w:rPr>
        <w:t>, Pubco agrees that it shall extend the period of time during which such Resale Shelf Registration shall be maintained effective pursuant to this Agreement by the number of days during the period from the date of receipt by the holders of the Suspension Notice to and including the date of receipt by the holders of the End of Suspension Notice and provide copies of the supplemented or amended prospectus necessary to resume sales, with respect to each Suspension Event; provided that such period of time shall not be extended beyond the date that Common Stock covered by such Resale Shelf Registration are no longer Registrable Securities.</w:t>
      </w:r>
    </w:p>
    <w:p>
      <w:pPr>
        <w:spacing w:after="0" w:line="165"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85" w:val="left"/>
        </w:tabs>
        <w:numPr>
          <w:ilvl w:val="0"/>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Selection of Underwriters</w:t>
      </w:r>
      <w:r>
        <w:rPr>
          <w:rFonts w:ascii="Times New Roman" w:cs="Times New Roman" w:eastAsia="Times New Roman" w:hAnsi="Times New Roman"/>
          <w:sz w:val="16"/>
          <w:szCs w:val="16"/>
          <w:color w:val="auto"/>
        </w:rPr>
        <w:t>. In connection with any Demand Registration, the Applicable Approving Party shall have the right to select the investment banker(s) and manager(s) to administer the offering; provided that such selection shall be subject to the written consent of Pubco, which consent will not be unreasonably withheld, conditioned or delayed. If any takedown offering is an underwritten offering, the Applicable Approving Party shall have the right to select the investment banker(s) and manager(s) to administer such takedown offering, provided that such selection shall be subject to the written consent of Pubco, which consent will not be unreasonably withheld, conditioned or delayed. In each case, Pubco and the Applicable Approving Party shall have the right to approve the underwriting arrangements with such investment banker(s) and manager(s) on behalf of all holders of Registrable Securities participating in such offering. All Investors proposing to distribute their securities through underwriting shall (together with Pubco) enter into an underwriting agreement in customary form with the underwriter or underwriters selected for such underwriting.</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01" w:name="page202"/>
    <w:bookmarkEnd w:id="201"/>
    <w:p>
      <w:pPr>
        <w:jc w:val="both"/>
        <w:ind w:left="4" w:right="20" w:firstLine="1143"/>
        <w:spacing w:after="0" w:line="259" w:lineRule="auto"/>
        <w:tabs>
          <w:tab w:leader="none" w:pos="1377" w:val="left"/>
        </w:tabs>
        <w:numPr>
          <w:ilvl w:val="2"/>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Other Registration Rights</w:t>
      </w:r>
      <w:r>
        <w:rPr>
          <w:rFonts w:ascii="Times New Roman" w:cs="Times New Roman" w:eastAsia="Times New Roman" w:hAnsi="Times New Roman"/>
          <w:sz w:val="16"/>
          <w:szCs w:val="16"/>
          <w:color w:val="auto"/>
        </w:rPr>
        <w:t>. Pubco represents and warrants to each holder of Registrable Securities that the registration rights granted in this Agreement do not conflict with any other registration rights granted by Pubco. Except as provided in this Agreement, Pubco shall not grant to any Persons the right to request Pubco to register any equity securities of Pubco, or any securities, options or rights convertible or exchangeable into or exercisable for such securities, without the prior written consent of the holders of a majority of the Registrable Securities then outstanding.</w:t>
      </w:r>
    </w:p>
    <w:p>
      <w:pPr>
        <w:spacing w:after="0" w:line="161" w:lineRule="exact"/>
        <w:rPr>
          <w:rFonts w:ascii="Times New Roman" w:cs="Times New Roman" w:eastAsia="Times New Roman" w:hAnsi="Times New Roman"/>
          <w:sz w:val="16"/>
          <w:szCs w:val="16"/>
          <w:color w:val="auto"/>
        </w:rPr>
      </w:pPr>
    </w:p>
    <w:p>
      <w:pPr>
        <w:jc w:val="both"/>
        <w:ind w:left="4" w:firstLine="1143"/>
        <w:spacing w:after="0" w:line="259" w:lineRule="auto"/>
        <w:tabs>
          <w:tab w:leader="none" w:pos="1342" w:val="left"/>
        </w:tabs>
        <w:numPr>
          <w:ilvl w:val="2"/>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Revocation of Demand Notice or Takedown Notice</w:t>
      </w:r>
      <w:r>
        <w:rPr>
          <w:rFonts w:ascii="Times New Roman" w:cs="Times New Roman" w:eastAsia="Times New Roman" w:hAnsi="Times New Roman"/>
          <w:sz w:val="16"/>
          <w:szCs w:val="16"/>
          <w:color w:val="auto"/>
        </w:rPr>
        <w:t>. At any time prior to the effective date of the Registration Statement relating to a Demand Registration or the “pricing” of any offering relating to a Takedown Demand, the holders of Registrable Securities that requested such Demand Registration or takedown offering may revoke such request for a Demand Registration or takedown offering on behalf of all holders of Registrable Securities participating in such Demand Registration or takedown offering without liability to such holders of Registrable Securities, in each case by providing written notice to Pubco.</w:t>
      </w:r>
    </w:p>
    <w:p>
      <w:pPr>
        <w:spacing w:after="0" w:line="161" w:lineRule="exact"/>
        <w:rPr>
          <w:rFonts w:ascii="Times New Roman" w:cs="Times New Roman" w:eastAsia="Times New Roman" w:hAnsi="Times New Roman"/>
          <w:sz w:val="16"/>
          <w:szCs w:val="16"/>
          <w:color w:val="auto"/>
        </w:rPr>
      </w:pPr>
    </w:p>
    <w:p>
      <w:pPr>
        <w:ind w:left="544" w:hanging="162"/>
        <w:spacing w:after="0"/>
        <w:tabs>
          <w:tab w:leader="none" w:pos="544" w:val="left"/>
        </w:tabs>
        <w:numPr>
          <w:ilvl w:val="1"/>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Piggyback Registrations</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jc w:val="both"/>
        <w:ind w:left="4" w:firstLine="1143"/>
        <w:spacing w:after="0" w:line="252" w:lineRule="auto"/>
        <w:tabs>
          <w:tab w:leader="none" w:pos="1368" w:val="left"/>
        </w:tabs>
        <w:numPr>
          <w:ilvl w:val="2"/>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Right to Piggyback</w:t>
      </w:r>
      <w:r>
        <w:rPr>
          <w:rFonts w:ascii="Times New Roman" w:cs="Times New Roman" w:eastAsia="Times New Roman" w:hAnsi="Times New Roman"/>
          <w:sz w:val="16"/>
          <w:szCs w:val="16"/>
          <w:color w:val="auto"/>
        </w:rPr>
        <w:t xml:space="preserve">. Whenever Pubco proposes to register under the Securities Act an offering of any of its securities on behalf of any holders thereof or otherwise effect an underwritten offering of securities (other than (i) pursuant to the Resale Shelf Registration Statement, (ii) pursuant to a Demand Registration (which, for the avoidance of doubt, is addressed in and subject to the rights set forth in,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hereof), (iii) pursuant to a Takedown Demand (which, for the avoidance of doubt, is addressed in and subject to the rights set forth in,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hereof), (iv) in connection with registrations on Form S-4 or S-8 promulgated by the Commission or any successor forms, (v) pursuant to a registration relating solely to employment benefit plans, or (vi) in connection with a registration the primary purpose of which is to register debt securities) and the registration form to be used may be used for the registration of Registrable Securities (a “</w:t>
      </w:r>
      <w:r>
        <w:rPr>
          <w:rFonts w:ascii="Times New Roman" w:cs="Times New Roman" w:eastAsia="Times New Roman" w:hAnsi="Times New Roman"/>
          <w:sz w:val="16"/>
          <w:szCs w:val="16"/>
          <w:u w:val="single" w:color="auto"/>
          <w:color w:val="auto"/>
        </w:rPr>
        <w:t>Piggyback Registration</w:t>
      </w:r>
      <w:r>
        <w:rPr>
          <w:rFonts w:ascii="Times New Roman" w:cs="Times New Roman" w:eastAsia="Times New Roman" w:hAnsi="Times New Roman"/>
          <w:sz w:val="16"/>
          <w:szCs w:val="16"/>
          <w:color w:val="auto"/>
        </w:rPr>
        <w:t xml:space="preserve">”), Pubco shall give prompt written notice to all holders of Registrable Securities of its intention to effect such a Piggyback Registration and, subject to the terms of </w:t>
      </w:r>
      <w:r>
        <w:rPr>
          <w:rFonts w:ascii="Times New Roman" w:cs="Times New Roman" w:eastAsia="Times New Roman" w:hAnsi="Times New Roman"/>
          <w:sz w:val="16"/>
          <w:szCs w:val="16"/>
          <w:u w:val="single" w:color="auto"/>
          <w:color w:val="auto"/>
        </w:rPr>
        <w:t>Sections 3(c)</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3(d)</w:t>
      </w:r>
      <w:r>
        <w:rPr>
          <w:rFonts w:ascii="Times New Roman" w:cs="Times New Roman" w:eastAsia="Times New Roman" w:hAnsi="Times New Roman"/>
          <w:sz w:val="16"/>
          <w:szCs w:val="16"/>
          <w:color w:val="auto"/>
        </w:rPr>
        <w:t xml:space="preserve"> hereof, shall include in such Piggyback Registration (and in all related registrations or qualifications under blue sky laws or in compliance with other registration requirements and in any related underwriting) all Registrable Securities with respect to which Pubco has received written requests for inclusion therein within 10 Business Days after the delivery of Pubco’s notice; provided that any such other holder may withdraw its request for inclusion at any time prior to executing the underwriting agreement or, if none, prior to the applicable Registration Statement becoming effective (if applicable).</w:t>
      </w:r>
    </w:p>
    <w:p>
      <w:pPr>
        <w:spacing w:after="0" w:line="169" w:lineRule="exact"/>
        <w:rPr>
          <w:rFonts w:ascii="Times New Roman" w:cs="Times New Roman" w:eastAsia="Times New Roman" w:hAnsi="Times New Roman"/>
          <w:sz w:val="16"/>
          <w:szCs w:val="16"/>
          <w:color w:val="auto"/>
        </w:rPr>
      </w:pPr>
    </w:p>
    <w:p>
      <w:pPr>
        <w:ind w:left="4" w:firstLine="1143"/>
        <w:spacing w:after="0" w:line="280" w:lineRule="auto"/>
        <w:tabs>
          <w:tab w:leader="none" w:pos="1377" w:val="left"/>
        </w:tabs>
        <w:numPr>
          <w:ilvl w:val="2"/>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Piggyback Expenses</w:t>
      </w:r>
      <w:r>
        <w:rPr>
          <w:rFonts w:ascii="Times New Roman" w:cs="Times New Roman" w:eastAsia="Times New Roman" w:hAnsi="Times New Roman"/>
          <w:sz w:val="16"/>
          <w:szCs w:val="16"/>
          <w:color w:val="auto"/>
        </w:rPr>
        <w:t>. The Registration Expenses of the holders of Registrable Securities shall be paid by Pubco in all Piggyback Registrations, whether or not any such registration became effective.</w:t>
      </w:r>
    </w:p>
    <w:p>
      <w:pPr>
        <w:spacing w:after="0" w:line="144" w:lineRule="exact"/>
        <w:rPr>
          <w:rFonts w:ascii="Times New Roman" w:cs="Times New Roman" w:eastAsia="Times New Roman" w:hAnsi="Times New Roman"/>
          <w:sz w:val="16"/>
          <w:szCs w:val="16"/>
          <w:color w:val="auto"/>
        </w:rPr>
      </w:pPr>
    </w:p>
    <w:p>
      <w:pPr>
        <w:jc w:val="both"/>
        <w:ind w:left="4" w:firstLine="1143"/>
        <w:spacing w:after="0" w:line="254" w:lineRule="auto"/>
        <w:tabs>
          <w:tab w:leader="none" w:pos="1368" w:val="left"/>
        </w:tabs>
        <w:numPr>
          <w:ilvl w:val="2"/>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Priority on Primary Registrations</w:t>
      </w:r>
      <w:r>
        <w:rPr>
          <w:rFonts w:ascii="Times New Roman" w:cs="Times New Roman" w:eastAsia="Times New Roman" w:hAnsi="Times New Roman"/>
          <w:sz w:val="16"/>
          <w:szCs w:val="16"/>
          <w:color w:val="auto"/>
        </w:rPr>
        <w:t>. If a Piggyback Registration is an underwritten primary registration on behalf of Pubco, and the managing underwriters advise Pubco in writing that in their opinion the number of securities requested to be included in such registration exceeds the number of securities which can be sold in such offering without adversely affecting the marketability, proposed offering price, timing or method of distribution of the offering, Pubco shall include in such registration (i) first, the securities Pubco proposes to sell, (ii) second, the Registrable Securities requested to be included in such registration by the Investors which, in the opinion of such underwriters, can be sold, without any such adverse effect (pro rata among the holders of such Registrable Securities on the basis of the number of Registrable Securities owned by each such holder), and (iii) third, other securities requested to be included in such registration which, in the opinion of such underwriters, can be sold, without any such adverse effect.</w:t>
      </w:r>
    </w:p>
    <w:p>
      <w:pPr>
        <w:spacing w:after="0" w:line="166" w:lineRule="exact"/>
        <w:rPr>
          <w:rFonts w:ascii="Times New Roman" w:cs="Times New Roman" w:eastAsia="Times New Roman" w:hAnsi="Times New Roman"/>
          <w:sz w:val="16"/>
          <w:szCs w:val="16"/>
          <w:color w:val="auto"/>
        </w:rPr>
      </w:pPr>
    </w:p>
    <w:p>
      <w:pPr>
        <w:jc w:val="both"/>
        <w:ind w:left="4" w:firstLine="1143"/>
        <w:spacing w:after="0" w:line="254" w:lineRule="auto"/>
        <w:tabs>
          <w:tab w:leader="none" w:pos="1377" w:val="left"/>
        </w:tabs>
        <w:numPr>
          <w:ilvl w:val="2"/>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Priority on Secondary Registrations</w:t>
      </w:r>
      <w:r>
        <w:rPr>
          <w:rFonts w:ascii="Times New Roman" w:cs="Times New Roman" w:eastAsia="Times New Roman" w:hAnsi="Times New Roman"/>
          <w:sz w:val="16"/>
          <w:szCs w:val="16"/>
          <w:color w:val="auto"/>
        </w:rPr>
        <w:t>. If a Piggyback Registration is an underwritten secondary registration on behalf of holders of Pubco’s securities other than holders of Registrable Securities, and the managing underwriters advise Pubco in writing that in their opinion the number of securities requested to be included in such registration exceeds the number of securities which can be sold in such offering without adversely affecting the marketability, proposed offering price, timing or method of distribution of the offering, Pubco shall include in such registration (i) first, the securities requested to be included therein by the holders initially requesting such registration,</w:t>
      </w:r>
    </w:p>
    <w:p>
      <w:pPr>
        <w:spacing w:after="0" w:line="2" w:lineRule="exact"/>
        <w:rPr>
          <w:rFonts w:ascii="Times New Roman" w:cs="Times New Roman" w:eastAsia="Times New Roman" w:hAnsi="Times New Roman"/>
          <w:sz w:val="16"/>
          <w:szCs w:val="16"/>
          <w:color w:val="auto"/>
        </w:rPr>
      </w:pPr>
    </w:p>
    <w:p>
      <w:pPr>
        <w:jc w:val="both"/>
        <w:ind w:left="4" w:right="20" w:hanging="4"/>
        <w:spacing w:after="0" w:line="254" w:lineRule="auto"/>
        <w:tabs>
          <w:tab w:leader="none" w:pos="248" w:val="left"/>
        </w:tabs>
        <w:numPr>
          <w:ilvl w:val="0"/>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second, the Registrable Securities requested to be included in such registration by the Investors which, in the opinion of such underwriters, can be sold, without any such adverse effect (pro rata among the holders of such Registrable Securities on the basis of the number of Registrable Securities owned by each such holder), and (iii) third, other securities requested to be included in such registration which, in the opinion of such underwriters, can be sold, without any such adverse effect.</w:t>
      </w:r>
    </w:p>
    <w:p>
      <w:pPr>
        <w:spacing w:after="0" w:line="34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8195" cy="152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202" w:name="page203"/>
    <w:bookmarkEnd w:id="202"/>
    <w:p>
      <w:pPr>
        <w:jc w:val="both"/>
        <w:ind w:firstLine="1143"/>
        <w:spacing w:after="0" w:line="255" w:lineRule="auto"/>
        <w:tabs>
          <w:tab w:leader="none" w:pos="1364" w:val="left"/>
        </w:tabs>
        <w:numPr>
          <w:ilvl w:val="1"/>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Other Registrations</w:t>
      </w:r>
      <w:r>
        <w:rPr>
          <w:rFonts w:ascii="Times New Roman" w:cs="Times New Roman" w:eastAsia="Times New Roman" w:hAnsi="Times New Roman"/>
          <w:sz w:val="16"/>
          <w:szCs w:val="16"/>
          <w:color w:val="auto"/>
        </w:rPr>
        <w:t xml:space="preserve">. If Pubco has previously filed a Registration Statement with respect to Registrable Securities pursuant to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or pursuant to this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and if such previous registration has not been withdrawn or abandoned, then Pubco shall not be required to file or cause to be effected any other registration of any of its equity securities or securities convertible or exchangeable into or exercisable for its equity securities under the Securities Act (except on Form S-8 or any successor form or the Resale Shelf Registration Statement or a New Registration Statement) at the request of any holder or holders of such Registrable Securities until a period of at least 90 days has elapsed from the effective date of such previous registration; provided, however, that Pubco shall at all times remain obligated to file, supplement and/or amend, as applicable, each Registration Statement required to be filed pursuant to Section 1 in accordance with Sections 1(a) and 1(b), as applicable.</w:t>
      </w:r>
    </w:p>
    <w:p>
      <w:pPr>
        <w:spacing w:after="0" w:line="165"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46" w:val="left"/>
        </w:tabs>
        <w:numPr>
          <w:ilvl w:val="1"/>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Right to Terminate Registration</w:t>
      </w:r>
      <w:r>
        <w:rPr>
          <w:rFonts w:ascii="Times New Roman" w:cs="Times New Roman" w:eastAsia="Times New Roman" w:hAnsi="Times New Roman"/>
          <w:sz w:val="16"/>
          <w:szCs w:val="16"/>
          <w:color w:val="auto"/>
        </w:rPr>
        <w:t xml:space="preserve">. Pubco shall have the right to terminate or withdraw any registration initiated by it under this </w:t>
      </w:r>
      <w:r>
        <w:rPr>
          <w:rFonts w:ascii="Times New Roman" w:cs="Times New Roman" w:eastAsia="Times New Roman" w:hAnsi="Times New Roman"/>
          <w:sz w:val="16"/>
          <w:szCs w:val="16"/>
          <w:u w:val="single" w:color="auto"/>
          <w:color w:val="auto"/>
        </w:rPr>
        <w:t>Section</w:t>
      </w:r>
      <w:r>
        <w:rPr>
          <w:rFonts w:ascii="Times New Roman" w:cs="Times New Roman" w:eastAsia="Times New Roman" w:hAnsi="Times New Roman"/>
          <w:sz w:val="16"/>
          <w:szCs w:val="16"/>
          <w:color w:val="auto"/>
        </w:rPr>
        <w:t xml:space="preserve"> 3 whether or not any holder of Registrable Securities has elected to include securities in such registration. The Registration Expenses of such withdrawn registration shall be borne by Pubco in accordance with </w:t>
      </w:r>
      <w:r>
        <w:rPr>
          <w:rFonts w:ascii="Times New Roman" w:cs="Times New Roman" w:eastAsia="Times New Roman" w:hAnsi="Times New Roman"/>
          <w:sz w:val="16"/>
          <w:szCs w:val="16"/>
          <w:u w:val="single" w:color="auto"/>
          <w:color w:val="auto"/>
        </w:rPr>
        <w:t>Section 7</w:t>
      </w:r>
      <w:r>
        <w:rPr>
          <w:rFonts w:ascii="Times New Roman" w:cs="Times New Roman" w:eastAsia="Times New Roman" w:hAnsi="Times New Roman"/>
          <w:sz w:val="16"/>
          <w:szCs w:val="16"/>
          <w:color w:val="auto"/>
        </w:rPr>
        <w:t>.</w:t>
      </w:r>
    </w:p>
    <w:p>
      <w:pPr>
        <w:spacing w:after="0" w:line="155" w:lineRule="exact"/>
        <w:rPr>
          <w:rFonts w:ascii="Times New Roman" w:cs="Times New Roman" w:eastAsia="Times New Roman" w:hAnsi="Times New Roman"/>
          <w:sz w:val="16"/>
          <w:szCs w:val="16"/>
          <w:color w:val="auto"/>
        </w:rPr>
      </w:pPr>
    </w:p>
    <w:p>
      <w:pPr>
        <w:ind w:left="540" w:hanging="162"/>
        <w:spacing w:after="0"/>
        <w:tabs>
          <w:tab w:leader="none" w:pos="540"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Agreements of Certain Holders</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jc w:val="both"/>
        <w:ind w:firstLine="1143"/>
        <w:spacing w:after="0" w:line="251" w:lineRule="auto"/>
        <w:tabs>
          <w:tab w:leader="none" w:pos="1368" w:val="left"/>
        </w:tabs>
        <w:numPr>
          <w:ilvl w:val="1"/>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required by the managing underwriter(s), in connection with any underwritten Public Offering on or after the date hereof, any Investor that beneficially owns 1% or more of the outstanding Common Stock on the date of such underwritten Public Offering shall enter into lock-up agreements with the managing underwriter(s) of such underwritten Public Offering in such form as agreed to by such managing underwriter(s). In no event shall any Investor holding Registrable Securities that is not a director or executive officer of Pubco on the date of such underwritten Public Offering be required to enter into any such lock-up agreement (i) that contains less favorable terms than the terms offered to any other Investor, or (ii) unless such Investor has requested its Registrable Securities be included in such underwritten registration, after the first anniversary of the Closing Date (as defined in the Merger Agreement) if it owns less than 5% of the outstanding Common Stock on the date of such underwritten Public Offering. In addition, (i) in no event shall any Investor that is not a director or executive officer of Pubco on the date of such underwritten Public Offering be required to enter into lock-up agreements pursuant to this </w:t>
      </w:r>
      <w:r>
        <w:rPr>
          <w:rFonts w:ascii="Times New Roman" w:cs="Times New Roman" w:eastAsia="Times New Roman" w:hAnsi="Times New Roman"/>
          <w:sz w:val="16"/>
          <w:szCs w:val="16"/>
          <w:u w:val="single" w:color="auto"/>
          <w:color w:val="auto"/>
        </w:rPr>
        <w:t>Section 4(a)</w:t>
      </w:r>
      <w:r>
        <w:rPr>
          <w:rFonts w:ascii="Times New Roman" w:cs="Times New Roman" w:eastAsia="Times New Roman" w:hAnsi="Times New Roman"/>
          <w:sz w:val="16"/>
          <w:szCs w:val="16"/>
          <w:color w:val="auto"/>
        </w:rPr>
        <w:t xml:space="preserve"> on more than two occasions (unless such Investor is including its Registrable Securities in an underwritten registration and such lock-up is requested by the managing underwriter(s) in connection therewith), (ii) any lock-up agreement into which any Investor enters into pursuant to this </w:t>
      </w:r>
      <w:r>
        <w:rPr>
          <w:rFonts w:ascii="Times New Roman" w:cs="Times New Roman" w:eastAsia="Times New Roman" w:hAnsi="Times New Roman"/>
          <w:sz w:val="16"/>
          <w:szCs w:val="16"/>
          <w:u w:val="single" w:color="auto"/>
          <w:color w:val="auto"/>
        </w:rPr>
        <w:t>Section 4(a)</w:t>
      </w:r>
      <w:r>
        <w:rPr>
          <w:rFonts w:ascii="Times New Roman" w:cs="Times New Roman" w:eastAsia="Times New Roman" w:hAnsi="Times New Roman"/>
          <w:sz w:val="16"/>
          <w:szCs w:val="16"/>
          <w:color w:val="auto"/>
        </w:rPr>
        <w:t xml:space="preserve"> shall be for a period of not more than 60 days, (iii) the obligations of the Investors to enter into lockup agreements pursuant to this Section 4(a) shall terminate on the second anniversary of the Closing Date, (iv) no Investor shall be required to enter into a lock-up agreement pursuant to this </w:t>
      </w:r>
      <w:r>
        <w:rPr>
          <w:rFonts w:ascii="Times New Roman" w:cs="Times New Roman" w:eastAsia="Times New Roman" w:hAnsi="Times New Roman"/>
          <w:sz w:val="16"/>
          <w:szCs w:val="16"/>
          <w:u w:val="single" w:color="auto"/>
          <w:color w:val="auto"/>
        </w:rPr>
        <w:t>Section 4(a)</w:t>
      </w:r>
      <w:r>
        <w:rPr>
          <w:rFonts w:ascii="Times New Roman" w:cs="Times New Roman" w:eastAsia="Times New Roman" w:hAnsi="Times New Roman"/>
          <w:sz w:val="16"/>
          <w:szCs w:val="16"/>
          <w:color w:val="auto"/>
        </w:rPr>
        <w:t xml:space="preserve"> within six months following the expiration of a previous lock-up agreement entered into by such Investor pursuant to this </w:t>
      </w:r>
      <w:r>
        <w:rPr>
          <w:rFonts w:ascii="Times New Roman" w:cs="Times New Roman" w:eastAsia="Times New Roman" w:hAnsi="Times New Roman"/>
          <w:sz w:val="16"/>
          <w:szCs w:val="16"/>
          <w:u w:val="single" w:color="auto"/>
          <w:color w:val="auto"/>
        </w:rPr>
        <w:t>Section 4(a)</w:t>
      </w:r>
      <w:r>
        <w:rPr>
          <w:rFonts w:ascii="Times New Roman" w:cs="Times New Roman" w:eastAsia="Times New Roman" w:hAnsi="Times New Roman"/>
          <w:sz w:val="16"/>
          <w:szCs w:val="16"/>
          <w:color w:val="auto"/>
        </w:rPr>
        <w:t xml:space="preserve">, (v) no Investor shall be required to be subject to a lock-up agreement pursuant to this </w:t>
      </w:r>
      <w:r>
        <w:rPr>
          <w:rFonts w:ascii="Times New Roman" w:cs="Times New Roman" w:eastAsia="Times New Roman" w:hAnsi="Times New Roman"/>
          <w:sz w:val="16"/>
          <w:szCs w:val="16"/>
          <w:u w:val="single" w:color="auto"/>
          <w:color w:val="auto"/>
        </w:rPr>
        <w:t>Section 4(a)</w:t>
      </w:r>
      <w:r>
        <w:rPr>
          <w:rFonts w:ascii="Times New Roman" w:cs="Times New Roman" w:eastAsia="Times New Roman" w:hAnsi="Times New Roman"/>
          <w:sz w:val="16"/>
          <w:szCs w:val="16"/>
          <w:color w:val="auto"/>
        </w:rPr>
        <w:t xml:space="preserve"> during the 60 day period commencing immediately following the date that shares of Common Stock are first released from the Lock-up (as defined in the Support Agreements, respectively).</w:t>
      </w:r>
    </w:p>
    <w:p>
      <w:pPr>
        <w:spacing w:after="0" w:line="174" w:lineRule="exact"/>
        <w:rPr>
          <w:rFonts w:ascii="Times New Roman" w:cs="Times New Roman" w:eastAsia="Times New Roman" w:hAnsi="Times New Roman"/>
          <w:sz w:val="16"/>
          <w:szCs w:val="16"/>
          <w:color w:val="auto"/>
        </w:rPr>
      </w:pPr>
    </w:p>
    <w:p>
      <w:pPr>
        <w:jc w:val="both"/>
        <w:ind w:firstLine="1143"/>
        <w:spacing w:after="0" w:line="270" w:lineRule="auto"/>
        <w:tabs>
          <w:tab w:leader="none" w:pos="1378" w:val="left"/>
        </w:tabs>
        <w:numPr>
          <w:ilvl w:val="1"/>
          <w:numId w:val="2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holders of Registrable Securities shall use commercially reasonable efforts to provide such information as may reasonably be requested by Pubco, or the managing underwriter, if any, in connection with the preparation of any Registration Statement in which the Registrable Securities of such holder are to be included, including amendments and supplements thereto, in order to effect the Registration Statement, including amendments and supplements thereto, in order to effect the Registration of any Registrable Securities under the Securities Act pursuant to </w:t>
      </w:r>
      <w:r>
        <w:rPr>
          <w:rFonts w:ascii="Times New Roman" w:cs="Times New Roman" w:eastAsia="Times New Roman" w:hAnsi="Times New Roman"/>
          <w:sz w:val="15"/>
          <w:szCs w:val="15"/>
          <w:u w:val="single" w:color="auto"/>
          <w:color w:val="auto"/>
        </w:rPr>
        <w:t>Section 3.</w:t>
      </w:r>
      <w:r>
        <w:rPr>
          <w:rFonts w:ascii="Times New Roman" w:cs="Times New Roman" w:eastAsia="Times New Roman" w:hAnsi="Times New Roman"/>
          <w:sz w:val="15"/>
          <w:szCs w:val="15"/>
          <w:color w:val="auto"/>
        </w:rPr>
        <w:t xml:space="preserve"> Notwithstanding anything else in this Agreement, Pubco shall not be obligated to include such holder’s Registrable Securities to the extent Pubco has not received such information, and received any other reasonably requested selling stockholder questionnaires, on or</w:t>
      </w:r>
    </w:p>
    <w:p>
      <w:pPr>
        <w:spacing w:after="0" w:line="2" w:lineRule="exact"/>
        <w:rPr>
          <w:sz w:val="20"/>
          <w:szCs w:val="20"/>
          <w:color w:val="auto"/>
        </w:rPr>
      </w:pPr>
    </w:p>
    <w:p>
      <w:pPr>
        <w:ind w:right="20"/>
        <w:spacing w:after="0" w:line="207" w:lineRule="auto"/>
        <w:rPr>
          <w:sz w:val="20"/>
          <w:szCs w:val="20"/>
          <w:color w:val="auto"/>
        </w:rPr>
      </w:pPr>
      <w:r>
        <w:rPr>
          <w:rFonts w:ascii="Times New Roman" w:cs="Times New Roman" w:eastAsia="Times New Roman" w:hAnsi="Times New Roman"/>
          <w:sz w:val="16"/>
          <w:szCs w:val="16"/>
          <w:color w:val="auto"/>
        </w:rPr>
        <w:t>prior to the later of (i)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Business Day following the date on which such information is requested from such holder and (ii) the second Business Day prior to the first anticipated filing date of a Registration Statement pursuant to this Agreement.</w:t>
      </w:r>
    </w:p>
    <w:p>
      <w:pPr>
        <w:spacing w:after="0" w:line="176" w:lineRule="exact"/>
        <w:rPr>
          <w:sz w:val="20"/>
          <w:szCs w:val="20"/>
          <w:color w:val="auto"/>
        </w:rPr>
      </w:pPr>
    </w:p>
    <w:p>
      <w:pPr>
        <w:jc w:val="both"/>
        <w:ind w:firstLine="378"/>
        <w:spacing w:after="0" w:line="259" w:lineRule="auto"/>
        <w:tabs>
          <w:tab w:leader="none" w:pos="566" w:val="left"/>
        </w:tabs>
        <w:numPr>
          <w:ilvl w:val="0"/>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Registration Procedures</w:t>
      </w:r>
      <w:r>
        <w:rPr>
          <w:rFonts w:ascii="Times New Roman" w:cs="Times New Roman" w:eastAsia="Times New Roman" w:hAnsi="Times New Roman"/>
          <w:sz w:val="16"/>
          <w:szCs w:val="16"/>
          <w:color w:val="auto"/>
        </w:rPr>
        <w:t>. In connection with the Registration to be effected pursuant to the Resale Shelf Registration Statement, and whenever the holders of Registrable Securities have requested that any Registrable Securities be registered pursuant to this Agreement or have initiated a takedown offering, Pubco shall use its reasonable best efforts to effect the registration and the sale of such Registrable Securities in accordance with the intended method of disposition thereof, and pursuant thereto Pubco shall as expeditiously as reasonably possible:</w:t>
      </w:r>
    </w:p>
    <w:p>
      <w:pPr>
        <w:spacing w:after="0" w:line="161" w:lineRule="exact"/>
        <w:rPr>
          <w:rFonts w:ascii="Times New Roman" w:cs="Times New Roman" w:eastAsia="Times New Roman" w:hAnsi="Times New Roman"/>
          <w:sz w:val="16"/>
          <w:szCs w:val="16"/>
          <w:color w:val="auto"/>
        </w:rPr>
      </w:pPr>
    </w:p>
    <w:p>
      <w:pPr>
        <w:jc w:val="both"/>
        <w:ind w:right="20" w:firstLine="1143"/>
        <w:spacing w:after="0" w:line="255" w:lineRule="auto"/>
        <w:tabs>
          <w:tab w:leader="none" w:pos="1366" w:val="left"/>
        </w:tabs>
        <w:numPr>
          <w:ilvl w:val="1"/>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prepare in accordance with the Securities Act and all applicable rules and regulations promulgated thereunder and file with the Commission a Registration Statement, and all amendments and supplements thereto and related prospectuses as may be necessary to comply with applicable securities laws, with respect to such Registrable Securities and use its reasonable best efforts to cause such Registration Statement to become effective (provided that at least two Business Days before filing a Registration Statement or prospectus or any amendments or supplements thereto, Pubco shall furnish to counsel selected by the Applicable Approving Party copies of all such documents proposed to be filed, which documents shall be subject to the review and comment of such counsel, and no such document shall be filed with the Commission to which any Investor or its counsel reasonably objects);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03" w:name="page204"/>
    <w:bookmarkEnd w:id="203"/>
    <w:p>
      <w:pPr>
        <w:jc w:val="both"/>
        <w:ind w:left="4" w:firstLine="1143"/>
        <w:spacing w:after="0" w:line="259" w:lineRule="auto"/>
        <w:tabs>
          <w:tab w:leader="none" w:pos="1392" w:val="left"/>
        </w:tabs>
        <w:numPr>
          <w:ilvl w:val="1"/>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notify each holder of Registrable Securities of (A) the issuance by the Commission of any stop order suspending the effectiveness of any Registration Statement or the initiation of any proceedings for that purpose, (B) the receipt by Pubco or its counsel of any notification with respect to the suspension of the qualification of the Registrable Securities for sale in any jurisdiction or the initiation or threatening of any proceeding for such purpose, and (C) the effectiveness of each Registration Statement filed hereunder;</w:t>
      </w:r>
    </w:p>
    <w:p>
      <w:pPr>
        <w:spacing w:after="0" w:line="161" w:lineRule="exact"/>
        <w:rPr>
          <w:rFonts w:ascii="Times New Roman" w:cs="Times New Roman" w:eastAsia="Times New Roman" w:hAnsi="Times New Roman"/>
          <w:sz w:val="16"/>
          <w:szCs w:val="16"/>
          <w:color w:val="auto"/>
        </w:rPr>
      </w:pPr>
    </w:p>
    <w:p>
      <w:pPr>
        <w:jc w:val="both"/>
        <w:ind w:left="4" w:right="20" w:firstLine="1143"/>
        <w:spacing w:after="0" w:line="253" w:lineRule="auto"/>
        <w:tabs>
          <w:tab w:leader="none" w:pos="1373" w:val="left"/>
        </w:tabs>
        <w:numPr>
          <w:ilvl w:val="1"/>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prepare and file with the Commission such amendments and supplements to such Registration Statement and the prospectus used in connection therewith as may be necessary to keep such Registration Statement and the prospectus used in connection therewith current, effective and available for the resale of all of the Registrable Securities required to be covered thereby for a period ending when all of the securities covered by such Registration Statement have been disposed of in accordance with the intended methods of distribution by the sellers thereof set forth in such Registration Statement (but not in any event before the expiration of any longer period required under the Securities Act or, if such Registration Statement relates to an underwritten Public Offering, such longer period as in the opinion of counsel for the underwriters a prospectus is required by law to be delivered in connection with sale of Registrable Securities by an underwriter or dealer) and comply with the provisions of the Securities Act with respect to the disposition of all securities covered by such Registration Statement during such period in accordance with the intended methods of disposition by the sellers thereof set forth in such Registration Statement;</w:t>
      </w:r>
    </w:p>
    <w:p>
      <w:pPr>
        <w:spacing w:after="0" w:line="169" w:lineRule="exact"/>
        <w:rPr>
          <w:rFonts w:ascii="Times New Roman" w:cs="Times New Roman" w:eastAsia="Times New Roman" w:hAnsi="Times New Roman"/>
          <w:sz w:val="16"/>
          <w:szCs w:val="16"/>
          <w:color w:val="auto"/>
        </w:rPr>
      </w:pPr>
    </w:p>
    <w:p>
      <w:pPr>
        <w:jc w:val="both"/>
        <w:ind w:left="4" w:firstLine="1143"/>
        <w:spacing w:after="0" w:line="265" w:lineRule="auto"/>
        <w:tabs>
          <w:tab w:leader="none" w:pos="1378" w:val="left"/>
        </w:tabs>
        <w:numPr>
          <w:ilvl w:val="1"/>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 to each seller of Registrable Securities thereunder such number of copies of such Registration Statement, each amendment and supplement thereto, the prospectus included in such Registration Statement (including each preliminary prospectus), each Free-Writing Prospectus and such other documents as such seller may reasonably request in order to facilitate the disposition of the Registrable Securities owned by such seller;</w:t>
      </w:r>
    </w:p>
    <w:p>
      <w:pPr>
        <w:spacing w:after="0" w:line="155" w:lineRule="exact"/>
        <w:rPr>
          <w:rFonts w:ascii="Times New Roman" w:cs="Times New Roman" w:eastAsia="Times New Roman" w:hAnsi="Times New Roman"/>
          <w:sz w:val="16"/>
          <w:szCs w:val="16"/>
          <w:color w:val="auto"/>
        </w:rPr>
      </w:pPr>
    </w:p>
    <w:p>
      <w:pPr>
        <w:ind w:left="4" w:right="20" w:firstLine="1143"/>
        <w:spacing w:after="0" w:line="280" w:lineRule="auto"/>
        <w:tabs>
          <w:tab w:leader="none" w:pos="1383" w:val="left"/>
        </w:tabs>
        <w:numPr>
          <w:ilvl w:val="1"/>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any period in which a prospectus is required to be delivered under the Securities Act, promptly file all documents required to be filed with the Commission, including pursuant to Sections 13(a), 13(c), 14 or 15(d) of the Securities Act;</w:t>
      </w:r>
    </w:p>
    <w:p>
      <w:pPr>
        <w:spacing w:after="0" w:line="144" w:lineRule="exact"/>
        <w:rPr>
          <w:rFonts w:ascii="Times New Roman" w:cs="Times New Roman" w:eastAsia="Times New Roman" w:hAnsi="Times New Roman"/>
          <w:sz w:val="16"/>
          <w:szCs w:val="16"/>
          <w:color w:val="auto"/>
        </w:rPr>
      </w:pPr>
    </w:p>
    <w:p>
      <w:pPr>
        <w:jc w:val="both"/>
        <w:ind w:left="4" w:firstLine="1143"/>
        <w:spacing w:after="0" w:line="271" w:lineRule="auto"/>
        <w:tabs>
          <w:tab w:leader="none" w:pos="1353" w:val="left"/>
        </w:tabs>
        <w:numPr>
          <w:ilvl w:val="1"/>
          <w:numId w:val="2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use its reasonable best efforts to register or qualify such Registrable Securities under such other securities or blue sky laws of such jurisdictions as the lead underwriter or the Applicable Approving Party reasonably requests and do any and all other acts and things which may be reasonably necessary or advisable to enable such seller to consummate the disposition in such jurisdictions of the Registrable Securities owned by such seller (provided that Pubco shall not be required to (i) qualify generally to do business in any jurisdiction where it would not otherwise be required to qualify but for this </w:t>
      </w:r>
      <w:r>
        <w:rPr>
          <w:rFonts w:ascii="Times New Roman" w:cs="Times New Roman" w:eastAsia="Times New Roman" w:hAnsi="Times New Roman"/>
          <w:sz w:val="15"/>
          <w:szCs w:val="15"/>
          <w:u w:val="single" w:color="auto"/>
          <w:color w:val="auto"/>
        </w:rPr>
        <w:t>Section 5(f)</w:t>
      </w:r>
      <w:r>
        <w:rPr>
          <w:rFonts w:ascii="Times New Roman" w:cs="Times New Roman" w:eastAsia="Times New Roman" w:hAnsi="Times New Roman"/>
          <w:sz w:val="15"/>
          <w:szCs w:val="15"/>
          <w:color w:val="auto"/>
        </w:rPr>
        <w:t>, (ii) consent to general service of process in any such jurisdiction or</w:t>
      </w:r>
    </w:p>
    <w:p>
      <w:pPr>
        <w:spacing w:after="0" w:line="2" w:lineRule="exact"/>
        <w:rPr>
          <w:rFonts w:ascii="Times New Roman" w:cs="Times New Roman" w:eastAsia="Times New Roman" w:hAnsi="Times New Roman"/>
          <w:sz w:val="15"/>
          <w:szCs w:val="15"/>
          <w:color w:val="auto"/>
        </w:rPr>
      </w:pPr>
    </w:p>
    <w:p>
      <w:pPr>
        <w:ind w:left="284" w:hanging="284"/>
        <w:spacing w:after="0"/>
        <w:tabs>
          <w:tab w:leader="none" w:pos="284" w:val="left"/>
        </w:tabs>
        <w:numPr>
          <w:ilvl w:val="0"/>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itself to taxation in any such jurisdiction);</w:t>
      </w:r>
    </w:p>
    <w:p>
      <w:pPr>
        <w:spacing w:after="0" w:line="181" w:lineRule="exact"/>
        <w:rPr>
          <w:rFonts w:ascii="Times New Roman" w:cs="Times New Roman" w:eastAsia="Times New Roman" w:hAnsi="Times New Roman"/>
          <w:sz w:val="16"/>
          <w:szCs w:val="16"/>
          <w:color w:val="auto"/>
        </w:rPr>
      </w:pPr>
    </w:p>
    <w:p>
      <w:pPr>
        <w:jc w:val="both"/>
        <w:ind w:left="4" w:firstLine="1143"/>
        <w:spacing w:after="0" w:line="253" w:lineRule="auto"/>
        <w:tabs>
          <w:tab w:leader="none" w:pos="1400" w:val="left"/>
        </w:tabs>
        <w:numPr>
          <w:ilvl w:val="1"/>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promptly notify in writing each seller of such Registrable Securities (i) after it receives notice thereof, of the date and time when such Registration Statement and each post-effective amendment thereto has become effective or a prospectus or supplement to any prospectus relating to a Registration Statement has been filed and when any registration or qualification has become effective under a state securities or blue sky law or any exemption thereunder has been obtained, (ii) subject to the MNPI Provisions after receipt thereof, of any request by the Commission for the amendment or supplementing of such Registration Statement or prospectus or for additional information, and (iii) at any time when a prospectus relating thereto is required to be delivered under the Securities Act, of the happening of any event as a result of which the prospectus included in such Registration Statement contains an untrue statement of a material fact or omits any fact necessary to make the statements therein not misleading, and, at the request of any such seller, Pubco promptly shall prepare, file with the Commission and furnish to each such seller a reasonable number of copies of a supplement or amendment to such prospectus so that, as thereafter delivered to the purchasers of such Registrable Securities, such prospectus shall not contain an untrue statement of a material fact or omit to state any fact necessary to make the statements therein not misleading;</w:t>
      </w:r>
    </w:p>
    <w:p>
      <w:pPr>
        <w:spacing w:after="0" w:line="34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8195" cy="152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204" w:name="page205"/>
    <w:bookmarkEnd w:id="204"/>
    <w:p>
      <w:pPr>
        <w:jc w:val="both"/>
        <w:ind w:right="20" w:firstLine="1143"/>
        <w:spacing w:after="0" w:line="265" w:lineRule="auto"/>
        <w:tabs>
          <w:tab w:leader="none" w:pos="1386"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cause all such Registrable Securities to be listed on each securities exchange on which similar securities issued by Pubco are then listed and, if similar securities are not so listed, to be listed on a securities exchange and, without limiting the generality of the foregoing, to arrange for at least two market makers to register as such with respect to such Registrable Securities with FINRA;</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39"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applicable, promptly effect a filing with FINRA pursuant to FINRA Rule 5110 (or successor thereto) with respect to the public offering contemplated by resales of securities under the Resale Shelf Registration Statement (an “</w:t>
      </w:r>
      <w:r>
        <w:rPr>
          <w:rFonts w:ascii="Times New Roman" w:cs="Times New Roman" w:eastAsia="Times New Roman" w:hAnsi="Times New Roman"/>
          <w:sz w:val="16"/>
          <w:szCs w:val="16"/>
          <w:u w:val="single" w:color="auto"/>
          <w:color w:val="auto"/>
        </w:rPr>
        <w:t>Issuer Filing</w:t>
      </w:r>
      <w:r>
        <w:rPr>
          <w:rFonts w:ascii="Times New Roman" w:cs="Times New Roman" w:eastAsia="Times New Roman" w:hAnsi="Times New Roman"/>
          <w:sz w:val="16"/>
          <w:szCs w:val="16"/>
          <w:color w:val="auto"/>
        </w:rPr>
        <w:t>”), pay the filing fee required by such Issuer Filing and use its reasonable best efforts to pursue the Issuer Filing until FINRA issues a letter confirming that it does not object to the terms of the offering contemplated by the Resale Shelf Registration Statement.</w:t>
      </w:r>
    </w:p>
    <w:p>
      <w:pPr>
        <w:spacing w:after="0" w:line="155" w:lineRule="exact"/>
        <w:rPr>
          <w:rFonts w:ascii="Times New Roman" w:cs="Times New Roman" w:eastAsia="Times New Roman" w:hAnsi="Times New Roman"/>
          <w:sz w:val="16"/>
          <w:szCs w:val="16"/>
          <w:color w:val="auto"/>
        </w:rPr>
      </w:pPr>
    </w:p>
    <w:p>
      <w:pPr>
        <w:ind w:left="1340" w:hanging="197"/>
        <w:spacing w:after="0"/>
        <w:tabs>
          <w:tab w:leader="none" w:pos="1340"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a transfer agent and registrar for all such Registrable Securities not later than the effective date of such Registration Statement;</w:t>
      </w:r>
    </w:p>
    <w:p>
      <w:pPr>
        <w:spacing w:after="0" w:line="198" w:lineRule="exact"/>
        <w:rPr>
          <w:rFonts w:ascii="Times New Roman" w:cs="Times New Roman" w:eastAsia="Times New Roman" w:hAnsi="Times New Roman"/>
          <w:sz w:val="16"/>
          <w:szCs w:val="16"/>
          <w:color w:val="auto"/>
        </w:rPr>
      </w:pPr>
    </w:p>
    <w:p>
      <w:pPr>
        <w:jc w:val="both"/>
        <w:ind w:firstLine="1143"/>
        <w:spacing w:after="0" w:line="265" w:lineRule="auto"/>
        <w:tabs>
          <w:tab w:leader="none" w:pos="1406"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and perform such customary agreements (including underwriting agreements in customary form) and take all such other actions as the Applicable Approving Party or the underwriters, if any, reasonably request in order to expedite or facilitate the disposition of such Registrable Securities (including, without limitation, participating in such number of “road shows”, investor presentations and marketing events as the underwriters managing such offering may reasonably request);</w:t>
      </w:r>
    </w:p>
    <w:p>
      <w:pPr>
        <w:spacing w:after="0" w:line="155"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47"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available for inspection by a representative of the Investors, other than the Majority Silver Rock Investors and Sponsors (such representative to be selected by the Majority Presto Investors), a representative of the Sponsors, a representative of the Silver Rock Investors, any underwriter participating in any disposition pursuant to such Registration Statement and any attorney, accountant or other agent retained by any such representative or underwriter, all financial and other records, pertinent corporate and business documents and properties of Pubco as shall be reasonably requested to enable them to exercise their due diligence responsibility, and cause Pubco’s officers, managers, directors, employees, agents, representatives and independent accountants to supply all information reasonably requested by any such representative, underwriter, attorney, accountant or agent in connection with such Registration Statement; provided, however, that any such representative or underwriter enters into a confidentiality agreement, in form and substance reasonably satisfactory to Pubco, prior to the release or disclosure of any such information;</w:t>
      </w:r>
    </w:p>
    <w:p>
      <w:pPr>
        <w:spacing w:after="0" w:line="166" w:lineRule="exact"/>
        <w:rPr>
          <w:rFonts w:ascii="Times New Roman" w:cs="Times New Roman" w:eastAsia="Times New Roman" w:hAnsi="Times New Roman"/>
          <w:sz w:val="16"/>
          <w:szCs w:val="16"/>
          <w:color w:val="auto"/>
        </w:rPr>
      </w:pPr>
    </w:p>
    <w:p>
      <w:pPr>
        <w:jc w:val="both"/>
        <w:ind w:firstLine="1143"/>
        <w:spacing w:after="0" w:line="259" w:lineRule="auto"/>
        <w:tabs>
          <w:tab w:leader="none" w:pos="1449"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 all reasonable actions to ensure that any Free-Writing Prospectus utilized in connection with any Demand Registration (including any Shelf Registration) or Piggyback Registration hereunder complies in all material respects with the Securities Act, is filed in accordance with the Securities Act to the extent required thereby, is retained in accordance with the Securities Act to the extent required thereby and, when taken together with the related prospectus, shall not contain any untrue statement of a material fact or omit to state a material fact necessary to make the statements therein, in light of the circumstances under which they were made, not misleading;</w:t>
      </w:r>
    </w:p>
    <w:p>
      <w:pPr>
        <w:spacing w:after="0" w:line="161"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otherwise use its reasonable best efforts to comply with all applicable rules and regulations of the Commission;</w:t>
      </w:r>
    </w:p>
    <w:p>
      <w:pPr>
        <w:spacing w:after="0" w:line="198"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79"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permit any holder of Registrable Securities who, in its good faith judgment (based on the advice of counsel), could reasonably be expected to be deemed to be an underwriter or a controlling Person of Pubco to participate in the preparation of such registration or comparable statement and to require the insertion therein of material furnished to Pubco in writing, which in the reasonable judgment of such holder and its counsel should be included;</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74"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the issuance of any stop order suspending the effectiveness of a Registration Statement, or of any order suspending or preventing the use of any related prospectus or suspending the qualification of any Common Stock included in such Registration Statement for sale in any jurisdiction, use its reasonable best efforts promptly to obtain the withdrawal of such order;</w:t>
      </w:r>
    </w:p>
    <w:p>
      <w:pPr>
        <w:spacing w:after="0" w:line="155" w:lineRule="exact"/>
        <w:rPr>
          <w:rFonts w:ascii="Times New Roman" w:cs="Times New Roman" w:eastAsia="Times New Roman" w:hAnsi="Times New Roman"/>
          <w:sz w:val="16"/>
          <w:szCs w:val="16"/>
          <w:color w:val="auto"/>
        </w:rPr>
      </w:pPr>
    </w:p>
    <w:p>
      <w:pPr>
        <w:ind w:firstLine="1143"/>
        <w:spacing w:after="0" w:line="280" w:lineRule="auto"/>
        <w:tabs>
          <w:tab w:leader="none" w:pos="1376"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use its reasonable best efforts to cause such Registrable Securities covered by such Registration Statement to be registered with or approved by such other governmental agencies or authorities as may be necessary to enable the sellers thereof to consummate the disposition of such Registrable Securities;</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53"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cooperate with the holders of Registrable Securities covered by the Registration Statement and the managing underwriter or agent, if any, to facilitate the timely preparation and delivery of certificates (not bearing any restrictive legends) representing securities to be sold under the Registration Statement and enable such securities to be in such denominations and registered in such names as the managing underwriter, or agent, if any, or such holders may request;</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05" w:name="page206"/>
    <w:bookmarkEnd w:id="205"/>
    <w:p>
      <w:pPr>
        <w:ind w:right="20" w:firstLine="1143"/>
        <w:spacing w:after="0" w:line="280" w:lineRule="auto"/>
        <w:tabs>
          <w:tab w:leader="none" w:pos="1355" w:val="left"/>
        </w:tabs>
        <w:numPr>
          <w:ilvl w:val="1"/>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cooperate with each holder of Registrable Securities covered by the Registration Statement and each underwriter or agent participating in the disposition of such Registrable Securities and their respective counsel in connection with any filings required to be made with FINRA;</w:t>
      </w:r>
    </w:p>
    <w:p>
      <w:pPr>
        <w:spacing w:after="0" w:line="144"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41" w:val="left"/>
        </w:tabs>
        <w:numPr>
          <w:ilvl w:val="1"/>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such registration includes an underwritten public offering, use its reasonable best efforts to obtain a cold comfort letter from Pubco’s independent public accountants and addressed to the underwriters, in customary form and covering such matters of the type customarily covered by cold comfort letters as the underwriters in such registration reasonably request;</w:t>
      </w:r>
    </w:p>
    <w:p>
      <w:pPr>
        <w:spacing w:after="0" w:line="155" w:lineRule="exact"/>
        <w:rPr>
          <w:rFonts w:ascii="Times New Roman" w:cs="Times New Roman" w:eastAsia="Times New Roman" w:hAnsi="Times New Roman"/>
          <w:sz w:val="16"/>
          <w:szCs w:val="16"/>
          <w:color w:val="auto"/>
        </w:rPr>
      </w:pPr>
    </w:p>
    <w:p>
      <w:pPr>
        <w:jc w:val="both"/>
        <w:ind w:firstLine="1143"/>
        <w:spacing w:after="0" w:line="259" w:lineRule="auto"/>
        <w:tabs>
          <w:tab w:leader="none" w:pos="1407" w:val="left"/>
        </w:tabs>
        <w:numPr>
          <w:ilvl w:val="1"/>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a legal opinion of Pubco’s outside counsel, dated the effective date of such Registration Statement (and, if such registration includes an underwritten Public Offering, dated the date of the closing under the underwriting agreement), with respect to the Registration Statement, each amendment and supplement thereto, the prospectus included therein (including the preliminary prospectus) and such other documents relating thereto in customary form and covering such matters of the type customarily covered by legal opinions of such nature, which opinion shall be addressed to the underwriters;</w:t>
      </w:r>
    </w:p>
    <w:p>
      <w:pPr>
        <w:spacing w:after="0" w:line="161" w:lineRule="exact"/>
        <w:rPr>
          <w:rFonts w:ascii="Times New Roman" w:cs="Times New Roman" w:eastAsia="Times New Roman" w:hAnsi="Times New Roman"/>
          <w:sz w:val="16"/>
          <w:szCs w:val="16"/>
          <w:color w:val="auto"/>
        </w:rPr>
      </w:pPr>
    </w:p>
    <w:p>
      <w:pPr>
        <w:ind w:firstLine="1143"/>
        <w:spacing w:after="0" w:line="280" w:lineRule="auto"/>
        <w:tabs>
          <w:tab w:leader="none" w:pos="1383" w:val="left"/>
        </w:tabs>
        <w:numPr>
          <w:ilvl w:val="1"/>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Pubco files an Automatic Shelf Registration Statement covering any Registrable Securities, use its reasonable best efforts to remain a WKSI (and not become an ineligible issuer (as defined in Rule 405)) during the period during which such Automatic Shelf Registration Statement is required to remain effective;</w:t>
      </w:r>
    </w:p>
    <w:p>
      <w:pPr>
        <w:spacing w:after="0" w:line="144" w:lineRule="exact"/>
        <w:rPr>
          <w:rFonts w:ascii="Times New Roman" w:cs="Times New Roman" w:eastAsia="Times New Roman" w:hAnsi="Times New Roman"/>
          <w:sz w:val="16"/>
          <w:szCs w:val="16"/>
          <w:color w:val="auto"/>
        </w:rPr>
      </w:pPr>
    </w:p>
    <w:p>
      <w:pPr>
        <w:ind w:firstLine="1143"/>
        <w:spacing w:after="0" w:line="280" w:lineRule="auto"/>
        <w:tabs>
          <w:tab w:leader="none" w:pos="1409" w:val="left"/>
        </w:tabs>
        <w:numPr>
          <w:ilvl w:val="1"/>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Pubco does not pay the filing fee covering the Registrable Securities at the time an Automatic Shelf Registration Statement is filed, pay such fee at such time or times as the Registrable Securities are to be sold;</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57" w:lineRule="auto"/>
        <w:tabs>
          <w:tab w:leader="none" w:pos="1375" w:val="left"/>
        </w:tabs>
        <w:numPr>
          <w:ilvl w:val="1"/>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the terms of </w:t>
      </w:r>
      <w:r>
        <w:rPr>
          <w:rFonts w:ascii="Times New Roman" w:cs="Times New Roman" w:eastAsia="Times New Roman" w:hAnsi="Times New Roman"/>
          <w:sz w:val="16"/>
          <w:szCs w:val="16"/>
          <w:u w:val="single" w:color="auto"/>
          <w:color w:val="auto"/>
        </w:rPr>
        <w:t>Section 2(c)</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2(d)</w:t>
      </w:r>
      <w:r>
        <w:rPr>
          <w:rFonts w:ascii="Times New Roman" w:cs="Times New Roman" w:eastAsia="Times New Roman" w:hAnsi="Times New Roman"/>
          <w:sz w:val="16"/>
          <w:szCs w:val="16"/>
          <w:color w:val="auto"/>
        </w:rPr>
        <w:t>, if an Automatic Shelf Registration Statement has been outstanding for at least three years, at the end of the third year, refile a new Automatic Shelf Registration Statement covering the Registrable Securities, and, if at any time when Pubco is required to re-evaluate its WKSI status Pubco determines that it is not a WKSI, use its reasonable best efforts to refile the Registration Statement on Form S-3 and keep such Registration Statement effective (including by filing a new Resale Shelf Registration or Shelf Registration, if necessary) during the period throughout which such Registration Statement is required to be kept effective;</w:t>
      </w:r>
    </w:p>
    <w:p>
      <w:pPr>
        <w:spacing w:after="0" w:line="162" w:lineRule="exact"/>
        <w:rPr>
          <w:rFonts w:ascii="Times New Roman" w:cs="Times New Roman" w:eastAsia="Times New Roman" w:hAnsi="Times New Roman"/>
          <w:sz w:val="16"/>
          <w:szCs w:val="16"/>
          <w:color w:val="auto"/>
        </w:rPr>
      </w:pPr>
    </w:p>
    <w:p>
      <w:pPr>
        <w:jc w:val="both"/>
        <w:ind w:firstLine="1143"/>
        <w:spacing w:after="0" w:line="255" w:lineRule="auto"/>
        <w:tabs>
          <w:tab w:leader="none" w:pos="1384" w:val="left"/>
        </w:tabs>
        <w:numPr>
          <w:ilvl w:val="1"/>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cooperate with each Investor that holds Registrable Securities being offered and the managing underwriter or underwriters with respect to an applicable Registration Statement, if any, to facilitate the timely (i) preparation and delivery of certificates (not bearing any restrictive legends) representing Registrable Securities to be offered pursuant to such Registration Statement, and enable such certificates to be registered in such names and in such denominations or amounts, as the case may be, or (ii) crediting of the Registrable Securities to be offered pursuant to a Registration Statement to the applicable account (or accounts) with The Depository Trust Company (“DTC”) through its Deposit/Withdrawal At Custodian (“DWAC”) system, in any such case as such Investor or the managing underwriter or underwriters, if any, may reasonably request; and</w:t>
      </w:r>
    </w:p>
    <w:p>
      <w:pPr>
        <w:spacing w:after="0" w:line="165" w:lineRule="exact"/>
        <w:rPr>
          <w:rFonts w:ascii="Times New Roman" w:cs="Times New Roman" w:eastAsia="Times New Roman" w:hAnsi="Times New Roman"/>
          <w:sz w:val="16"/>
          <w:szCs w:val="16"/>
          <w:color w:val="auto"/>
        </w:rPr>
      </w:pPr>
    </w:p>
    <w:p>
      <w:pPr>
        <w:jc w:val="both"/>
        <w:ind w:right="20" w:firstLine="1143"/>
        <w:spacing w:after="0" w:line="255" w:lineRule="auto"/>
        <w:tabs>
          <w:tab w:leader="none" w:pos="1371" w:val="left"/>
        </w:tabs>
        <w:numPr>
          <w:ilvl w:val="1"/>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so long as this Agreement remains effective, (a) cause the Common Stock to be eligible for clearing through DTC, through its DWAC system; (b) be eligible and participating in the Direct Registration System (DRS) of DTC with respect to the Common Stock; (c) ensure that the transfer agent for the Common Stock is a participant in, and that the Common Stock is eligible for transfer pursuant to, DTC’s Fast Automated Securities Transfer Program (or successor thereto); and (d) use its reasonable best efforts to cause the Common Stock to not at any time be subject to any DTC “chill,” “freeze” or similar restriction with respect to any DTC services, including the clearing of shares of Common Stock through DTC, and, in the event the Common Stock becomes subject to any DTC “chill,” “freeze” or similar restriction with respect to any DTC services, use its reasonable best efforts to cause any such “chill,” “freeze” or similar restriction to be removed at the earliest possible time.</w:t>
      </w:r>
    </w:p>
    <w:p>
      <w:pPr>
        <w:spacing w:after="0" w:line="165" w:lineRule="exact"/>
        <w:rPr>
          <w:rFonts w:ascii="Times New Roman" w:cs="Times New Roman" w:eastAsia="Times New Roman" w:hAnsi="Times New Roman"/>
          <w:sz w:val="16"/>
          <w:szCs w:val="16"/>
          <w:color w:val="auto"/>
        </w:rPr>
      </w:pPr>
    </w:p>
    <w:p>
      <w:pPr>
        <w:jc w:val="both"/>
        <w:ind w:firstLine="378"/>
        <w:spacing w:after="0" w:line="252" w:lineRule="auto"/>
        <w:tabs>
          <w:tab w:leader="none" w:pos="566"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of Rights</w:t>
      </w:r>
      <w:r>
        <w:rPr>
          <w:rFonts w:ascii="Times New Roman" w:cs="Times New Roman" w:eastAsia="Times New Roman" w:hAnsi="Times New Roman"/>
          <w:sz w:val="16"/>
          <w:szCs w:val="16"/>
          <w:color w:val="auto"/>
        </w:rPr>
        <w:t xml:space="preserve">. Notwithstanding anything contained herein to the contrary, the right of any Investor to include Registrable Securities in any Demand Registration or any Piggyback Registration shall terminate on such date that (i) such Investor (together with its affiliates) beneficially owns less than 1% of the outstanding Common Stock, (ii) has held the securities for one year and (iii) may sell all of the Registrable Securities owned by such Investor pursuant to Rule 144 of the Securities Act without any restrictions as to volume or the manner of sale or otherwise and without the requirement for Pubco to be in compliance with the current public information required under Rule 144(c)(i) or Rule 144(i)(2); provided, however, that with respect to any Investor whose rights have terminated pursuant to this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if following such a termination, such Investor loses the ability to sell all of its Registrable Securities pursuant to Rule 144 of the Securities Act without any restrictions as to volume or the manner of sale or otherwise and without the requirement for the Company to be in compliance with the current public information required under Rule 144(c)(i) or Rule 144(i)(2) due to a change in interpretive guidance by the Commission or otherwise, then such Investor’s right to include Registrable Securities in any Demand Registration or any Piggyback Registration shall be reinstated until such time as the Investor is once again able to sell all of its Registrable Securities pursuant to Rule 144 of the Securities Act without any restrictions as to volume or the manner of sale or otherwise and without the requirement for the Company to be in compliance with the current public information required under Rule 144(c)(i) or Rule 144(i)(2).</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06" w:name="page207"/>
    <w:bookmarkEnd w:id="206"/>
    <w:p>
      <w:pPr>
        <w:ind w:left="540" w:hanging="162"/>
        <w:spacing w:after="0"/>
        <w:tabs>
          <w:tab w:leader="none" w:pos="540"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Registration Expenses</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jc w:val="both"/>
        <w:ind w:firstLine="1143"/>
        <w:spacing w:after="0" w:line="253" w:lineRule="auto"/>
        <w:tabs>
          <w:tab w:leader="none" w:pos="1367" w:val="left"/>
        </w:tabs>
        <w:numPr>
          <w:ilvl w:val="1"/>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expenses incident to Pubco’s performance of or compliance with this Agreement, including, without limitation, all registration, qualification and filing fees, listing fees, fees and expenses of compliance with securities or blue sky laws, stock exchange rules and filings, printing expenses, messenger and delivery expenses, fees and disbursements of custodians, and fees and disbursements of counsel for Pubco and all independent certified public accountants, underwriters (excluding underwriting discounts and commissions) and other Persons retained by Pubco (all such expenses being herein called “</w:t>
      </w:r>
      <w:r>
        <w:rPr>
          <w:rFonts w:ascii="Times New Roman" w:cs="Times New Roman" w:eastAsia="Times New Roman" w:hAnsi="Times New Roman"/>
          <w:sz w:val="16"/>
          <w:szCs w:val="16"/>
          <w:u w:val="single" w:color="auto"/>
          <w:color w:val="auto"/>
        </w:rPr>
        <w:t>Registration Expenses</w:t>
      </w:r>
      <w:r>
        <w:rPr>
          <w:rFonts w:ascii="Times New Roman" w:cs="Times New Roman" w:eastAsia="Times New Roman" w:hAnsi="Times New Roman"/>
          <w:sz w:val="16"/>
          <w:szCs w:val="16"/>
          <w:color w:val="auto"/>
        </w:rPr>
        <w:t>”), shall be borne by Pubco as provided in this Agreement and, for the avoidance of doubt, Pubco also shall pay all of its internal expenses (including, without limitation, all salaries and expenses of its officers and employees performing legal or accounting duties), the expense of any annual audit or quarterly review, the expense of any liability insurance and the expenses and fees for listing the securities to be registered on each securities exchange on which similar securities issued by Pubco are then listed. Each Person that sells securities hereunder shall bear and pay all underwriting discounts and commissions, underwriter marketing costs, brokerage fees and transfer taxes applicable to the securities sold for such Person’s account and all reasonable fees and expenses of any legal counsel representing any such Person.</w:t>
      </w:r>
    </w:p>
    <w:p>
      <w:pPr>
        <w:spacing w:after="0" w:line="166" w:lineRule="exact"/>
        <w:rPr>
          <w:rFonts w:ascii="Times New Roman" w:cs="Times New Roman" w:eastAsia="Times New Roman" w:hAnsi="Times New Roman"/>
          <w:sz w:val="16"/>
          <w:szCs w:val="16"/>
          <w:color w:val="auto"/>
        </w:rPr>
      </w:pPr>
    </w:p>
    <w:p>
      <w:pPr>
        <w:ind w:right="20" w:firstLine="1143"/>
        <w:spacing w:after="0" w:line="280" w:lineRule="auto"/>
        <w:tabs>
          <w:tab w:leader="none" w:pos="1378" w:val="left"/>
        </w:tabs>
        <w:numPr>
          <w:ilvl w:val="1"/>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Pubco shall reimburse the holders of Registrable Securities included in such registration for the reasonable fees and disbursements of one counsel chosen by the Applicable Approving Party in connection with any underwritten Demand Registration.</w:t>
      </w:r>
    </w:p>
    <w:p>
      <w:pPr>
        <w:spacing w:after="0" w:line="144" w:lineRule="exact"/>
        <w:rPr>
          <w:rFonts w:ascii="Times New Roman" w:cs="Times New Roman" w:eastAsia="Times New Roman" w:hAnsi="Times New Roman"/>
          <w:sz w:val="16"/>
          <w:szCs w:val="16"/>
          <w:color w:val="auto"/>
        </w:rPr>
      </w:pPr>
    </w:p>
    <w:p>
      <w:pPr>
        <w:ind w:left="540" w:hanging="162"/>
        <w:spacing w:after="0"/>
        <w:tabs>
          <w:tab w:leader="none" w:pos="540"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jc w:val="both"/>
        <w:ind w:firstLine="1143"/>
        <w:spacing w:after="0" w:line="251" w:lineRule="auto"/>
        <w:tabs>
          <w:tab w:leader="none" w:pos="1378" w:val="left"/>
        </w:tabs>
        <w:numPr>
          <w:ilvl w:val="1"/>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Pubco agrees to (i) indemnify, defend and hold harmless, to the fullest extent permitted by law, each Investor, each Person who controls such Investor (within the meaning of the Securities Act or the Exchange Act) each Investor’s and control Person’s respective officers, directors, members, partners, managers, agents, affiliates and employees from and against all losses, claims, actions, damages, liabilities and expenses (“</w:t>
      </w:r>
      <w:r>
        <w:rPr>
          <w:rFonts w:ascii="Times New Roman" w:cs="Times New Roman" w:eastAsia="Times New Roman" w:hAnsi="Times New Roman"/>
          <w:sz w:val="16"/>
          <w:szCs w:val="16"/>
          <w:u w:val="single" w:color="auto"/>
          <w:color w:val="auto"/>
        </w:rPr>
        <w:t>Losses</w:t>
      </w:r>
      <w:r>
        <w:rPr>
          <w:rFonts w:ascii="Times New Roman" w:cs="Times New Roman" w:eastAsia="Times New Roman" w:hAnsi="Times New Roman"/>
          <w:sz w:val="16"/>
          <w:szCs w:val="16"/>
          <w:color w:val="auto"/>
        </w:rPr>
        <w:t xml:space="preserve">”) caused by any untrue or alleged untrue statement of material fact contained in any Registration Statement, prospectus, preliminary prospectus, free writing prospectus or any amendment thereof or supplement thereto or any omission or alleged omission of a material fact required to be stated therein or necessary to make the statements therein not misleading (in the case of a prospectus, in light of the circumstances under which the statements therein were made), and (ii) pay to each Investor and their respective officers, directors, members, partners, managers, agents, affiliates and employees and each Person who controls such Investor (within the meaning of the Securities Act or the Exchange Act), as incurred, any legal and any other expenses reasonably incurred in connection with investigating, preparing or defending any such claim, loss, damage, liability or action, except in each case of (i) or (ii) insofar as the same are caused by or contained in any information furnished in writing to Pubco or any managing underwriter by or on behalf of such Investor expressly for use therein; provided, however, that the indemnity agreement contained in this </w:t>
      </w:r>
      <w:r>
        <w:rPr>
          <w:rFonts w:ascii="Times New Roman" w:cs="Times New Roman" w:eastAsia="Times New Roman" w:hAnsi="Times New Roman"/>
          <w:sz w:val="16"/>
          <w:szCs w:val="16"/>
          <w:u w:val="single" w:color="auto"/>
          <w:color w:val="auto"/>
        </w:rPr>
        <w:t>Section 8</w:t>
      </w:r>
      <w:r>
        <w:rPr>
          <w:rFonts w:ascii="Times New Roman" w:cs="Times New Roman" w:eastAsia="Times New Roman" w:hAnsi="Times New Roman"/>
          <w:sz w:val="16"/>
          <w:szCs w:val="16"/>
          <w:color w:val="auto"/>
        </w:rPr>
        <w:t xml:space="preserve"> shall not apply to amounts paid in settlement of any such claim, loss, damage, liability or action if such settlement is effected without the consent of Pubco (which consent shall not be unreasonably withheld, conditioned or delayed), nor shall Pubco be liable in any such case for any such claim, loss, damage, liability or action to the extent that it arises out of or is based upon an untrue or alleged untrue statement of any material fact contained in the Registration Statement, prospectus, preliminary prospectus, free writing prospectus or any amendment thereof or supplement thereto or omission or alleged omission to state therein a material fact required to be stated therein or necessary to make the statements therein not misleading, in each case to the extent that such untrue statement or alleged untrue statement or omission or alleged omission was made in the Registration Statement, prospectus, preliminary prospectus, free writing prospectus or any amendment thereof or supplement thereto, in reliance upon and in conformity with written information furnished by or on behalf of such Investor expressly for use in connection with such Registration Statement or to the extent that such Loss results from an Investor’s initiation of a transaction pursuant to a Registration Statement during a Suspension Event noticed to such Investor by Pubco in accordance with Section 2(f)(ii) hereof. In connection with an underwritten offering, Pubco shall indemnify any underwriters or deemed underwriters, their officers and directors and each Person who controls such underwriters (within the meaning of the Securities Act or the Exchange Act) to the same extent as provided above with respect to the indemnification of the holders of Registrable Securities.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07" w:name="page208"/>
    <w:bookmarkEnd w:id="207"/>
    <w:p>
      <w:pPr>
        <w:jc w:val="both"/>
        <w:ind w:firstLine="1143"/>
        <w:spacing w:after="0" w:line="252" w:lineRule="auto"/>
        <w:tabs>
          <w:tab w:leader="none" w:pos="1391"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any Registration Statement in which a holder of Registrable Securities is participating, each such holder shall furnish to Pubco in writing such information relating to such holder as Pubco reasonably requests for use in connection with any such Registration Statement or prospectus and, to the extent permitted by law, shall indemnify Pubco, its officers, directors, employees, agents and representatives and each Person who controls Pubco (within the meaning of the Securities Act) against any losses, claims, damages, liabilities and expenses resulting from any untrue or alleged untrue statement of material fact contained in the Registration Statement, prospectus or preliminary prospectus or any amendment thereof or supplement thereto or any omission or alleged omission of a material fact required to be stated therein or necessary to make the statements therein not misleading, but only to the extent that such untrue or alleged untrue statement or omission is contained in any information so furnished in writing by or on behalf of such holder or to the extent that such Loss results from an Investor’s initiation of a transaction pursuant to a Registration Statement during a Suspension Event noticed to such Investor by Pubco in accordance with Section 2(f)(ii) hereof; provided that the obligation to indemnify shall be individual, not joint and several, for each holder and shall be limited to the net amount of proceeds actually received by such holder from the sale of Registrable Securities pursuant to such Registration Statement.</w:t>
      </w:r>
    </w:p>
    <w:p>
      <w:pPr>
        <w:spacing w:after="0" w:line="171" w:lineRule="exact"/>
        <w:rPr>
          <w:rFonts w:ascii="Times New Roman" w:cs="Times New Roman" w:eastAsia="Times New Roman" w:hAnsi="Times New Roman"/>
          <w:sz w:val="16"/>
          <w:szCs w:val="16"/>
          <w:color w:val="auto"/>
        </w:rPr>
      </w:pPr>
    </w:p>
    <w:p>
      <w:pPr>
        <w:jc w:val="both"/>
        <w:ind w:firstLine="1143"/>
        <w:spacing w:after="0" w:line="251" w:lineRule="auto"/>
        <w:tabs>
          <w:tab w:leader="none" w:pos="1366"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Person entitled to indemnification hereunder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in defending such claim)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conditioned or delayed). An indemnifying party who is not entitled to, or elects not to, assume the defense of a claim shall not be obligated to pay the fees and expenses of more than one counsel (as well as one local counsel for each applicable jurisdiction) for all parties indemnified by such indemnifying party with respect to such claim, unless in the reasonable judgment of any indemnified party a conflict of interest may exist between such indemnified party and any other of such indemnified parties with respect to such claim. In such instance, the conflicted indemnified parties shall have a right to retain one separate counsel, chosen by the holders of a majority of the Registrable Securities included in the registration, at the expense of the indemnifying party. Notwithstanding anything to the contrary contained herein, Pubco shall not, without the prior written consent of the Person entitled to indemnification, consent to entry of any judgment or enter into any settlement or other compromise with respect to any claim in respect of which indemnification or contribution may be or has been sought hereunder (whether or not any such indemnified Person is an actual or potential party to such action or claim) which does not include as an unconditional term thereof the giving by the claimant or plaintiff to the indemnified Persons of a full release from all liability with respect to such claim or which includes any admission as to fault or culpability or failure to act on the part of any indemnified Person.</w:t>
      </w:r>
    </w:p>
    <w:p>
      <w:pPr>
        <w:spacing w:after="0" w:line="174" w:lineRule="exact"/>
        <w:rPr>
          <w:rFonts w:ascii="Times New Roman" w:cs="Times New Roman" w:eastAsia="Times New Roman" w:hAnsi="Times New Roman"/>
          <w:sz w:val="16"/>
          <w:szCs w:val="16"/>
          <w:color w:val="auto"/>
        </w:rPr>
      </w:pPr>
    </w:p>
    <w:p>
      <w:pPr>
        <w:jc w:val="both"/>
        <w:ind w:firstLine="1143"/>
        <w:spacing w:after="0" w:line="251" w:lineRule="auto"/>
        <w:tabs>
          <w:tab w:leader="none" w:pos="1381"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party hereto agrees that, if for any reason the indemnification provisions contemplated by </w:t>
      </w:r>
      <w:r>
        <w:rPr>
          <w:rFonts w:ascii="Times New Roman" w:cs="Times New Roman" w:eastAsia="Times New Roman" w:hAnsi="Times New Roman"/>
          <w:sz w:val="16"/>
          <w:szCs w:val="16"/>
          <w:u w:val="single" w:color="auto"/>
          <w:color w:val="auto"/>
        </w:rPr>
        <w:t>Sections 8(a)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8(b)</w:t>
      </w:r>
      <w:r>
        <w:rPr>
          <w:rFonts w:ascii="Times New Roman" w:cs="Times New Roman" w:eastAsia="Times New Roman" w:hAnsi="Times New Roman"/>
          <w:sz w:val="16"/>
          <w:szCs w:val="16"/>
          <w:color w:val="auto"/>
        </w:rPr>
        <w:t xml:space="preserve"> are unavailable to or insufficient to hold harmless an indemnified party in respect of any losses, claims, damages, liabilities or expenses (or actions in respect thereof) referred to therein, then each indemnifying party, in lieu of indemnifying such indemnified party, shall contribute to the amount paid or payable by such indemnified party as a result of such losses, claims, damages, liabilities or expenses (or actions in respect thereof) in such proportion as is appropriate to reflect the relative fault of the indemnifying party and the indemnified party in connection with the actions which resulted in such losses, claims, damages, liabilities or expenses,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to state a material fact, relates to information supplied by or on behalf of such indemnifying party or indemnified party, and the parties’ relative intent, knowledge, access to information and opportunity to correct or prevent such statement or omission. The parties hereto agree that it would not be just or equitable if contribution pursuant to this </w:t>
      </w:r>
      <w:r>
        <w:rPr>
          <w:rFonts w:ascii="Times New Roman" w:cs="Times New Roman" w:eastAsia="Times New Roman" w:hAnsi="Times New Roman"/>
          <w:sz w:val="16"/>
          <w:szCs w:val="16"/>
          <w:u w:val="single" w:color="auto"/>
          <w:color w:val="auto"/>
        </w:rPr>
        <w:t>Section 8(d)</w:t>
      </w:r>
      <w:r>
        <w:rPr>
          <w:rFonts w:ascii="Times New Roman" w:cs="Times New Roman" w:eastAsia="Times New Roman" w:hAnsi="Times New Roman"/>
          <w:sz w:val="16"/>
          <w:szCs w:val="16"/>
          <w:color w:val="auto"/>
        </w:rPr>
        <w:t xml:space="preserve"> were determined by pro rata allocation (even if the holders or any underwriters or all of them were treated as one entity for such purpose) or by any other method of allocation which does not take account of the equitable considerations referred to in this </w:t>
      </w:r>
      <w:r>
        <w:rPr>
          <w:rFonts w:ascii="Times New Roman" w:cs="Times New Roman" w:eastAsia="Times New Roman" w:hAnsi="Times New Roman"/>
          <w:sz w:val="16"/>
          <w:szCs w:val="16"/>
          <w:u w:val="single" w:color="auto"/>
          <w:color w:val="auto"/>
        </w:rPr>
        <w:t>Section 8(d)</w:t>
      </w:r>
      <w:r>
        <w:rPr>
          <w:rFonts w:ascii="Times New Roman" w:cs="Times New Roman" w:eastAsia="Times New Roman" w:hAnsi="Times New Roman"/>
          <w:sz w:val="16"/>
          <w:szCs w:val="16"/>
          <w:color w:val="auto"/>
        </w:rPr>
        <w:t xml:space="preserve">. The amount paid or payable by an indemnified party as a result of the losses, claims, damages, liabilities or expenses (or actions in respect thereof) referred to above shall be deemed to include any legal or other fees or expenses reasonably incurred by such indemnified party in connection with investigating or, except as provided in </w:t>
      </w:r>
      <w:r>
        <w:rPr>
          <w:rFonts w:ascii="Times New Roman" w:cs="Times New Roman" w:eastAsia="Times New Roman" w:hAnsi="Times New Roman"/>
          <w:sz w:val="16"/>
          <w:szCs w:val="16"/>
          <w:u w:val="single" w:color="auto"/>
          <w:color w:val="auto"/>
        </w:rPr>
        <w:t>Section 8(c)</w:t>
      </w:r>
      <w:r>
        <w:rPr>
          <w:rFonts w:ascii="Times New Roman" w:cs="Times New Roman" w:eastAsia="Times New Roman" w:hAnsi="Times New Roman"/>
          <w:sz w:val="16"/>
          <w:szCs w:val="16"/>
          <w:color w:val="auto"/>
        </w:rPr>
        <w:t xml:space="preserve">, defending any such action or claim. No Person guilty of fraudulent misrepresentation (within the meaning of Section 11(f) of the Securities Act) shall be entitled to contribution from any Person who was not guilty of such fraudulent misrepresentation. The sellers’ obligations in this </w:t>
      </w:r>
      <w:r>
        <w:rPr>
          <w:rFonts w:ascii="Times New Roman" w:cs="Times New Roman" w:eastAsia="Times New Roman" w:hAnsi="Times New Roman"/>
          <w:sz w:val="16"/>
          <w:szCs w:val="16"/>
          <w:u w:val="single" w:color="auto"/>
          <w:color w:val="auto"/>
        </w:rPr>
        <w:t>Section 8(d)</w:t>
      </w:r>
      <w:r>
        <w:rPr>
          <w:rFonts w:ascii="Times New Roman" w:cs="Times New Roman" w:eastAsia="Times New Roman" w:hAnsi="Times New Roman"/>
          <w:sz w:val="16"/>
          <w:szCs w:val="16"/>
          <w:color w:val="auto"/>
        </w:rPr>
        <w:t xml:space="preserve"> to contribute shall be several in proportion to the amount of securities registered by them and not joint and shall be limited to an amount equal to the net proceeds actually received by such seller from the sale of Registrable Securities effected pursuant to such registration (less the aggregate amount of any damages or other amounts such Investor has otherwise been required to pay (pursuant to </w:t>
      </w:r>
      <w:r>
        <w:rPr>
          <w:rFonts w:ascii="Times New Roman" w:cs="Times New Roman" w:eastAsia="Times New Roman" w:hAnsi="Times New Roman"/>
          <w:sz w:val="16"/>
          <w:szCs w:val="16"/>
          <w:u w:val="single" w:color="auto"/>
          <w:color w:val="auto"/>
        </w:rPr>
        <w:t>Section 8(b)</w:t>
      </w:r>
      <w:r>
        <w:rPr>
          <w:rFonts w:ascii="Times New Roman" w:cs="Times New Roman" w:eastAsia="Times New Roman" w:hAnsi="Times New Roman"/>
          <w:sz w:val="16"/>
          <w:szCs w:val="16"/>
          <w:color w:val="auto"/>
        </w:rPr>
        <w:t xml:space="preserve"> or otherwise) as a result of any untrue statements, alleged untrue statements, omissions or alleged omissions in connection with such registration).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08" w:name="page209"/>
    <w:bookmarkEnd w:id="208"/>
    <w:p>
      <w:pPr>
        <w:jc w:val="both"/>
        <w:ind w:right="20" w:firstLine="1143"/>
        <w:spacing w:after="0" w:line="265" w:lineRule="auto"/>
        <w:tabs>
          <w:tab w:leader="none" w:pos="1365" w:val="left"/>
        </w:tabs>
        <w:numPr>
          <w:ilvl w:val="1"/>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indemnification and contribution provided for under this Agreement shall remain in full force and effect regardless of any investigation made by or on behalf of the indemnified party or any officer, director, manager, agent, representative or controlling Person of such indemnified party and shall survive the transfer of Registrable Securities and the termination or expiration of this Agreement.</w:t>
      </w:r>
    </w:p>
    <w:p>
      <w:pPr>
        <w:spacing w:after="0" w:line="155" w:lineRule="exact"/>
        <w:rPr>
          <w:rFonts w:ascii="Times New Roman" w:cs="Times New Roman" w:eastAsia="Times New Roman" w:hAnsi="Times New Roman"/>
          <w:sz w:val="16"/>
          <w:szCs w:val="16"/>
          <w:color w:val="auto"/>
        </w:rPr>
      </w:pPr>
    </w:p>
    <w:p>
      <w:pPr>
        <w:jc w:val="both"/>
        <w:ind w:firstLine="378"/>
        <w:spacing w:after="0" w:line="252" w:lineRule="auto"/>
        <w:tabs>
          <w:tab w:leader="none" w:pos="542"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Participation in Underwritten Registrations</w:t>
      </w:r>
      <w:r>
        <w:rPr>
          <w:rFonts w:ascii="Times New Roman" w:cs="Times New Roman" w:eastAsia="Times New Roman" w:hAnsi="Times New Roman"/>
          <w:sz w:val="16"/>
          <w:szCs w:val="16"/>
          <w:color w:val="auto"/>
        </w:rPr>
        <w:t xml:space="preserve">. No Person may participate in any registration hereunder which is underwritten unless such Person (a) agrees to sell such Person’s securities on the basis provided in any underwriting arrangements approved by the Person or Persons entitled hereunder to approve such arrangements (including, without limitation, pursuant to any over-allotment or “green shoe” option requested by the underwriters; provided that no holder of Registrable Securities shall be required to sell more than the number of Registrable Securities such holder has requested to include) and (b) completes and executes all questionnaires, powers of attorney, custody agreements, stock powers, indemnities, underwriting agreements and other documents required under the terms of such underwriting arrangements; provided that no holder of Registrable Securities included in any underwritten registration shall be required to make any representations or warranties to Pubco or the underwriters (other than representations and warranties regarding such holder, such holder’s title to the securities, such Person’s authority to sell such securities and such holder’s intended method of distribution) or to undertake any indemnification obligations to Pubco or the underwriters with respect thereto that are materially more burdensome than those provided in </w:t>
      </w:r>
      <w:r>
        <w:rPr>
          <w:rFonts w:ascii="Times New Roman" w:cs="Times New Roman" w:eastAsia="Times New Roman" w:hAnsi="Times New Roman"/>
          <w:sz w:val="16"/>
          <w:szCs w:val="16"/>
          <w:u w:val="single" w:color="auto"/>
          <w:color w:val="auto"/>
        </w:rPr>
        <w:t>Section 8</w:t>
      </w:r>
      <w:r>
        <w:rPr>
          <w:rFonts w:ascii="Times New Roman" w:cs="Times New Roman" w:eastAsia="Times New Roman" w:hAnsi="Times New Roman"/>
          <w:sz w:val="16"/>
          <w:szCs w:val="16"/>
          <w:color w:val="auto"/>
        </w:rPr>
        <w:t xml:space="preserve">. Each holder of Registrable Securities shall execute and deliver such other agreements as may be reasonably requested by Pubco and the lead managing underwriter(s) that are consistent with such holder’s obligations under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5</w:t>
      </w:r>
      <w:r>
        <w:rPr>
          <w:rFonts w:ascii="Times New Roman" w:cs="Times New Roman" w:eastAsia="Times New Roman" w:hAnsi="Times New Roman"/>
          <w:sz w:val="16"/>
          <w:szCs w:val="16"/>
          <w:color w:val="auto"/>
        </w:rPr>
        <w:t xml:space="preserve"> and this </w:t>
      </w:r>
      <w:r>
        <w:rPr>
          <w:rFonts w:ascii="Times New Roman" w:cs="Times New Roman" w:eastAsia="Times New Roman" w:hAnsi="Times New Roman"/>
          <w:sz w:val="16"/>
          <w:szCs w:val="16"/>
          <w:u w:val="single" w:color="auto"/>
          <w:color w:val="auto"/>
        </w:rPr>
        <w:t>Section 9</w:t>
      </w:r>
      <w:r>
        <w:rPr>
          <w:rFonts w:ascii="Times New Roman" w:cs="Times New Roman" w:eastAsia="Times New Roman" w:hAnsi="Times New Roman"/>
          <w:sz w:val="16"/>
          <w:szCs w:val="16"/>
          <w:color w:val="auto"/>
        </w:rPr>
        <w:t xml:space="preserve"> or that are necessary to give further effect thereto, and Pubco shall execute and deliver such other agreements as may be reasonably requested by the lead managing underwriter(s) (if applicable) in order to effect any registration required hereunder. To the extent that any such agreement is entered into pursuant to, and consistent with,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and this </w:t>
      </w:r>
      <w:r>
        <w:rPr>
          <w:rFonts w:ascii="Times New Roman" w:cs="Times New Roman" w:eastAsia="Times New Roman" w:hAnsi="Times New Roman"/>
          <w:sz w:val="16"/>
          <w:szCs w:val="16"/>
          <w:u w:val="single" w:color="auto"/>
          <w:color w:val="auto"/>
        </w:rPr>
        <w:t>Section 9</w:t>
      </w:r>
      <w:r>
        <w:rPr>
          <w:rFonts w:ascii="Times New Roman" w:cs="Times New Roman" w:eastAsia="Times New Roman" w:hAnsi="Times New Roman"/>
          <w:sz w:val="16"/>
          <w:szCs w:val="16"/>
          <w:color w:val="auto"/>
        </w:rPr>
        <w:t xml:space="preserve">, the respective rights and obligations created under such agreement shall supersede the respective rights and obligations of the holders, Pubco and the underwriters created pursuant to this </w:t>
      </w:r>
      <w:r>
        <w:rPr>
          <w:rFonts w:ascii="Times New Roman" w:cs="Times New Roman" w:eastAsia="Times New Roman" w:hAnsi="Times New Roman"/>
          <w:sz w:val="16"/>
          <w:szCs w:val="16"/>
          <w:u w:val="single" w:color="auto"/>
          <w:color w:val="auto"/>
        </w:rPr>
        <w:t>Section 9</w:t>
      </w:r>
      <w:r>
        <w:rPr>
          <w:rFonts w:ascii="Times New Roman" w:cs="Times New Roman" w:eastAsia="Times New Roman" w:hAnsi="Times New Roman"/>
          <w:sz w:val="16"/>
          <w:szCs w:val="16"/>
          <w:color w:val="auto"/>
        </w:rPr>
        <w:t>.</w:t>
      </w:r>
    </w:p>
    <w:p>
      <w:pPr>
        <w:spacing w:after="0" w:line="165" w:lineRule="exact"/>
        <w:rPr>
          <w:rFonts w:ascii="Times New Roman" w:cs="Times New Roman" w:eastAsia="Times New Roman" w:hAnsi="Times New Roman"/>
          <w:sz w:val="16"/>
          <w:szCs w:val="16"/>
          <w:color w:val="auto"/>
        </w:rPr>
      </w:pPr>
    </w:p>
    <w:p>
      <w:pPr>
        <w:ind w:left="620" w:hanging="242"/>
        <w:spacing w:after="0"/>
        <w:tabs>
          <w:tab w:leader="none" w:pos="620"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Other Agreements</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79" w:val="left"/>
        </w:tabs>
        <w:numPr>
          <w:ilvl w:val="1"/>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so long as any Investor holds Registrable Securities that may be sold pursuant to Rule 144 only if Pubco is in compliance with the current public information requirement under Rule 144(c)(1) (or Rule 144(i)(2), if applicable), Pubco will use its commercially reasonable efforts to make and keep public information available, as those terms are understood and defined in Rule 144 and, in furtherance thereof, (i) remain subject to the reporting requirements of Section 13 or 15(d) of the Exchange Act; and (ii) timely (without giving effect to any extensions pursuant to Rule 12b-25 under the Exchange Act, as applicable) file all reports and other materials required to be filed by Section 13 or 15(d) of the Exchange Act, as applicable (provided, that the failure to file Current Reports on Form 8-K, other than the Form 8-K filed on the Form 10 Disclosure Filing Date, shall not be deemed to violate this Section 10(b) to the extent that Rule 144 remains available for the resale of Registrable Securities). Upon reasonable prior written request, Pubco shall deliver to the Investors a customary written statement as to whether it has complied with such requirements.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09" w:name="page210"/>
    <w:bookmarkEnd w:id="209"/>
    <w:p>
      <w:pPr>
        <w:jc w:val="both"/>
        <w:ind w:firstLine="1143"/>
        <w:spacing w:after="0" w:line="252" w:lineRule="auto"/>
        <w:tabs>
          <w:tab w:leader="none" w:pos="1390"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in this Agreement to the contrary, and subject to (and without limiting) Section 8(s) of the Subscription Agreements, in the event that Pubco believes that a notice or communication required by this Agreement to be delivered to any Investor contains material, nonpublic information relating to Pubco, its securities, any of its affiliates or any other Person, Pubco shall so indicate to such Investor prior to delivery of such notice or communication, and such indication shall provide such Investor the means to refuse to receive such notice or communication; and in the absence of any such indication, the Investors and their respective affiliates, agents and representatives shall be allowed to presume that all matters relating to such notice or communication do not constitute material, nonpublic information relating to Pubco, its securities, any of its affiliates or any other Person. In the event of a breach of any of the foregoing covenants by Pubco, any of its affiliates, or any of its or their respective officers, directors (or equivalent persons), employees, attorneys, agents or representatives, in addition to any other remedies otherwise available at law or in equity, each of the Investors shall have the right to make a public disclosure in the form of a press release or otherwise, of the applicable material nonpublic information without the prior approval by Pubco or any of its affiliates, officers, directors (or equivalent persons), employees, stockholders, attorneys, agents or representatives, and no Investor (nor any of its affiliates, agents or representatives) shall have any liability to Pubco, any of its affiliates or any of its or their respective officers, directors (or equivalent persons), employees, stockholders, attorneys, agents or representatives for any such disclosure.</w:t>
      </w:r>
    </w:p>
    <w:p>
      <w:pPr>
        <w:spacing w:after="0" w:line="169"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79"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foregoing and Section 8(s) of the Subscription Agreements, to the extent Pubco reasonably and in good faith determines that it is necessary to disclose material non-public information to an Investor in order to comply with its obligations hereunder (a “</w:t>
      </w:r>
      <w:r>
        <w:rPr>
          <w:rFonts w:ascii="Times New Roman" w:cs="Times New Roman" w:eastAsia="Times New Roman" w:hAnsi="Times New Roman"/>
          <w:sz w:val="16"/>
          <w:szCs w:val="16"/>
          <w:u w:val="single" w:color="auto"/>
          <w:color w:val="auto"/>
        </w:rPr>
        <w:t>Necessary Disclosure</w:t>
      </w:r>
      <w:r>
        <w:rPr>
          <w:rFonts w:ascii="Times New Roman" w:cs="Times New Roman" w:eastAsia="Times New Roman" w:hAnsi="Times New Roman"/>
          <w:sz w:val="16"/>
          <w:szCs w:val="16"/>
          <w:color w:val="auto"/>
        </w:rPr>
        <w:t>”), Pubco shall inform counsel to such Investor of such determination without disclosing the applicable material non-public information, and Pubco and such counsel on behalf of the applicable Investor shall endeavor to agree upon a process for making such Necessary Disclosure to the applicable Investor or its representatives that is mutually acceptable to such Investor and Pubco (an “</w:t>
      </w:r>
      <w:r>
        <w:rPr>
          <w:rFonts w:ascii="Times New Roman" w:cs="Times New Roman" w:eastAsia="Times New Roman" w:hAnsi="Times New Roman"/>
          <w:sz w:val="16"/>
          <w:szCs w:val="16"/>
          <w:u w:val="single" w:color="auto"/>
          <w:color w:val="auto"/>
        </w:rPr>
        <w:t>Agreed Disclosure Process</w:t>
      </w:r>
      <w:r>
        <w:rPr>
          <w:rFonts w:ascii="Times New Roman" w:cs="Times New Roman" w:eastAsia="Times New Roman" w:hAnsi="Times New Roman"/>
          <w:sz w:val="16"/>
          <w:szCs w:val="16"/>
          <w:color w:val="auto"/>
        </w:rPr>
        <w:t>”). Thereafter, Pubco shall be permitted to make such Necessary Disclosure (only) in accordance with the Agreed Disclosure Process. In furtherance of (but without limiting) the foregoing or Section 8(s) of the Subscription Agreements, at any time on or after the effective date of the Resale Shelf Registration Statement, any Investor may deliver written notice (an “</w:t>
      </w:r>
      <w:r>
        <w:rPr>
          <w:rFonts w:ascii="Times New Roman" w:cs="Times New Roman" w:eastAsia="Times New Roman" w:hAnsi="Times New Roman"/>
          <w:sz w:val="16"/>
          <w:szCs w:val="16"/>
          <w:u w:val="single" w:color="auto"/>
          <w:color w:val="auto"/>
        </w:rPr>
        <w:t>Opt-Out Notice</w:t>
      </w:r>
      <w:r>
        <w:rPr>
          <w:rFonts w:ascii="Times New Roman" w:cs="Times New Roman" w:eastAsia="Times New Roman" w:hAnsi="Times New Roman"/>
          <w:sz w:val="16"/>
          <w:szCs w:val="16"/>
          <w:color w:val="auto"/>
        </w:rPr>
        <w:t>”) to Pubco requesting that such Investor thereafter not receive notices from Pubco otherwise required by Section 10 of this Agreement, other than Suspension Notices to the extent applicable to such Investor; provided, however, that such Investor may later revoke any such Opt-Out Notice in writing. Following receipt of an Opt-Out Notice from any Investor (unless such Opt-Out Notice is subsequently revoked), Pubco shall not deliver any such notices to such Investor, and such Investor shall no longer be entitled to the rights associated with any such notice or conditioned upon the receipt of or response to any such notice.</w:t>
      </w:r>
    </w:p>
    <w:p>
      <w:pPr>
        <w:spacing w:after="0" w:line="169" w:lineRule="exact"/>
        <w:rPr>
          <w:rFonts w:ascii="Times New Roman" w:cs="Times New Roman" w:eastAsia="Times New Roman" w:hAnsi="Times New Roman"/>
          <w:sz w:val="16"/>
          <w:szCs w:val="16"/>
          <w:color w:val="auto"/>
        </w:rPr>
      </w:pPr>
    </w:p>
    <w:p>
      <w:pPr>
        <w:jc w:val="both"/>
        <w:ind w:firstLine="1143"/>
        <w:spacing w:after="0" w:line="251" w:lineRule="auto"/>
        <w:tabs>
          <w:tab w:leader="none" w:pos="1385"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 certificates evidencing the Registrable Securities (and/or book entries representing the Registrable Securities) held by each Investor shall not contain or be subject to any legend restricting the transfer thereof (and the Registrable Securities shall not be subject to any stop transfer or similar instructions or notations) and no Investor shall be required to delivery any documentation affixed with a medallion guarantee in connection therewith: (A) while a Registration Statement covering the sale or resale of such securities is effective under the Securities Act, or (B) if such Investor provides customary paperwork to the effect that it has sold such shares pursuant to Rule 144, or (C) if such Registrable Securities are eligible for sale under Rule 144(b)(1) as set forth in customary non-affiliate paperwork provided by such Investor, or (D) if at any time on or after the date that is one year after the Form 10 Disclosure Filing Date such Investor certifies that it is not an affiliate of Pubco and that such Investor’s holding period for purposes of Rule 144 in respect of such Registrable Securities is at least six months, or (E) if such legend is not required under applicable requirements of the Securities Act (including judicial interpretations and pronouncements issued by the staff of the Commission) as determined in good faith by counsel to Pubco or set forth in a legal opinion delivered by nationally recognized counsel to the Initiating Holder (collectively, the “</w:t>
      </w:r>
      <w:r>
        <w:rPr>
          <w:rFonts w:ascii="Times New Roman" w:cs="Times New Roman" w:eastAsia="Times New Roman" w:hAnsi="Times New Roman"/>
          <w:sz w:val="16"/>
          <w:szCs w:val="16"/>
          <w:u w:val="single" w:color="auto"/>
          <w:color w:val="auto"/>
        </w:rPr>
        <w:t>Unrestricted Conditions</w:t>
      </w:r>
      <w:r>
        <w:rPr>
          <w:rFonts w:ascii="Times New Roman" w:cs="Times New Roman" w:eastAsia="Times New Roman" w:hAnsi="Times New Roman"/>
          <w:sz w:val="16"/>
          <w:szCs w:val="16"/>
          <w:color w:val="auto"/>
        </w:rPr>
        <w:t>”). Pubco agrees that following the Registration Date or at such time as any of the Unrestricted Conditions is met or such legend is otherwise no longer required it will, no later than two Business Days following the delivery by an Investor to Pubco or Pubco’s transfer agent of a certificate representing any Registrable Securities, issued with a restrictive legend, (or, in the case of Registrable Securities represented by book entries, delivery by an Investor to Pubco or Pubco’s transfer agent of a legend removal request) deliver or cause to be delivered to such Investor a certificate or, at the request of such Investor, deliver or cause to be delivered such Registrable Securities to such Investor by crediting the account of such Investor’s prime broker with DTC through its Deposit/Withdrawal at Custodian (DWAC) system, in each case, free from all restrictive and other legends and stop transfer or similar instructions or notations and without the requirement for any Investor to deliver any documentation affixed with a medallion guarantee. For purposes hereof, “</w:t>
      </w:r>
      <w:r>
        <w:rPr>
          <w:rFonts w:ascii="Times New Roman" w:cs="Times New Roman" w:eastAsia="Times New Roman" w:hAnsi="Times New Roman"/>
          <w:sz w:val="16"/>
          <w:szCs w:val="16"/>
          <w:u w:val="single" w:color="auto"/>
          <w:color w:val="auto"/>
        </w:rPr>
        <w:t>Registration Date</w:t>
      </w:r>
      <w:r>
        <w:rPr>
          <w:rFonts w:ascii="Times New Roman" w:cs="Times New Roman" w:eastAsia="Times New Roman" w:hAnsi="Times New Roman"/>
          <w:sz w:val="16"/>
          <w:szCs w:val="16"/>
          <w:color w:val="auto"/>
        </w:rPr>
        <w:t>” shall mean the date that the Resale Shelf Registration Statement covering the Registration Statement has been declared effective by the Commission. If any of the Unrestricted Conditions is met at the time of issuance of any Registrable Securities (e.g., upon exercise of warrants), then such securities shall be issued free of all legends. Each Investor shall have the right to pursue any remedies available to it hereunder, or otherwise at law or in equity, including a decree of specific performance and/or injunctive relief, with respect to Pubco’s failure to timely deliver shares of Common Stock without legend as required pursuant to the terms hereof.</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10" w:name="page211"/>
    <w:bookmarkEnd w:id="210"/>
    <w:p>
      <w:pPr>
        <w:ind w:left="624" w:hanging="242"/>
        <w:spacing w:after="0"/>
        <w:tabs>
          <w:tab w:leader="none" w:pos="624"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Definitions</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ind w:left="4" w:right="20" w:firstLine="1143"/>
        <w:spacing w:after="0" w:line="280" w:lineRule="auto"/>
        <w:tabs>
          <w:tab w:leader="none" w:pos="1380" w:val="left"/>
        </w:tabs>
        <w:numPr>
          <w:ilvl w:val="1"/>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Applicable Approving Party</w:t>
      </w:r>
      <w:r>
        <w:rPr>
          <w:rFonts w:ascii="Times New Roman" w:cs="Times New Roman" w:eastAsia="Times New Roman" w:hAnsi="Times New Roman"/>
          <w:sz w:val="16"/>
          <w:szCs w:val="16"/>
          <w:color w:val="auto"/>
        </w:rPr>
        <w:t xml:space="preserve">” means the holders of a majority of the Registrable Securities participating in the applicable offering or, in the case of a Short-Form Registration effected pursuant to </w:t>
      </w:r>
      <w:r>
        <w:rPr>
          <w:rFonts w:ascii="Times New Roman" w:cs="Times New Roman" w:eastAsia="Times New Roman" w:hAnsi="Times New Roman"/>
          <w:sz w:val="16"/>
          <w:szCs w:val="16"/>
          <w:u w:val="single" w:color="auto"/>
          <w:color w:val="auto"/>
        </w:rPr>
        <w:t>Section 2(c)</w:t>
      </w:r>
      <w:r>
        <w:rPr>
          <w:rFonts w:ascii="Times New Roman" w:cs="Times New Roman" w:eastAsia="Times New Roman" w:hAnsi="Times New Roman"/>
          <w:sz w:val="16"/>
          <w:szCs w:val="16"/>
          <w:color w:val="auto"/>
        </w:rPr>
        <w:t>, the holders of a majority of the type of Registrable Securities that initiated such Short-Form Registration.</w:t>
      </w:r>
    </w:p>
    <w:p>
      <w:pPr>
        <w:spacing w:after="0" w:line="144" w:lineRule="exact"/>
        <w:rPr>
          <w:rFonts w:ascii="Times New Roman" w:cs="Times New Roman" w:eastAsia="Times New Roman" w:hAnsi="Times New Roman"/>
          <w:sz w:val="16"/>
          <w:szCs w:val="16"/>
          <w:color w:val="auto"/>
        </w:rPr>
      </w:pPr>
    </w:p>
    <w:p>
      <w:pPr>
        <w:ind w:left="1364" w:hanging="217"/>
        <w:spacing w:after="0"/>
        <w:tabs>
          <w:tab w:leader="none" w:pos="1364" w:val="left"/>
        </w:tabs>
        <w:numPr>
          <w:ilvl w:val="1"/>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Block Trade</w:t>
      </w:r>
      <w:r>
        <w:rPr>
          <w:rFonts w:ascii="Times New Roman" w:cs="Times New Roman" w:eastAsia="Times New Roman" w:hAnsi="Times New Roman"/>
          <w:sz w:val="16"/>
          <w:szCs w:val="16"/>
          <w:color w:val="auto"/>
        </w:rPr>
        <w:t>” means any non-marketed underwritten takedown offering taking the form of a bought deal or block sale to a financial institution.</w:t>
      </w:r>
    </w:p>
    <w:p>
      <w:pPr>
        <w:spacing w:after="0" w:line="198" w:lineRule="exact"/>
        <w:rPr>
          <w:rFonts w:ascii="Times New Roman" w:cs="Times New Roman" w:eastAsia="Times New Roman" w:hAnsi="Times New Roman"/>
          <w:sz w:val="16"/>
          <w:szCs w:val="16"/>
          <w:color w:val="auto"/>
        </w:rPr>
      </w:pPr>
    </w:p>
    <w:p>
      <w:pPr>
        <w:ind w:left="1364" w:hanging="217"/>
        <w:spacing w:after="0"/>
        <w:tabs>
          <w:tab w:leader="none" w:pos="1364" w:val="left"/>
        </w:tabs>
        <w:numPr>
          <w:ilvl w:val="1"/>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Business Day</w:t>
      </w:r>
      <w:r>
        <w:rPr>
          <w:rFonts w:ascii="Times New Roman" w:cs="Times New Roman" w:eastAsia="Times New Roman" w:hAnsi="Times New Roman"/>
          <w:sz w:val="16"/>
          <w:szCs w:val="16"/>
          <w:color w:val="auto"/>
        </w:rPr>
        <w:t>” means any day that is not a Saturday or Sunday or a legal holiday in the state in which Pubco’s chief executive office is located or in New</w:t>
      </w:r>
    </w:p>
    <w:p>
      <w:pPr>
        <w:spacing w:after="0" w:line="23" w:lineRule="exact"/>
        <w:rPr>
          <w:rFonts w:ascii="Times New Roman" w:cs="Times New Roman" w:eastAsia="Times New Roman" w:hAnsi="Times New Roman"/>
          <w:sz w:val="16"/>
          <w:szCs w:val="16"/>
          <w:color w:val="auto"/>
        </w:rPr>
      </w:pPr>
    </w:p>
    <w:p>
      <w:pPr>
        <w:ind w:left="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York, NY.</w:t>
      </w:r>
    </w:p>
    <w:p>
      <w:pPr>
        <w:spacing w:after="0" w:line="181" w:lineRule="exact"/>
        <w:rPr>
          <w:rFonts w:ascii="Times New Roman" w:cs="Times New Roman" w:eastAsia="Times New Roman" w:hAnsi="Times New Roman"/>
          <w:sz w:val="16"/>
          <w:szCs w:val="16"/>
          <w:color w:val="auto"/>
        </w:rPr>
      </w:pPr>
    </w:p>
    <w:p>
      <w:pPr>
        <w:ind w:left="1364" w:hanging="217"/>
        <w:spacing w:after="0"/>
        <w:tabs>
          <w:tab w:leader="none" w:pos="1364" w:val="left"/>
        </w:tabs>
        <w:numPr>
          <w:ilvl w:val="1"/>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Commission</w:t>
      </w:r>
      <w:r>
        <w:rPr>
          <w:rFonts w:ascii="Times New Roman" w:cs="Times New Roman" w:eastAsia="Times New Roman" w:hAnsi="Times New Roman"/>
          <w:sz w:val="16"/>
          <w:szCs w:val="16"/>
          <w:color w:val="auto"/>
        </w:rPr>
        <w:t>” means the U.S. Securities and Exchange Commission.</w:t>
      </w:r>
    </w:p>
    <w:p>
      <w:pPr>
        <w:spacing w:after="0" w:line="198" w:lineRule="exact"/>
        <w:rPr>
          <w:rFonts w:ascii="Times New Roman" w:cs="Times New Roman" w:eastAsia="Times New Roman" w:hAnsi="Times New Roman"/>
          <w:sz w:val="16"/>
          <w:szCs w:val="16"/>
          <w:color w:val="auto"/>
        </w:rPr>
      </w:pPr>
    </w:p>
    <w:p>
      <w:pPr>
        <w:ind w:left="1364" w:hanging="217"/>
        <w:spacing w:after="0"/>
        <w:tabs>
          <w:tab w:leader="none" w:pos="1364" w:val="left"/>
        </w:tabs>
        <w:numPr>
          <w:ilvl w:val="1"/>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means the Common Stock of Pubco, par value $0.0001 per share.</w:t>
      </w:r>
    </w:p>
    <w:p>
      <w:pPr>
        <w:spacing w:after="0" w:line="198" w:lineRule="exact"/>
        <w:rPr>
          <w:rFonts w:ascii="Times New Roman" w:cs="Times New Roman" w:eastAsia="Times New Roman" w:hAnsi="Times New Roman"/>
          <w:sz w:val="16"/>
          <w:szCs w:val="16"/>
          <w:color w:val="auto"/>
        </w:rPr>
      </w:pPr>
    </w:p>
    <w:p>
      <w:pPr>
        <w:ind w:left="4" w:firstLine="1143"/>
        <w:spacing w:after="0" w:line="280" w:lineRule="auto"/>
        <w:tabs>
          <w:tab w:leader="none" w:pos="1351" w:val="left"/>
        </w:tabs>
        <w:numPr>
          <w:ilvl w:val="1"/>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means the Securities Exchange Act of 1934, as amended from time to time, or any successor federal law then in force, together with all rules and regulations promulgated thereunder.</w:t>
      </w:r>
    </w:p>
    <w:p>
      <w:pPr>
        <w:spacing w:after="0" w:line="144" w:lineRule="exact"/>
        <w:rPr>
          <w:rFonts w:ascii="Times New Roman" w:cs="Times New Roman" w:eastAsia="Times New Roman" w:hAnsi="Times New Roman"/>
          <w:sz w:val="16"/>
          <w:szCs w:val="16"/>
          <w:color w:val="auto"/>
        </w:rPr>
      </w:pPr>
    </w:p>
    <w:p>
      <w:pPr>
        <w:ind w:left="1364" w:hanging="217"/>
        <w:spacing w:after="0"/>
        <w:tabs>
          <w:tab w:leader="none" w:pos="1364" w:val="left"/>
        </w:tabs>
        <w:numPr>
          <w:ilvl w:val="1"/>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FINRA</w:t>
      </w:r>
      <w:r>
        <w:rPr>
          <w:rFonts w:ascii="Times New Roman" w:cs="Times New Roman" w:eastAsia="Times New Roman" w:hAnsi="Times New Roman"/>
          <w:sz w:val="16"/>
          <w:szCs w:val="16"/>
          <w:color w:val="auto"/>
        </w:rPr>
        <w:t>” means the Financial Industry Regulatory Authority or any successor thereto.</w:t>
      </w:r>
    </w:p>
    <w:p>
      <w:pPr>
        <w:spacing w:after="0" w:line="198" w:lineRule="exact"/>
        <w:rPr>
          <w:rFonts w:ascii="Times New Roman" w:cs="Times New Roman" w:eastAsia="Times New Roman" w:hAnsi="Times New Roman"/>
          <w:sz w:val="16"/>
          <w:szCs w:val="16"/>
          <w:color w:val="auto"/>
        </w:rPr>
      </w:pPr>
    </w:p>
    <w:p>
      <w:pPr>
        <w:ind w:left="1364" w:hanging="217"/>
        <w:spacing w:after="0"/>
        <w:tabs>
          <w:tab w:leader="none" w:pos="1364" w:val="left"/>
        </w:tabs>
        <w:numPr>
          <w:ilvl w:val="1"/>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Free-Writing Prospectus</w:t>
      </w:r>
      <w:r>
        <w:rPr>
          <w:rFonts w:ascii="Times New Roman" w:cs="Times New Roman" w:eastAsia="Times New Roman" w:hAnsi="Times New Roman"/>
          <w:sz w:val="16"/>
          <w:szCs w:val="16"/>
          <w:color w:val="auto"/>
        </w:rPr>
        <w:t>” means a free-writing prospectus, as defined in Rule 405 of the Securities Act.</w:t>
      </w:r>
    </w:p>
    <w:p>
      <w:pPr>
        <w:spacing w:after="0" w:line="198" w:lineRule="exact"/>
        <w:rPr>
          <w:rFonts w:ascii="Times New Roman" w:cs="Times New Roman" w:eastAsia="Times New Roman" w:hAnsi="Times New Roman"/>
          <w:sz w:val="16"/>
          <w:szCs w:val="16"/>
          <w:color w:val="auto"/>
        </w:rPr>
      </w:pPr>
    </w:p>
    <w:p>
      <w:pPr>
        <w:jc w:val="both"/>
        <w:ind w:left="4" w:firstLine="1143"/>
        <w:spacing w:after="0" w:line="265" w:lineRule="auto"/>
        <w:tabs>
          <w:tab w:leader="none" w:pos="1354" w:val="left"/>
        </w:tabs>
        <w:numPr>
          <w:ilvl w:val="1"/>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Form 10 Disclosure Filing Date</w:t>
      </w:r>
      <w:r>
        <w:rPr>
          <w:rFonts w:ascii="Times New Roman" w:cs="Times New Roman" w:eastAsia="Times New Roman" w:hAnsi="Times New Roman"/>
          <w:sz w:val="16"/>
          <w:szCs w:val="16"/>
          <w:color w:val="auto"/>
        </w:rPr>
        <w:t>” means the date on which Pubco shall file with the Commission a Current Report on Form 8-K that includes current “Form 10 information” (within the meaning of Rule 144) reflecting Pubco’s status as an entity that is no longer an issuer described in paragraph (i)(1)(i) of Rule 144, which in no event shall occur later than four business days following the consummation of the Mergers.</w:t>
      </w:r>
    </w:p>
    <w:p>
      <w:pPr>
        <w:spacing w:after="0" w:line="155" w:lineRule="exact"/>
        <w:rPr>
          <w:rFonts w:ascii="Times New Roman" w:cs="Times New Roman" w:eastAsia="Times New Roman" w:hAnsi="Times New Roman"/>
          <w:sz w:val="16"/>
          <w:szCs w:val="16"/>
          <w:color w:val="auto"/>
        </w:rPr>
      </w:pPr>
    </w:p>
    <w:p>
      <w:pPr>
        <w:ind w:left="4" w:right="20" w:firstLine="1143"/>
        <w:spacing w:after="0" w:line="280" w:lineRule="auto"/>
        <w:tabs>
          <w:tab w:leader="none" w:pos="1342" w:val="left"/>
        </w:tabs>
        <w:numPr>
          <w:ilvl w:val="1"/>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Majority Presto Investors</w:t>
      </w:r>
      <w:r>
        <w:rPr>
          <w:rFonts w:ascii="Times New Roman" w:cs="Times New Roman" w:eastAsia="Times New Roman" w:hAnsi="Times New Roman"/>
          <w:sz w:val="16"/>
          <w:szCs w:val="16"/>
          <w:color w:val="auto"/>
        </w:rPr>
        <w:t>” means, as of any date of determination, the holders of a majority of the Registrable Securities held by the Presto Investors and their successors and assigns.</w:t>
      </w:r>
    </w:p>
    <w:p>
      <w:pPr>
        <w:spacing w:after="0" w:line="144" w:lineRule="exact"/>
        <w:rPr>
          <w:rFonts w:ascii="Times New Roman" w:cs="Times New Roman" w:eastAsia="Times New Roman" w:hAnsi="Times New Roman"/>
          <w:sz w:val="16"/>
          <w:szCs w:val="16"/>
          <w:color w:val="auto"/>
        </w:rPr>
      </w:pPr>
    </w:p>
    <w:p>
      <w:pPr>
        <w:ind w:left="4" w:right="20" w:firstLine="1143"/>
        <w:spacing w:after="0" w:line="280" w:lineRule="auto"/>
        <w:tabs>
          <w:tab w:leader="none" w:pos="1377" w:val="left"/>
        </w:tabs>
        <w:numPr>
          <w:ilvl w:val="1"/>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Majority Silver Rock Investors”</w:t>
      </w:r>
      <w:r>
        <w:rPr>
          <w:rFonts w:ascii="Times New Roman" w:cs="Times New Roman" w:eastAsia="Times New Roman" w:hAnsi="Times New Roman"/>
          <w:sz w:val="16"/>
          <w:szCs w:val="16"/>
          <w:color w:val="auto"/>
        </w:rPr>
        <w:t xml:space="preserve"> means, as of any date of determination, the holders of a majority of the Registrable Securities held by the Silver Rock Investors as of such date.</w:t>
      </w:r>
    </w:p>
    <w:p>
      <w:pPr>
        <w:spacing w:after="0" w:line="144" w:lineRule="exact"/>
        <w:rPr>
          <w:rFonts w:ascii="Times New Roman" w:cs="Times New Roman" w:eastAsia="Times New Roman" w:hAnsi="Times New Roman"/>
          <w:sz w:val="16"/>
          <w:szCs w:val="16"/>
          <w:color w:val="auto"/>
        </w:rPr>
      </w:pPr>
    </w:p>
    <w:p>
      <w:pPr>
        <w:ind w:left="1344" w:hanging="197"/>
        <w:spacing w:after="0"/>
        <w:tabs>
          <w:tab w:leader="none" w:pos="1344" w:val="left"/>
        </w:tabs>
        <w:numPr>
          <w:ilvl w:val="1"/>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New Registration Statement Filing Deadline</w:t>
      </w:r>
      <w:r>
        <w:rPr>
          <w:rFonts w:ascii="Times New Roman" w:cs="Times New Roman" w:eastAsia="Times New Roman" w:hAnsi="Times New Roman"/>
          <w:sz w:val="16"/>
          <w:szCs w:val="16"/>
          <w:color w:val="auto"/>
        </w:rPr>
        <w:t>” means, with respect to any New Registration Statements that may be required pursuant to Section 1(b), (i)</w:t>
      </w:r>
    </w:p>
    <w:p>
      <w:pPr>
        <w:spacing w:after="0" w:line="24" w:lineRule="exact"/>
        <w:rPr>
          <w:sz w:val="20"/>
          <w:szCs w:val="20"/>
          <w:color w:val="auto"/>
        </w:rPr>
      </w:pPr>
    </w:p>
    <w:p>
      <w:pPr>
        <w:ind w:left="4"/>
        <w:spacing w:after="0" w:line="207" w:lineRule="auto"/>
        <w:rPr>
          <w:sz w:val="20"/>
          <w:szCs w:val="20"/>
          <w:color w:val="auto"/>
        </w:rPr>
      </w:pPr>
      <w:r>
        <w:rPr>
          <w:rFonts w:ascii="Times New Roman" w:cs="Times New Roman" w:eastAsia="Times New Roman" w:hAnsi="Times New Roman"/>
          <w:sz w:val="16"/>
          <w:szCs w:val="16"/>
          <w:color w:val="auto"/>
        </w:rPr>
        <w:t>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day following the first date on which such Registrable Securities may then be included in a Registration Statement if such Registration Statement is required to be filed because the Commission shall have informed Pubco that certain Registrable Securities were not eligible for inclusion in a previously filed Registration Statement, or</w:t>
      </w:r>
    </w:p>
    <w:p>
      <w:pPr>
        <w:spacing w:after="0" w:line="2" w:lineRule="exact"/>
        <w:rPr>
          <w:sz w:val="20"/>
          <w:szCs w:val="20"/>
          <w:color w:val="auto"/>
        </w:rPr>
      </w:pPr>
    </w:p>
    <w:p>
      <w:pPr>
        <w:ind w:left="4" w:right="20" w:hanging="4"/>
        <w:spacing w:after="0" w:line="207" w:lineRule="auto"/>
        <w:tabs>
          <w:tab w:leader="none" w:pos="258"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such New Registration Statement is required for a reason other than as described in clause (i) of this definition, the fifteenth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day following the date on which Pubco first knows that such New Registration Statement is required.</w:t>
      </w:r>
    </w:p>
    <w:p>
      <w:pPr>
        <w:spacing w:after="0" w:line="176" w:lineRule="exact"/>
        <w:rPr>
          <w:rFonts w:ascii="Times New Roman" w:cs="Times New Roman" w:eastAsia="Times New Roman" w:hAnsi="Times New Roman"/>
          <w:sz w:val="16"/>
          <w:szCs w:val="16"/>
          <w:color w:val="auto"/>
        </w:rPr>
      </w:pPr>
    </w:p>
    <w:p>
      <w:pPr>
        <w:jc w:val="both"/>
        <w:ind w:left="4" w:right="20" w:firstLine="1143"/>
        <w:spacing w:after="0" w:line="259" w:lineRule="auto"/>
        <w:tabs>
          <w:tab w:leader="none" w:pos="1421" w:val="left"/>
        </w:tabs>
        <w:numPr>
          <w:ilvl w:val="1"/>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Permitted Transferees</w:t>
      </w:r>
      <w:r>
        <w:rPr>
          <w:rFonts w:ascii="Times New Roman" w:cs="Times New Roman" w:eastAsia="Times New Roman" w:hAnsi="Times New Roman"/>
          <w:sz w:val="16"/>
          <w:szCs w:val="16"/>
          <w:color w:val="auto"/>
        </w:rPr>
        <w:t>” means any Person to whom an Investor transfers Registrable Securities; provided, however, that, with respect to any transfer of Registrable Securities that constitute Lock-up Shares (as defined in the Bylaws), during the applicable Lock-up Period (as defined in the Bylaws and the Support Agreements), the transferee thereof shall only constitute a Permitted Transferee if such transferee is a Person to whom such Registrable Securities are permitted to be transferred by the transferring Investor during the applicable Lock-up Period (as defined in per Bylaws and the Support Agreements) under the Bylaws and the Support Agreements.</w:t>
      </w:r>
    </w:p>
    <w:p>
      <w:pPr>
        <w:spacing w:after="0" w:line="34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8195" cy="152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211" w:name="page212"/>
    <w:bookmarkEnd w:id="211"/>
    <w:p>
      <w:pPr>
        <w:ind w:right="20" w:firstLine="1143"/>
        <w:spacing w:after="0" w:line="280" w:lineRule="auto"/>
        <w:tabs>
          <w:tab w:leader="none" w:pos="1373"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Person</w:t>
      </w:r>
      <w:r>
        <w:rPr>
          <w:rFonts w:ascii="Times New Roman" w:cs="Times New Roman" w:eastAsia="Times New Roman" w:hAnsi="Times New Roman"/>
          <w:sz w:val="16"/>
          <w:szCs w:val="16"/>
          <w:color w:val="auto"/>
        </w:rPr>
        <w:t>” means an individual, a partnership, a corporation, a limited liability company, an association, a joint stock company, a trust, a joint venture, an unincorporated organization, any other legal entity or business organization and a governmental entity or any department, agency or political subdivision thereof.</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85"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Presto Investors</w:t>
      </w:r>
      <w:r>
        <w:rPr>
          <w:rFonts w:ascii="Times New Roman" w:cs="Times New Roman" w:eastAsia="Times New Roman" w:hAnsi="Times New Roman"/>
          <w:sz w:val="16"/>
          <w:szCs w:val="16"/>
          <w:color w:val="auto"/>
        </w:rPr>
        <w:t xml:space="preserve">” means the Investors set forth on the Schedule of Investors as of the date hereof and their direct and indirect transferees, if any, who become a party to this Agreement pursuant to </w:t>
      </w:r>
      <w:r>
        <w:rPr>
          <w:rFonts w:ascii="Times New Roman" w:cs="Times New Roman" w:eastAsia="Times New Roman" w:hAnsi="Times New Roman"/>
          <w:sz w:val="16"/>
          <w:szCs w:val="16"/>
          <w:u w:val="single" w:color="auto"/>
          <w:color w:val="auto"/>
        </w:rPr>
        <w:t>Section 12(f)</w:t>
      </w:r>
      <w:r>
        <w:rPr>
          <w:rFonts w:ascii="Times New Roman" w:cs="Times New Roman" w:eastAsia="Times New Roman" w:hAnsi="Times New Roman"/>
          <w:sz w:val="16"/>
          <w:szCs w:val="16"/>
          <w:color w:val="auto"/>
        </w:rPr>
        <w:t xml:space="preserve"> of this Agreement.</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73"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Prospectus</w:t>
      </w:r>
      <w:r>
        <w:rPr>
          <w:rFonts w:ascii="Times New Roman" w:cs="Times New Roman" w:eastAsia="Times New Roman" w:hAnsi="Times New Roman"/>
          <w:sz w:val="16"/>
          <w:szCs w:val="16"/>
          <w:color w:val="auto"/>
        </w:rPr>
        <w:t>” means (i) the prospectus included in any Registration Statement, as supplemented by any and all prospectus supplements and as amended by any and all post-effective amendments and including all material incorporated by reference in such prospectus and (ii) any free writing prospectus (within the meaning of Rule 405 under the Securities Act) relating to any offering of Registrable Securities pursuant to a Registration Statement.</w:t>
      </w:r>
    </w:p>
    <w:p>
      <w:pPr>
        <w:spacing w:after="0" w:line="155" w:lineRule="exact"/>
        <w:rPr>
          <w:rFonts w:ascii="Times New Roman" w:cs="Times New Roman" w:eastAsia="Times New Roman" w:hAnsi="Times New Roman"/>
          <w:sz w:val="16"/>
          <w:szCs w:val="16"/>
          <w:color w:val="auto"/>
        </w:rPr>
      </w:pPr>
    </w:p>
    <w:p>
      <w:pPr>
        <w:ind w:right="20" w:firstLine="1143"/>
        <w:spacing w:after="0" w:line="280" w:lineRule="auto"/>
        <w:tabs>
          <w:tab w:leader="none" w:pos="1373"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Public Offering</w:t>
      </w:r>
      <w:r>
        <w:rPr>
          <w:rFonts w:ascii="Times New Roman" w:cs="Times New Roman" w:eastAsia="Times New Roman" w:hAnsi="Times New Roman"/>
          <w:sz w:val="16"/>
          <w:szCs w:val="16"/>
          <w:color w:val="auto"/>
        </w:rPr>
        <w:t>” means any sale or distribution by Pubco and/or holders of Registrable Securities to the public of Common Stock pursuant to an offering registered under the Securities Act.</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82"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Register</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auto"/>
        </w:rPr>
        <w:t>Registered</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u w:val="single" w:color="auto"/>
          <w:color w:val="auto"/>
        </w:rPr>
        <w:t>Registration</w:t>
      </w:r>
      <w:r>
        <w:rPr>
          <w:rFonts w:ascii="Times New Roman" w:cs="Times New Roman" w:eastAsia="Times New Roman" w:hAnsi="Times New Roman"/>
          <w:sz w:val="16"/>
          <w:szCs w:val="16"/>
          <w:color w:val="auto"/>
        </w:rPr>
        <w:t>”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44" w:lineRule="exact"/>
        <w:rPr>
          <w:rFonts w:ascii="Times New Roman" w:cs="Times New Roman" w:eastAsia="Times New Roman" w:hAnsi="Times New Roman"/>
          <w:sz w:val="16"/>
          <w:szCs w:val="16"/>
          <w:color w:val="auto"/>
        </w:rPr>
      </w:pPr>
    </w:p>
    <w:p>
      <w:pPr>
        <w:jc w:val="both"/>
        <w:ind w:firstLine="1143"/>
        <w:spacing w:after="0" w:line="251" w:lineRule="auto"/>
        <w:tabs>
          <w:tab w:leader="none" w:pos="1367"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Registrable Securities</w:t>
      </w:r>
      <w:r>
        <w:rPr>
          <w:rFonts w:ascii="Times New Roman" w:cs="Times New Roman" w:eastAsia="Times New Roman" w:hAnsi="Times New Roman"/>
          <w:sz w:val="16"/>
          <w:szCs w:val="16"/>
          <w:color w:val="auto"/>
        </w:rPr>
        <w:t>” means (i) any Founder Shares held by the Investors, (ii) any shares of Common Stock issued to an Investor, or issuable upon exercise of warrants issued to an Investor, in Pubco’s initial public offering, (iii) any Private Placement Warrants (or underlying securities) held by the Investors, (iv) any shares of Common Stock issued to an Investor pursuant to the terms of the Merger Agreement, (v) any Subscribed Notes, Subscribed Shares, Subscribed Warrants and Underlying Securities (as defined in the Subscription Agreements), (vi) any other shares of Common Stock or warrants to purchase shares of Common Stock held or later acquired by an Investor, (vii) any shares of Common Stock issued or issuable upon the exercise, conversion or exchange of, or pursuant to anti-dilution provisions applicable to, securities hereafter issued in exchange or substitution for, or otherwise with respect to, securities referred to in clauses (i) through (v) by way of reclassification, exchange or otherwise, and (viii) any Common Stock issued or issuable with respect to the securities referred to in the preceding clauses (i) through (vii) by way of a stock dividend or stock split or in connection with a combination of shares, recapitalization, merger, consolidation or other reorganization. As to any particular Registrable Securities, such securities shall cease to be Registrable Securities when they have been sold or distributed to the public pursuant to an offering registered under the Securities Act or sold to the public through a broker, dealer or market maker in compliance with Rule 144 following the consummation of the Mergers or repurchased by Pubco or any of its subsidiaries. For purposes of this Agreement, a Person shall be deemed to be a holder of Registrable Securities, and the Registrable Securities shall be deemed to be in existence, whenever such Person holds such Registrable Securities of record or in “street name” or has the right to acquire directly or indirectly such Registrable Securities (upon conversion or exercise in connection with a transfer of securities or otherwise, but disregarding any restrictions or limitations upon the exercise of such right and, in the case of Registrable Securities issuable upon exercise of warrants, assuming the exercise thereof for cash), whether or not such acquisition has actually been effected, and such Person shall be entitled to exercise the rights of a holder of Registrable Securities hereunder.</w:t>
      </w:r>
    </w:p>
    <w:p>
      <w:pPr>
        <w:spacing w:after="0" w:line="172"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49"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Registration Statement</w:t>
      </w:r>
      <w:r>
        <w:rPr>
          <w:rFonts w:ascii="Times New Roman" w:cs="Times New Roman" w:eastAsia="Times New Roman" w:hAnsi="Times New Roman"/>
          <w:sz w:val="16"/>
          <w:szCs w:val="16"/>
          <w:color w:val="auto"/>
        </w:rPr>
        <w:t>” means any registration statement filed by Pubco with the Commission in compliance with the Securities Act and the rules and regulations promulgated thereunder for a public offering and sale of Common Stock or Registrable Securities,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61" w:lineRule="exact"/>
        <w:rPr>
          <w:rFonts w:ascii="Times New Roman" w:cs="Times New Roman" w:eastAsia="Times New Roman" w:hAnsi="Times New Roman"/>
          <w:sz w:val="16"/>
          <w:szCs w:val="16"/>
          <w:color w:val="auto"/>
        </w:rPr>
      </w:pPr>
    </w:p>
    <w:p>
      <w:pPr>
        <w:ind w:right="20" w:firstLine="1143"/>
        <w:spacing w:after="0" w:line="280" w:lineRule="auto"/>
        <w:tabs>
          <w:tab w:leader="none" w:pos="1397"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Rule 144</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auto"/>
        </w:rPr>
        <w:t>Rule 405</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u w:val="single" w:color="auto"/>
          <w:color w:val="auto"/>
        </w:rPr>
        <w:t>Rule 415</w:t>
      </w:r>
      <w:r>
        <w:rPr>
          <w:rFonts w:ascii="Times New Roman" w:cs="Times New Roman" w:eastAsia="Times New Roman" w:hAnsi="Times New Roman"/>
          <w:sz w:val="16"/>
          <w:szCs w:val="16"/>
          <w:color w:val="auto"/>
        </w:rPr>
        <w:t>” mean, in each case, such rule promulgated under the Securities Act (or any successor provision) by the Commission, as the same shall be amended from time to time, or any successor rule then in force.</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73"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means the Securities Act of 1933, as amended from time to time, or any successor federal law then in force, together with all rules and regulations promulgated thereunder.</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12" w:name="page213"/>
    <w:bookmarkEnd w:id="212"/>
    <w:p>
      <w:pPr>
        <w:jc w:val="both"/>
        <w:ind w:right="20" w:firstLine="1143"/>
        <w:spacing w:after="0" w:line="265" w:lineRule="auto"/>
        <w:tabs>
          <w:tab w:leader="none" w:pos="1408" w:val="left"/>
        </w:tabs>
        <w:numPr>
          <w:ilvl w:val="1"/>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Shelf Participant</w:t>
      </w:r>
      <w:r>
        <w:rPr>
          <w:rFonts w:ascii="Times New Roman" w:cs="Times New Roman" w:eastAsia="Times New Roman" w:hAnsi="Times New Roman"/>
          <w:sz w:val="16"/>
          <w:szCs w:val="16"/>
          <w:color w:val="auto"/>
        </w:rPr>
        <w:t>” means any holder of Registrable Securities listed as a potential selling stockholder in connection with the Resale Shelf Registration Statement or the Shelf Registration or any such holder that could be added to such Resale Shelf Registration Statement or Shelf Registration without the need for a post-effective amendment thereto or added by means of an automatic post-effective amendment thereto.</w:t>
      </w:r>
    </w:p>
    <w:p>
      <w:pPr>
        <w:spacing w:after="0" w:line="155"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1"/>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WKSI</w:t>
      </w:r>
      <w:r>
        <w:rPr>
          <w:rFonts w:ascii="Times New Roman" w:cs="Times New Roman" w:eastAsia="Times New Roman" w:hAnsi="Times New Roman"/>
          <w:sz w:val="16"/>
          <w:szCs w:val="16"/>
          <w:color w:val="auto"/>
        </w:rPr>
        <w:t>” means a “well-known seasoned issuer” as defined under Rule 405.</w:t>
      </w:r>
    </w:p>
    <w:p>
      <w:pPr>
        <w:spacing w:after="0" w:line="198" w:lineRule="exact"/>
        <w:rPr>
          <w:rFonts w:ascii="Times New Roman" w:cs="Times New Roman" w:eastAsia="Times New Roman" w:hAnsi="Times New Roman"/>
          <w:sz w:val="16"/>
          <w:szCs w:val="16"/>
          <w:color w:val="auto"/>
        </w:rPr>
      </w:pPr>
    </w:p>
    <w:p>
      <w:pPr>
        <w:ind w:left="620" w:hanging="242"/>
        <w:spacing w:after="0"/>
        <w:tabs>
          <w:tab w:leader="none" w:pos="620" w:val="left"/>
        </w:tabs>
        <w:numPr>
          <w:ilvl w:val="0"/>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ind w:right="20" w:firstLine="1143"/>
        <w:spacing w:after="0" w:line="280" w:lineRule="auto"/>
        <w:tabs>
          <w:tab w:leader="none" w:pos="1364" w:val="left"/>
        </w:tabs>
        <w:numPr>
          <w:ilvl w:val="1"/>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Inconsistent Agreements</w:t>
      </w:r>
      <w:r>
        <w:rPr>
          <w:rFonts w:ascii="Times New Roman" w:cs="Times New Roman" w:eastAsia="Times New Roman" w:hAnsi="Times New Roman"/>
          <w:sz w:val="16"/>
          <w:szCs w:val="16"/>
          <w:color w:val="auto"/>
        </w:rPr>
        <w:t>. Pubco shall not hereafter enter into any agreement with respect to its securities which is inconsistent with or violates or in any way impairs the rights granted to the Investors in this Agreement.</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73" w:val="left"/>
        </w:tabs>
        <w:numPr>
          <w:ilvl w:val="1"/>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constitutes the entire agreement of the parties hereto with respect to the subject matter hereof and supersedes all prior agreements, understandings, negotiations and discussions among the parties hereto, written or oral, with respect to the subject matter hereof, and amends and restates the Prior Agreement its entirety.</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257" w:lineRule="auto"/>
        <w:tabs>
          <w:tab w:leader="none" w:pos="1364" w:val="left"/>
        </w:tabs>
        <w:numPr>
          <w:ilvl w:val="1"/>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Remedies</w:t>
      </w:r>
      <w:r>
        <w:rPr>
          <w:rFonts w:ascii="Times New Roman" w:cs="Times New Roman" w:eastAsia="Times New Roman" w:hAnsi="Times New Roman"/>
          <w:sz w:val="16"/>
          <w:szCs w:val="16"/>
          <w:color w:val="auto"/>
        </w:rPr>
        <w:t>. Any Person having rights under any provision of this Agreement shall be entitled to enforce such rights specifically (without posting a bond or other security), to recover damages caused by reason of any breach of any provision of this Agreement and to exercise all other rights granted by law. The parties hereto agree and acknowledge that money damages would not be an adequate remedy for any breach of the provisions of this Agreement and that, in addition to any other rights and remedies existing in its favor, any party shall be entitled to specific performance and/or other injunctive relief from any court of law or equity of competent jurisdiction (without posting any bond or other security) in order to enforce or prevent violation of the provisions of this Agreement.</w:t>
      </w:r>
    </w:p>
    <w:p>
      <w:pPr>
        <w:spacing w:after="0" w:line="162"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73" w:val="left"/>
        </w:tabs>
        <w:numPr>
          <w:ilvl w:val="1"/>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Amendments and Waivers</w:t>
      </w:r>
      <w:r>
        <w:rPr>
          <w:rFonts w:ascii="Times New Roman" w:cs="Times New Roman" w:eastAsia="Times New Roman" w:hAnsi="Times New Roman"/>
          <w:sz w:val="16"/>
          <w:szCs w:val="16"/>
          <w:color w:val="auto"/>
        </w:rPr>
        <w:t xml:space="preserve">. Except as otherwise provided herein, the provisions of this Agreement may be amended or waived only with the prior written consent of Pubco and the holders of a majority of the Registrable Securities then outstanding; provided, that such majority shall include the Majority Presto Investors for so long as the Presto Investors hold at least 5% of the outstanding Common Stock on the date of such amendment or waiver,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xml:space="preserve">, that no amendment may materially and disproportionately adversely affect the rights of any holder of Registrable Securities compared to other holders of Registrable Securities without the consent of such adversely affected holder. Any amendment or waiver effected in accordance with this </w:t>
      </w:r>
      <w:r>
        <w:rPr>
          <w:rFonts w:ascii="Times New Roman" w:cs="Times New Roman" w:eastAsia="Times New Roman" w:hAnsi="Times New Roman"/>
          <w:sz w:val="16"/>
          <w:szCs w:val="16"/>
          <w:u w:val="single" w:color="auto"/>
          <w:color w:val="auto"/>
        </w:rPr>
        <w:t>Section 12(d)</w:t>
      </w:r>
      <w:r>
        <w:rPr>
          <w:rFonts w:ascii="Times New Roman" w:cs="Times New Roman" w:eastAsia="Times New Roman" w:hAnsi="Times New Roman"/>
          <w:sz w:val="16"/>
          <w:szCs w:val="16"/>
          <w:color w:val="auto"/>
        </w:rPr>
        <w:t xml:space="preserve"> shall be binding upon each Investor and Pubco. The failure of any party to enforce any of the provisions of this Agreement shall in no way be construed as a waiver of such provisions and shall not affect the right of such party thereafter to enforce each and every provision of this Agreement in accordance with its terms.</w:t>
      </w:r>
    </w:p>
    <w:p>
      <w:pPr>
        <w:spacing w:after="0" w:line="166" w:lineRule="exact"/>
        <w:rPr>
          <w:rFonts w:ascii="Times New Roman" w:cs="Times New Roman" w:eastAsia="Times New Roman" w:hAnsi="Times New Roman"/>
          <w:sz w:val="16"/>
          <w:szCs w:val="16"/>
          <w:color w:val="auto"/>
        </w:rPr>
      </w:pPr>
    </w:p>
    <w:p>
      <w:pPr>
        <w:jc w:val="both"/>
        <w:ind w:firstLine="1143"/>
        <w:spacing w:after="0" w:line="257" w:lineRule="auto"/>
        <w:tabs>
          <w:tab w:leader="none" w:pos="1364" w:val="left"/>
        </w:tabs>
        <w:numPr>
          <w:ilvl w:val="1"/>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Successors and Assigns</w:t>
      </w:r>
      <w:r>
        <w:rPr>
          <w:rFonts w:ascii="Times New Roman" w:cs="Times New Roman" w:eastAsia="Times New Roman" w:hAnsi="Times New Roman"/>
          <w:sz w:val="16"/>
          <w:szCs w:val="16"/>
          <w:color w:val="auto"/>
        </w:rPr>
        <w:t>. All covenants and agreements in this Agreement by or on behalf of any of the parties hereto shall bind and inure to the benefit of the respective successors and permitted assigns of the parties hereto whether so expressed or not. In addition, whether or not any express assignment has been made, the provisions of this Agreement which are for the benefit of purchasers or holders of Registrable Securities are also for the benefit of, and enforceable by, any subsequent holder of Registrable Securities and any subsequent holder of securities that are convertible into, or exercisable or exchangeable for, Registrable Securities. Pubco shall not assign its obligations hereunder without the prior written consent of the holders of a majority of the Registrable Securities then outstanding.</w:t>
      </w:r>
    </w:p>
    <w:p>
      <w:pPr>
        <w:spacing w:after="0" w:line="162"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70" w:val="left"/>
        </w:tabs>
        <w:numPr>
          <w:ilvl w:val="1"/>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Transfer of Rights</w:t>
      </w:r>
      <w:r>
        <w:rPr>
          <w:rFonts w:ascii="Times New Roman" w:cs="Times New Roman" w:eastAsia="Times New Roman" w:hAnsi="Times New Roman"/>
          <w:sz w:val="16"/>
          <w:szCs w:val="16"/>
          <w:color w:val="auto"/>
        </w:rPr>
        <w:t xml:space="preserve">. An Investor may transfer or assign, in whole or from time to time in part, to one or more Permitted Transferees, its rights and obligations under this Agreement and such rights will be transferred to such transferee effective upon receipt by Pubco of (A) written notice from such Investor stating the name and address of the transferee and identifying the number of Registrable Securities with respect to which rights under this Agreement are being transferred and the nature of the rights so transferred, and (B) except in the case of a transfer to an existing Investor, a written agreement from such transferee to be bound by the terms of this Agreement. A transferee of Registrable Securities who satisfies the conditions set forth in this </w:t>
      </w:r>
      <w:r>
        <w:rPr>
          <w:rFonts w:ascii="Times New Roman" w:cs="Times New Roman" w:eastAsia="Times New Roman" w:hAnsi="Times New Roman"/>
          <w:sz w:val="16"/>
          <w:szCs w:val="16"/>
          <w:u w:val="single" w:color="auto"/>
          <w:color w:val="auto"/>
        </w:rPr>
        <w:t>Section 12(f)</w:t>
      </w:r>
      <w:r>
        <w:rPr>
          <w:rFonts w:ascii="Times New Roman" w:cs="Times New Roman" w:eastAsia="Times New Roman" w:hAnsi="Times New Roman"/>
          <w:sz w:val="16"/>
          <w:szCs w:val="16"/>
          <w:color w:val="auto"/>
        </w:rPr>
        <w:t xml:space="preserve"> shall henceforth be an “Investor” for purposes of this Agreement and in the case of a transfer from a Presto Investor, Silver Rock Investor or the Sponsors, a transferee shall be considered a Presto Investor, a Silver Rock Investor or a Sponsor as shall be applicable. In the event a holder transfers Registrable Securities included on a Registration Statement and such Registrable Securities remain Registrable Securities following such transfer, at the request of such holder, Pubco shall use its reasonable best efforts to amend or supplement the Resale Shelf Registration Statement as may be necessary in order to enable such transferee to offer and sell such Registrable Securities pursuant to such Resale Shelf Registration Statement; provided that in no event shall Pubco be required to file a post-effective amendment to the Resale Shelf Registration Statement unless Pubco receives a written request from the subsequent transferee, requesting that its shares of Common Stock be included in the Resale Shelf Registration Statement, with all information reasonably requested by Pubco.</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13" w:name="page214"/>
    <w:bookmarkEnd w:id="213"/>
    <w:p>
      <w:pPr>
        <w:jc w:val="both"/>
        <w:ind w:left="-1120" w:firstLine="1143"/>
        <w:spacing w:after="0" w:line="265" w:lineRule="auto"/>
        <w:tabs>
          <w:tab w:leader="none" w:pos="253"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Whenever possible, each provision of this Agreement shall be interpreted in such manner as to be effective and valid under applicable law, but if any provision of this Agreement is held to be prohibited by or invalid, illegal or unenforceable in any respect under any applicable law, such provision shall be ineffective only to the extent of such prohibition, invalidity, illegality or unenforceability, without invalidating the remainder of this Agreement.</w:t>
      </w:r>
    </w:p>
    <w:p>
      <w:pPr>
        <w:spacing w:after="0" w:line="155" w:lineRule="exact"/>
        <w:rPr>
          <w:rFonts w:ascii="Times New Roman" w:cs="Times New Roman" w:eastAsia="Times New Roman" w:hAnsi="Times New Roman"/>
          <w:sz w:val="16"/>
          <w:szCs w:val="16"/>
          <w:color w:val="auto"/>
        </w:rPr>
      </w:pPr>
    </w:p>
    <w:p>
      <w:pPr>
        <w:jc w:val="both"/>
        <w:ind w:left="-1120" w:right="20" w:firstLine="1143"/>
        <w:spacing w:after="0" w:line="265" w:lineRule="auto"/>
        <w:tabs>
          <w:tab w:leader="none" w:pos="265"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Agreement may be executed simultaneously in counterparts (including by means of facsimile, electronic mail, portable data format (PDF) or other electronic signature pages), any one of which need not contain the signatures of more than one party, but all such counterparts taken together shall constitute one and the same Agreement.</w:t>
      </w:r>
    </w:p>
    <w:p>
      <w:pPr>
        <w:spacing w:after="0" w:line="155" w:lineRule="exact"/>
        <w:rPr>
          <w:rFonts w:ascii="Times New Roman" w:cs="Times New Roman" w:eastAsia="Times New Roman" w:hAnsi="Times New Roman"/>
          <w:sz w:val="16"/>
          <w:szCs w:val="16"/>
          <w:color w:val="auto"/>
        </w:rPr>
      </w:pPr>
    </w:p>
    <w:p>
      <w:pPr>
        <w:jc w:val="both"/>
        <w:ind w:left="-1120" w:firstLine="1143"/>
        <w:spacing w:after="0" w:line="259" w:lineRule="auto"/>
        <w:tabs>
          <w:tab w:leader="none" w:pos="229"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Descriptive Headings; Interpretation</w:t>
      </w:r>
      <w:r>
        <w:rPr>
          <w:rFonts w:ascii="Times New Roman" w:cs="Times New Roman" w:eastAsia="Times New Roman" w:hAnsi="Times New Roman"/>
          <w:sz w:val="16"/>
          <w:szCs w:val="16"/>
          <w:color w:val="auto"/>
        </w:rPr>
        <w:t>. The descriptive headings of this Agreement are inserted for convenience only and do not constitute a part of this Agreement. Unless the context otherwise required: (i) the use of the word “including” herein shall mean “including without limitation,” (ii) all references to Sections, Schedules or Exhibits are to Sections, Schedules or Exhibits contained in or attached to this Agreement, and (iii) words in the singular or plural include the singular and plural, and pronouns stated in either the masculine, the feminine or neuter gender shall include the masculine, feminine and neuter.</w:t>
      </w:r>
    </w:p>
    <w:p>
      <w:pPr>
        <w:spacing w:after="0" w:line="161" w:lineRule="exact"/>
        <w:rPr>
          <w:rFonts w:ascii="Times New Roman" w:cs="Times New Roman" w:eastAsia="Times New Roman" w:hAnsi="Times New Roman"/>
          <w:sz w:val="16"/>
          <w:szCs w:val="16"/>
          <w:color w:val="auto"/>
        </w:rPr>
      </w:pPr>
    </w:p>
    <w:p>
      <w:pPr>
        <w:jc w:val="both"/>
        <w:ind w:left="-1120" w:right="20" w:firstLine="1143"/>
        <w:spacing w:after="0" w:line="265" w:lineRule="auto"/>
        <w:tabs>
          <w:tab w:leader="none" w:pos="217"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 Jurisdiction</w:t>
      </w:r>
      <w:r>
        <w:rPr>
          <w:rFonts w:ascii="Times New Roman" w:cs="Times New Roman" w:eastAsia="Times New Roman" w:hAnsi="Times New Roman"/>
          <w:sz w:val="16"/>
          <w:szCs w:val="16"/>
          <w:color w:val="auto"/>
        </w:rPr>
        <w:t>. This Agreement, and all claims or causes of action based upon, arising out of, or related to this Agreement or the 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w:t>
      </w:r>
    </w:p>
    <w:p>
      <w:pPr>
        <w:spacing w:after="0" w:line="155" w:lineRule="exact"/>
        <w:rPr>
          <w:rFonts w:ascii="Times New Roman" w:cs="Times New Roman" w:eastAsia="Times New Roman" w:hAnsi="Times New Roman"/>
          <w:sz w:val="16"/>
          <w:szCs w:val="16"/>
          <w:color w:val="auto"/>
        </w:rPr>
      </w:pPr>
    </w:p>
    <w:p>
      <w:pPr>
        <w:jc w:val="both"/>
        <w:ind w:left="-1120" w:firstLine="1143"/>
        <w:spacing w:after="0" w:line="259" w:lineRule="auto"/>
        <w:tabs>
          <w:tab w:leader="none" w:pos="253"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xml:space="preserve">. All notices, demands or other communications to be given or delivered under or by reason of the provisions of this Agreement shall be in writing and shall be given (and shall be deemed to have been duly given upon receipt) by delivery in person, by or email or by registered or certified mail (postage prepaid, return receipt requested) to each Investor at the address indicated on the Schedule of Investors attached hereto and to Pubco at the address indicated below (or at such other address as shall be specified in a notice given in accordance with this </w:t>
      </w:r>
      <w:r>
        <w:rPr>
          <w:rFonts w:ascii="Times New Roman" w:cs="Times New Roman" w:eastAsia="Times New Roman" w:hAnsi="Times New Roman"/>
          <w:sz w:val="16"/>
          <w:szCs w:val="16"/>
          <w:u w:val="single" w:color="auto"/>
          <w:color w:val="auto"/>
        </w:rPr>
        <w:t>Section 12(k)</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Annex J- E La Carte, Inc. d/b/a Presto</w:t>
      </w:r>
    </w:p>
    <w:p>
      <w:pPr>
        <w:spacing w:after="0" w:line="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810 Hamilton St.</w:t>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Redwood City, CA 94063</w:t>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E-mail: raj@presto.com</w:t>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Attention: Rajat Suri</w:t>
      </w:r>
    </w:p>
    <w:p>
      <w:pPr>
        <w:spacing w:after="0" w:line="1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with a copy to:</w:t>
      </w:r>
    </w:p>
    <w:p>
      <w:pPr>
        <w:spacing w:after="0" w:line="1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White &amp; Case LLP</w:t>
      </w:r>
    </w:p>
    <w:p>
      <w:pPr>
        <w:spacing w:after="0" w:line="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1221 Avenue of the Americas</w:t>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New York, NY 10020-1095</w:t>
      </w:r>
    </w:p>
    <w:p>
      <w:pPr>
        <w:spacing w:after="0" w:line="7" w:lineRule="exact"/>
        <w:rPr>
          <w:sz w:val="20"/>
          <w:szCs w:val="20"/>
          <w:color w:val="auto"/>
        </w:rPr>
      </w:pPr>
    </w:p>
    <w:p>
      <w:pPr>
        <w:ind w:left="580"/>
        <w:spacing w:after="0"/>
        <w:tabs>
          <w:tab w:leader="none" w:pos="168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6"/>
          <w:szCs w:val="16"/>
          <w:color w:val="auto"/>
        </w:rPr>
        <w:t>cdiamond@whitecase.com</w:t>
      </w:r>
    </w:p>
    <w:p>
      <w:pPr>
        <w:spacing w:after="0" w:line="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6"/>
          <w:szCs w:val="16"/>
          <w:color w:val="auto"/>
        </w:rPr>
        <w:t>laurakatherine.mann@whitecase.com</w:t>
      </w:r>
    </w:p>
    <w:p>
      <w:pPr>
        <w:spacing w:after="0" w:line="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6"/>
          <w:szCs w:val="16"/>
          <w:color w:val="auto"/>
        </w:rPr>
        <w:t>emery.choi@whitecase.com</w:t>
      </w:r>
    </w:p>
    <w:p>
      <w:pPr>
        <w:sectPr>
          <w:pgSz w:w="11900" w:h="16838" w:orient="portrait"/>
          <w:cols w:equalWidth="0" w:num="1">
            <w:col w:w="10140"/>
          </w:cols>
          <w:pgMar w:left="1440" w:top="816" w:right="319" w:bottom="1440" w:gutter="0" w:footer="0" w:header="0"/>
        </w:sectPr>
      </w:pP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Colin Diamond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Laura Katherine Mann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Emery Choi</w:t>
      </w:r>
    </w:p>
    <w:p>
      <w:pPr>
        <w:spacing w:after="0" w:line="200" w:lineRule="exact"/>
        <w:rPr>
          <w:sz w:val="20"/>
          <w:szCs w:val="20"/>
          <w:color w:val="auto"/>
        </w:rPr>
      </w:pPr>
    </w:p>
    <w:p>
      <w:pPr>
        <w:sectPr>
          <w:pgSz w:w="11900" w:h="16838" w:orient="portrait"/>
          <w:cols w:equalWidth="0" w:num="2">
            <w:col w:w="1220" w:space="480"/>
            <w:col w:w="8440"/>
          </w:cols>
          <w:pgMar w:left="1440" w:top="816" w:right="319" w:bottom="1440" w:gutter="0" w:footer="0" w:header="0"/>
          <w:type w:val="continuous"/>
        </w:sectPr>
      </w:pPr>
    </w:p>
    <w:p>
      <w:pPr>
        <w:spacing w:after="0" w:line="16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13970</wp:posOffset>
            </wp:positionV>
            <wp:extent cx="7148195" cy="152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816" w:right="319" w:bottom="1440" w:gutter="0" w:footer="0" w:header="0"/>
          <w:type w:val="continuous"/>
        </w:sectPr>
      </w:pPr>
    </w:p>
    <w:bookmarkStart w:id="214" w:name="page215"/>
    <w:bookmarkEnd w:id="214"/>
    <w:p>
      <w:pPr>
        <w:jc w:val="both"/>
        <w:ind w:firstLine="1143"/>
        <w:spacing w:after="0" w:line="259" w:lineRule="auto"/>
        <w:tabs>
          <w:tab w:leader="none" w:pos="1349"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Mutual Waiver of Jury Trial</w:t>
      </w:r>
      <w:r>
        <w:rPr>
          <w:rFonts w:ascii="Times New Roman" w:cs="Times New Roman" w:eastAsia="Times New Roman" w:hAnsi="Times New Roman"/>
          <w:sz w:val="16"/>
          <w:szCs w:val="16"/>
          <w:color w:val="auto"/>
        </w:rPr>
        <w:t>. As a specifically bargained inducement for each of the parties to enter into this Agreement (with each party having had opportunity to consult counsel), each party hereto expressly and irrevocably waives the right to trial by jury in any lawsuit or legal proceeding relating to or arising in any way from this Agreement or the transactions contemplated herein, and any lawsuit or legal proceeding relating to or arising in any way to this Agreement or the transactions contemplated herein shall be tried in a court of competent jurisdiction by a judge sitting without a jury.</w:t>
      </w:r>
    </w:p>
    <w:p>
      <w:pPr>
        <w:spacing w:after="0" w:line="161" w:lineRule="exact"/>
        <w:rPr>
          <w:rFonts w:ascii="Times New Roman" w:cs="Times New Roman" w:eastAsia="Times New Roman" w:hAnsi="Times New Roman"/>
          <w:sz w:val="16"/>
          <w:szCs w:val="16"/>
          <w:color w:val="auto"/>
        </w:rPr>
      </w:pPr>
    </w:p>
    <w:p>
      <w:pPr>
        <w:jc w:val="both"/>
        <w:ind w:firstLine="1143"/>
        <w:spacing w:after="0" w:line="265" w:lineRule="auto"/>
        <w:tabs>
          <w:tab w:leader="none" w:pos="1429"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Strict Construction</w:t>
      </w:r>
      <w:r>
        <w:rPr>
          <w:rFonts w:ascii="Times New Roman" w:cs="Times New Roman" w:eastAsia="Times New Roman" w:hAnsi="Times New Roman"/>
          <w:sz w:val="16"/>
          <w:szCs w:val="16"/>
          <w:color w:val="auto"/>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of the provisions of this Agreement.</w:t>
      </w:r>
    </w:p>
    <w:p>
      <w:pPr>
        <w:spacing w:after="0" w:line="155" w:lineRule="exact"/>
        <w:rPr>
          <w:rFonts w:ascii="Times New Roman" w:cs="Times New Roman" w:eastAsia="Times New Roman" w:hAnsi="Times New Roman"/>
          <w:sz w:val="16"/>
          <w:szCs w:val="16"/>
          <w:color w:val="auto"/>
        </w:rPr>
      </w:pPr>
    </w:p>
    <w:p>
      <w:pPr>
        <w:ind w:left="53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 * * *</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6"/>
          <w:szCs w:val="16"/>
          <w:color w:val="auto"/>
        </w:rPr>
        <w:t>IN WITNESS WHEREOF, the parties hereto have executed this Amended and Restated Registration Rights Agreement as of the date first written above.</w:t>
      </w:r>
    </w:p>
    <w:p>
      <w:pPr>
        <w:spacing w:after="0" w:line="198"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VENTOUX CCM ACQUISITION CORP.</w:t>
      </w:r>
    </w:p>
    <w:p>
      <w:pPr>
        <w:spacing w:after="0" w:line="270"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4407535</wp:posOffset>
            </wp:positionH>
            <wp:positionV relativeFrom="paragraph">
              <wp:posOffset>-113030</wp:posOffset>
            </wp:positionV>
            <wp:extent cx="2496820" cy="152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Title:</w:t>
      </w:r>
    </w:p>
    <w:p>
      <w:pPr>
        <w:spacing w:after="0" w:line="194"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INVESTORS:</w:t>
      </w:r>
    </w:p>
    <w:p>
      <w:pPr>
        <w:spacing w:after="0" w:line="198"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VENTOUX ACQUISITION HOLDINGS LLC</w:t>
      </w:r>
    </w:p>
    <w:p>
      <w:pPr>
        <w:spacing w:after="0" w:line="198"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4407535</wp:posOffset>
            </wp:positionH>
            <wp:positionV relativeFrom="paragraph">
              <wp:posOffset>-113030</wp:posOffset>
            </wp:positionV>
            <wp:extent cx="2496820" cy="152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Title:</w:t>
      </w:r>
    </w:p>
    <w:p>
      <w:pPr>
        <w:spacing w:after="0" w:line="194"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5"/>
          <w:szCs w:val="15"/>
          <w:color w:val="auto"/>
        </w:rPr>
        <w:t>CHARDAN INTERNATIONAL INVESTMENTS, LLC</w:t>
      </w:r>
    </w:p>
    <w:p>
      <w:pPr>
        <w:spacing w:after="0" w:line="210"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4407535</wp:posOffset>
            </wp:positionH>
            <wp:positionV relativeFrom="paragraph">
              <wp:posOffset>-113030</wp:posOffset>
            </wp:positionV>
            <wp:extent cx="2496820" cy="152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Title:</w:t>
      </w:r>
    </w:p>
    <w:p>
      <w:pPr>
        <w:spacing w:after="0" w:line="194"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SILVER ROCK CONTINGENT CREDIT FUND LP</w:t>
      </w:r>
    </w:p>
    <w:p>
      <w:pPr>
        <w:spacing w:after="0" w:line="198"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4407535</wp:posOffset>
            </wp:positionH>
            <wp:positionV relativeFrom="paragraph">
              <wp:posOffset>-113030</wp:posOffset>
            </wp:positionV>
            <wp:extent cx="2496820" cy="152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Title:</w:t>
      </w:r>
    </w:p>
    <w:p>
      <w:pPr>
        <w:spacing w:after="0" w:line="194"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5"/>
          <w:szCs w:val="15"/>
          <w:color w:val="auto"/>
        </w:rPr>
        <w:t>SILVER ROCK TACTICAL ALLOCATION FUND LP</w:t>
      </w:r>
    </w:p>
    <w:p>
      <w:pPr>
        <w:spacing w:after="0" w:line="210"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4407535</wp:posOffset>
            </wp:positionH>
            <wp:positionV relativeFrom="paragraph">
              <wp:posOffset>-113030</wp:posOffset>
            </wp:positionV>
            <wp:extent cx="2496820" cy="152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Title:</w:t>
      </w:r>
    </w:p>
    <w:p>
      <w:pPr>
        <w:spacing w:after="0" w:line="194"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CINDAT USA LLC</w:t>
      </w:r>
    </w:p>
    <w:p>
      <w:pPr>
        <w:spacing w:after="0" w:line="198"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4407535</wp:posOffset>
            </wp:positionH>
            <wp:positionV relativeFrom="paragraph">
              <wp:posOffset>-113030</wp:posOffset>
            </wp:positionV>
            <wp:extent cx="2496820" cy="152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Title:</w:t>
      </w:r>
    </w:p>
    <w:p>
      <w:pPr>
        <w:spacing w:after="0" w:line="194"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BLIND 1212, LLC</w:t>
      </w:r>
    </w:p>
    <w:p>
      <w:pPr>
        <w:spacing w:after="0" w:line="198"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4407535</wp:posOffset>
            </wp:positionH>
            <wp:positionV relativeFrom="paragraph">
              <wp:posOffset>-113030</wp:posOffset>
            </wp:positionV>
            <wp:extent cx="2496820" cy="152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Title:</w:t>
      </w:r>
    </w:p>
    <w:p>
      <w:pPr>
        <w:spacing w:after="0" w:line="194"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JULIE ATKINSON</w:t>
      </w:r>
    </w:p>
    <w:p>
      <w:pPr>
        <w:spacing w:after="0" w:line="198"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4407535</wp:posOffset>
            </wp:positionH>
            <wp:positionV relativeFrom="paragraph">
              <wp:posOffset>-113030</wp:posOffset>
            </wp:positionV>
            <wp:extent cx="2496820" cy="152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90"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CHRISTIAN AHRENS</w:t>
      </w:r>
    </w:p>
    <w:p>
      <w:pPr>
        <w:spacing w:after="0" w:line="198"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4407535</wp:posOffset>
            </wp:positionH>
            <wp:positionV relativeFrom="paragraph">
              <wp:posOffset>-113030</wp:posOffset>
            </wp:positionV>
            <wp:extent cx="2496820" cy="152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90"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ROMULUS CAPITAL II, L.P.</w:t>
      </w:r>
    </w:p>
    <w:p>
      <w:pPr>
        <w:spacing w:after="0" w:line="198"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4407535</wp:posOffset>
            </wp:positionH>
            <wp:positionV relativeFrom="paragraph">
              <wp:posOffset>-113030</wp:posOffset>
            </wp:positionV>
            <wp:extent cx="2496820" cy="152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37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13970</wp:posOffset>
            </wp:positionV>
            <wp:extent cx="7148195" cy="152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000"/>
          </w:cols>
          <w:pgMar w:left="700" w:top="816" w:right="1199" w:bottom="1440" w:gutter="0" w:footer="0" w:header="0"/>
        </w:sectPr>
      </w:pPr>
    </w:p>
    <w:bookmarkStart w:id="216" w:name="page217"/>
    <w:bookmarkEnd w:id="216"/>
    <w:p>
      <w:pPr>
        <w:ind w:left="5640"/>
        <w:spacing w:after="0"/>
        <w:rPr>
          <w:sz w:val="20"/>
          <w:szCs w:val="20"/>
          <w:color w:val="auto"/>
        </w:rPr>
      </w:pPr>
      <w:r>
        <w:rPr>
          <w:rFonts w:ascii="Times New Roman" w:cs="Times New Roman" w:eastAsia="Times New Roman" w:hAnsi="Times New Roman"/>
          <w:sz w:val="16"/>
          <w:szCs w:val="16"/>
          <w:color w:val="auto"/>
        </w:rPr>
        <w:t>ROMULUS CAPITAL III, L.P.</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-113030</wp:posOffset>
            </wp:positionV>
            <wp:extent cx="2496820" cy="152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9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ROMULUS ELC B3 SPECIAL OPPORTUNITY, L.P.</w:t>
      </w:r>
    </w:p>
    <w:p>
      <w:pPr>
        <w:spacing w:after="0" w:line="2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-113030</wp:posOffset>
            </wp:positionV>
            <wp:extent cx="2496820" cy="152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9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RAJAT SURI</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-113030</wp:posOffset>
            </wp:positionV>
            <wp:extent cx="2496820" cy="152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9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ASHISH GUPTA</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-113030</wp:posOffset>
            </wp:positionV>
            <wp:extent cx="2496820" cy="152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9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DANIEL DREYMAN</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-113030</wp:posOffset>
            </wp:positionV>
            <wp:extent cx="2496820" cy="152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9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WILLIAM HEALEY</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-113030</wp:posOffset>
            </wp:positionV>
            <wp:extent cx="2496820" cy="152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9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DAN MOSHER</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-113030</wp:posOffset>
            </wp:positionV>
            <wp:extent cx="2496820" cy="152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9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KRISHNA GUPTA</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-113030</wp:posOffset>
            </wp:positionV>
            <wp:extent cx="2496820" cy="152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9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ILYA GOLUBOVICH</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-113030</wp:posOffset>
            </wp:positionV>
            <wp:extent cx="2496820" cy="152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9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KIM AXEL LOPDRUP</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-113030</wp:posOffset>
            </wp:positionV>
            <wp:extent cx="2496820" cy="152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9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BLYTHE MCGARVIE</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-113030</wp:posOffset>
            </wp:positionV>
            <wp:extent cx="2496820" cy="152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9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ED SCHEETZ</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-113030</wp:posOffset>
            </wp:positionV>
            <wp:extent cx="2496820" cy="152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9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GAIL ZAUDER</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-113030</wp:posOffset>
            </wp:positionV>
            <wp:extent cx="2496820" cy="152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37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13970</wp:posOffset>
            </wp:positionV>
            <wp:extent cx="7148195" cy="152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120"/>
          </w:cols>
          <w:pgMar w:left="1440" w:top="816" w:right="1339" w:bottom="1440" w:gutter="0" w:footer="0" w:header="0"/>
        </w:sectPr>
      </w:pPr>
    </w:p>
    <w:bookmarkStart w:id="217" w:name="page218"/>
    <w:bookmarkEnd w:id="217"/>
    <w:tbl>
      <w:tblPr>
        <w:tblLayout w:type="fixed"/>
        <w:tblInd w:w="10" w:type="dxa"/>
        <w:tblCellMar>
          <w:top w:w="0" w:type="dxa"/>
          <w:left w:w="0" w:type="dxa"/>
          <w:bottom w:w="0" w:type="dxa"/>
          <w:right w:w="0" w:type="dxa"/>
        </w:tblCellMar>
      </w:tblPr>
      <w:tr>
        <w:trPr>
          <w:trHeight w:val="210"/>
        </w:trPr>
        <w:tc>
          <w:tcPr>
            <w:tcW w:w="3700" w:type="dxa"/>
            <w:vAlign w:val="bottom"/>
          </w:tcPr>
          <w:p>
            <w:pPr>
              <w:spacing w:after="0"/>
              <w:rPr>
                <w:sz w:val="18"/>
                <w:szCs w:val="18"/>
                <w:color w:val="auto"/>
              </w:rPr>
            </w:pPr>
          </w:p>
        </w:tc>
        <w:tc>
          <w:tcPr>
            <w:tcW w:w="7560" w:type="dxa"/>
            <w:vAlign w:val="bottom"/>
            <w:gridSpan w:val="2"/>
          </w:tcPr>
          <w:p>
            <w:pPr>
              <w:jc w:val="center"/>
              <w:ind w:right="3621"/>
              <w:spacing w:after="0"/>
              <w:rPr>
                <w:sz w:val="20"/>
                <w:szCs w:val="20"/>
                <w:color w:val="auto"/>
              </w:rPr>
            </w:pPr>
            <w:r>
              <w:rPr>
                <w:rFonts w:ascii="Times New Roman" w:cs="Times New Roman" w:eastAsia="Times New Roman" w:hAnsi="Times New Roman"/>
                <w:sz w:val="16"/>
                <w:szCs w:val="16"/>
                <w:b w:val="1"/>
                <w:bCs w:val="1"/>
                <w:color w:val="auto"/>
                <w:w w:val="99"/>
              </w:rPr>
              <w:t>SCHEDULE OF INVESTORS</w:t>
            </w:r>
          </w:p>
        </w:tc>
      </w:tr>
      <w:tr>
        <w:trPr>
          <w:trHeight w:val="191"/>
        </w:trPr>
        <w:tc>
          <w:tcPr>
            <w:tcW w:w="37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5620" w:type="dxa"/>
            <w:vAlign w:val="bottom"/>
            <w:tcBorders>
              <w:bottom w:val="single" w:sz="8" w:color="auto"/>
            </w:tcBorders>
          </w:tcPr>
          <w:p>
            <w:pPr>
              <w:spacing w:after="0"/>
              <w:rPr>
                <w:sz w:val="16"/>
                <w:szCs w:val="16"/>
                <w:color w:val="auto"/>
              </w:rPr>
            </w:pPr>
          </w:p>
        </w:tc>
      </w:tr>
      <w:tr>
        <w:trPr>
          <w:trHeight w:val="183"/>
        </w:trPr>
        <w:tc>
          <w:tcPr>
            <w:tcW w:w="3700" w:type="dxa"/>
            <w:vAlign w:val="bottom"/>
            <w:tcBorders>
              <w:left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Investor</w:t>
            </w:r>
          </w:p>
        </w:tc>
        <w:tc>
          <w:tcPr>
            <w:tcW w:w="1940" w:type="dxa"/>
            <w:vAlign w:val="bottom"/>
            <w:tcBorders>
              <w:bottom w:val="single" w:sz="8" w:color="auto"/>
              <w:right w:val="single" w:sz="8" w:color="auto"/>
            </w:tcBorders>
          </w:tcPr>
          <w:p>
            <w:pPr>
              <w:spacing w:after="0"/>
              <w:rPr>
                <w:sz w:val="15"/>
                <w:szCs w:val="15"/>
                <w:color w:val="auto"/>
              </w:rPr>
            </w:pPr>
          </w:p>
        </w:tc>
        <w:tc>
          <w:tcPr>
            <w:tcW w:w="56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Address</w:t>
            </w:r>
          </w:p>
        </w:tc>
      </w:tr>
      <w:tr>
        <w:trPr>
          <w:trHeight w:val="167"/>
        </w:trPr>
        <w:tc>
          <w:tcPr>
            <w:tcW w:w="3700" w:type="dxa"/>
            <w:vAlign w:val="bottom"/>
            <w:tcBorders>
              <w:left w:val="single" w:sz="8" w:color="auto"/>
            </w:tcBorders>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Ventoux Acquisition Holdings LLC</w:t>
            </w:r>
          </w:p>
        </w:tc>
        <w:tc>
          <w:tcPr>
            <w:tcW w:w="1940" w:type="dxa"/>
            <w:vAlign w:val="bottom"/>
            <w:tcBorders>
              <w:right w:val="single" w:sz="8" w:color="auto"/>
            </w:tcBorders>
          </w:tcPr>
          <w:p>
            <w:pPr>
              <w:spacing w:after="0"/>
              <w:rPr>
                <w:sz w:val="14"/>
                <w:szCs w:val="14"/>
                <w:color w:val="auto"/>
              </w:rPr>
            </w:pPr>
          </w:p>
        </w:tc>
        <w:tc>
          <w:tcPr>
            <w:tcW w:w="5620" w:type="dxa"/>
            <w:vAlign w:val="bottom"/>
            <w:tcBorders>
              <w:right w:val="single" w:sz="8" w:color="auto"/>
            </w:tcBorders>
          </w:tcPr>
          <w:p>
            <w:pPr>
              <w:ind w:left="40"/>
              <w:spacing w:after="0" w:line="167" w:lineRule="exact"/>
              <w:rPr>
                <w:sz w:val="20"/>
                <w:szCs w:val="20"/>
                <w:color w:val="auto"/>
              </w:rPr>
            </w:pPr>
            <w:r>
              <w:rPr>
                <w:rFonts w:ascii="Times New Roman" w:cs="Times New Roman" w:eastAsia="Times New Roman" w:hAnsi="Times New Roman"/>
                <w:sz w:val="16"/>
                <w:szCs w:val="16"/>
                <w:color w:val="auto"/>
              </w:rPr>
              <w:t>Ventoux Acquisition Holdings LLC</w:t>
            </w:r>
          </w:p>
        </w:tc>
      </w:tr>
      <w:tr>
        <w:trPr>
          <w:trHeight w:val="191"/>
        </w:trPr>
        <w:tc>
          <w:tcPr>
            <w:tcW w:w="3700" w:type="dxa"/>
            <w:vAlign w:val="bottom"/>
            <w:tcBorders>
              <w:lef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211 North Street</w:t>
            </w:r>
          </w:p>
        </w:tc>
      </w:tr>
      <w:tr>
        <w:trPr>
          <w:trHeight w:val="191"/>
        </w:trPr>
        <w:tc>
          <w:tcPr>
            <w:tcW w:w="3700" w:type="dxa"/>
            <w:vAlign w:val="bottom"/>
            <w:tcBorders>
              <w:lef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Northampton, MA 01060</w:t>
            </w:r>
          </w:p>
        </w:tc>
      </w:tr>
      <w:tr>
        <w:trPr>
          <w:trHeight w:val="191"/>
        </w:trPr>
        <w:tc>
          <w:tcPr>
            <w:tcW w:w="3700" w:type="dxa"/>
            <w:vAlign w:val="bottom"/>
            <w:tcBorders>
              <w:lef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Ed Scheetz</w:t>
            </w:r>
          </w:p>
        </w:tc>
      </w:tr>
      <w:tr>
        <w:trPr>
          <w:trHeight w:val="208"/>
        </w:trPr>
        <w:tc>
          <w:tcPr>
            <w:tcW w:w="3700" w:type="dxa"/>
            <w:vAlign w:val="bottom"/>
            <w:tcBorders>
              <w:lef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ed@ventouxccm.com</w:t>
            </w:r>
          </w:p>
        </w:tc>
      </w:tr>
      <w:tr>
        <w:trPr>
          <w:trHeight w:val="382"/>
        </w:trPr>
        <w:tc>
          <w:tcPr>
            <w:tcW w:w="3700" w:type="dxa"/>
            <w:vAlign w:val="bottom"/>
            <w:tcBorders>
              <w:left w:val="single" w:sz="8" w:color="auto"/>
            </w:tcBorders>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tc>
      </w:tr>
      <w:tr>
        <w:trPr>
          <w:trHeight w:val="366"/>
        </w:trPr>
        <w:tc>
          <w:tcPr>
            <w:tcW w:w="3700" w:type="dxa"/>
            <w:vAlign w:val="bottom"/>
            <w:tcBorders>
              <w:left w:val="single" w:sz="8" w:color="auto"/>
            </w:tcBorders>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Dentons LLP</w:t>
            </w:r>
          </w:p>
        </w:tc>
      </w:tr>
      <w:tr>
        <w:trPr>
          <w:trHeight w:val="191"/>
        </w:trPr>
        <w:tc>
          <w:tcPr>
            <w:tcW w:w="3700" w:type="dxa"/>
            <w:vAlign w:val="bottom"/>
            <w:tcBorders>
              <w:lef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1221 Avenue of the Americas</w:t>
            </w:r>
          </w:p>
        </w:tc>
      </w:tr>
      <w:tr>
        <w:trPr>
          <w:trHeight w:val="191"/>
        </w:trPr>
        <w:tc>
          <w:tcPr>
            <w:tcW w:w="3700" w:type="dxa"/>
            <w:vAlign w:val="bottom"/>
            <w:tcBorders>
              <w:lef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New York, NY 10020</w:t>
            </w:r>
          </w:p>
        </w:tc>
      </w:tr>
      <w:tr>
        <w:trPr>
          <w:trHeight w:val="191"/>
        </w:trPr>
        <w:tc>
          <w:tcPr>
            <w:tcW w:w="3700" w:type="dxa"/>
            <w:vAlign w:val="bottom"/>
            <w:tcBorders>
              <w:lef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Brian Lee</w:t>
            </w:r>
          </w:p>
        </w:tc>
      </w:tr>
      <w:tr>
        <w:trPr>
          <w:trHeight w:val="208"/>
        </w:trPr>
        <w:tc>
          <w:tcPr>
            <w:tcW w:w="3700" w:type="dxa"/>
            <w:vAlign w:val="bottom"/>
            <w:tcBorders>
              <w:lef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brian.lee@dentons.com</w:t>
            </w:r>
          </w:p>
        </w:tc>
      </w:tr>
      <w:tr>
        <w:trPr>
          <w:trHeight w:val="382"/>
        </w:trPr>
        <w:tc>
          <w:tcPr>
            <w:tcW w:w="3700" w:type="dxa"/>
            <w:vAlign w:val="bottom"/>
            <w:tcBorders>
              <w:left w:val="single" w:sz="8" w:color="auto"/>
            </w:tcBorders>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and</w:t>
            </w:r>
          </w:p>
        </w:tc>
      </w:tr>
      <w:tr>
        <w:trPr>
          <w:trHeight w:val="366"/>
        </w:trPr>
        <w:tc>
          <w:tcPr>
            <w:tcW w:w="3700" w:type="dxa"/>
            <w:vAlign w:val="bottom"/>
            <w:tcBorders>
              <w:left w:val="single" w:sz="8" w:color="auto"/>
            </w:tcBorders>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Woolery &amp; Co.</w:t>
            </w:r>
          </w:p>
        </w:tc>
      </w:tr>
      <w:tr>
        <w:trPr>
          <w:trHeight w:val="195"/>
        </w:trPr>
        <w:tc>
          <w:tcPr>
            <w:tcW w:w="3700" w:type="dxa"/>
            <w:vAlign w:val="bottom"/>
            <w:tcBorders>
              <w:lef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1 Pier 76</w:t>
            </w:r>
          </w:p>
        </w:tc>
      </w:tr>
      <w:tr>
        <w:trPr>
          <w:trHeight w:val="223"/>
        </w:trPr>
        <w:tc>
          <w:tcPr>
            <w:tcW w:w="3700" w:type="dxa"/>
            <w:vAlign w:val="bottom"/>
            <w:tcBorders>
              <w:lef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5620" w:type="dxa"/>
            <w:vAlign w:val="bottom"/>
            <w:tcBorders>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15"/>
                <w:szCs w:val="15"/>
                <w:color w:val="auto"/>
              </w:rPr>
              <w:t>408 12</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5"/>
                <w:szCs w:val="15"/>
                <w:color w:val="auto"/>
              </w:rPr>
              <w:t xml:space="preserve"> Ave</w:t>
            </w:r>
          </w:p>
        </w:tc>
      </w:tr>
      <w:tr>
        <w:trPr>
          <w:trHeight w:val="191"/>
        </w:trPr>
        <w:tc>
          <w:tcPr>
            <w:tcW w:w="3700" w:type="dxa"/>
            <w:vAlign w:val="bottom"/>
            <w:tcBorders>
              <w:lef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New York, NY 10018</w:t>
            </w:r>
          </w:p>
        </w:tc>
      </w:tr>
      <w:tr>
        <w:trPr>
          <w:trHeight w:val="191"/>
        </w:trPr>
        <w:tc>
          <w:tcPr>
            <w:tcW w:w="3700" w:type="dxa"/>
            <w:vAlign w:val="bottom"/>
            <w:tcBorders>
              <w:lef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Matthew J. Saur</w:t>
            </w:r>
          </w:p>
        </w:tc>
      </w:tr>
      <w:tr>
        <w:trPr>
          <w:trHeight w:val="208"/>
        </w:trPr>
        <w:tc>
          <w:tcPr>
            <w:tcW w:w="3700" w:type="dxa"/>
            <w:vAlign w:val="bottom"/>
            <w:tcBorders>
              <w:lef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mathew@wooleryco.com</w:t>
            </w:r>
          </w:p>
        </w:tc>
      </w:tr>
      <w:tr>
        <w:trPr>
          <w:trHeight w:val="36"/>
        </w:trPr>
        <w:tc>
          <w:tcPr>
            <w:tcW w:w="3700" w:type="dxa"/>
            <w:vAlign w:val="bottom"/>
            <w:tcBorders>
              <w:left w:val="single" w:sz="8" w:color="auto"/>
              <w:bottom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5620" w:type="dxa"/>
            <w:vAlign w:val="bottom"/>
            <w:tcBorders>
              <w:bottom w:val="single" w:sz="8" w:color="auto"/>
              <w:right w:val="single" w:sz="8" w:color="auto"/>
            </w:tcBorders>
          </w:tcPr>
          <w:p>
            <w:pPr>
              <w:spacing w:after="0"/>
              <w:rPr>
                <w:sz w:val="3"/>
                <w:szCs w:val="3"/>
                <w:color w:val="auto"/>
              </w:rPr>
            </w:pPr>
          </w:p>
        </w:tc>
      </w:tr>
      <w:tr>
        <w:trPr>
          <w:trHeight w:val="170"/>
        </w:trPr>
        <w:tc>
          <w:tcPr>
            <w:tcW w:w="3700" w:type="dxa"/>
            <w:vAlign w:val="bottom"/>
            <w:tcBorders>
              <w:left w:val="single" w:sz="8" w:color="auto"/>
            </w:tcBorders>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Chardan International Investments, LLC</w:t>
            </w:r>
          </w:p>
        </w:tc>
        <w:tc>
          <w:tcPr>
            <w:tcW w:w="1940" w:type="dxa"/>
            <w:vAlign w:val="bottom"/>
            <w:tcBorders>
              <w:right w:val="single" w:sz="8" w:color="auto"/>
            </w:tcBorders>
          </w:tcPr>
          <w:p>
            <w:pPr>
              <w:spacing w:after="0"/>
              <w:rPr>
                <w:sz w:val="14"/>
                <w:szCs w:val="14"/>
                <w:color w:val="auto"/>
              </w:rPr>
            </w:pPr>
          </w:p>
        </w:tc>
        <w:tc>
          <w:tcPr>
            <w:tcW w:w="5620" w:type="dxa"/>
            <w:vAlign w:val="bottom"/>
            <w:tcBorders>
              <w:right w:val="single" w:sz="8" w:color="auto"/>
            </w:tcBorders>
          </w:tcPr>
          <w:p>
            <w:pPr>
              <w:ind w:left="40"/>
              <w:spacing w:after="0" w:line="171" w:lineRule="exact"/>
              <w:rPr>
                <w:sz w:val="20"/>
                <w:szCs w:val="20"/>
                <w:color w:val="auto"/>
              </w:rPr>
            </w:pPr>
            <w:r>
              <w:rPr>
                <w:rFonts w:ascii="Times New Roman" w:cs="Times New Roman" w:eastAsia="Times New Roman" w:hAnsi="Times New Roman"/>
                <w:sz w:val="16"/>
                <w:szCs w:val="16"/>
                <w:color w:val="auto"/>
              </w:rPr>
              <w:t>Chardan International Investments LLC</w:t>
            </w:r>
          </w:p>
        </w:tc>
      </w:tr>
      <w:tr>
        <w:trPr>
          <w:trHeight w:val="223"/>
        </w:trPr>
        <w:tc>
          <w:tcPr>
            <w:tcW w:w="3700" w:type="dxa"/>
            <w:vAlign w:val="bottom"/>
            <w:tcBorders>
              <w:lef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5620" w:type="dxa"/>
            <w:vAlign w:val="bottom"/>
            <w:tcBorders>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15"/>
                <w:szCs w:val="15"/>
                <w:color w:val="auto"/>
              </w:rPr>
              <w:t>17 State Street 21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5"/>
                <w:szCs w:val="15"/>
                <w:color w:val="auto"/>
              </w:rPr>
              <w:t xml:space="preserve"> Floor</w:t>
            </w:r>
          </w:p>
        </w:tc>
      </w:tr>
      <w:tr>
        <w:trPr>
          <w:trHeight w:val="191"/>
        </w:trPr>
        <w:tc>
          <w:tcPr>
            <w:tcW w:w="3700" w:type="dxa"/>
            <w:vAlign w:val="bottom"/>
            <w:tcBorders>
              <w:lef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New York, NY 10004</w:t>
            </w:r>
          </w:p>
        </w:tc>
      </w:tr>
      <w:tr>
        <w:trPr>
          <w:trHeight w:val="191"/>
        </w:trPr>
        <w:tc>
          <w:tcPr>
            <w:tcW w:w="3700" w:type="dxa"/>
            <w:vAlign w:val="bottom"/>
            <w:tcBorders>
              <w:lef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t>
            </w:r>
          </w:p>
        </w:tc>
      </w:tr>
      <w:tr>
        <w:trPr>
          <w:trHeight w:val="208"/>
        </w:trPr>
        <w:tc>
          <w:tcPr>
            <w:tcW w:w="3700" w:type="dxa"/>
            <w:vAlign w:val="bottom"/>
            <w:tcBorders>
              <w:lef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t>
            </w:r>
          </w:p>
        </w:tc>
      </w:tr>
      <w:tr>
        <w:trPr>
          <w:trHeight w:val="382"/>
        </w:trPr>
        <w:tc>
          <w:tcPr>
            <w:tcW w:w="3700" w:type="dxa"/>
            <w:vAlign w:val="bottom"/>
            <w:tcBorders>
              <w:left w:val="single" w:sz="8" w:color="auto"/>
            </w:tcBorders>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tc>
      </w:tr>
      <w:tr>
        <w:trPr>
          <w:trHeight w:val="366"/>
        </w:trPr>
        <w:tc>
          <w:tcPr>
            <w:tcW w:w="3700" w:type="dxa"/>
            <w:vAlign w:val="bottom"/>
            <w:tcBorders>
              <w:left w:val="single" w:sz="8" w:color="auto"/>
            </w:tcBorders>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Dentons LLP</w:t>
            </w:r>
          </w:p>
        </w:tc>
      </w:tr>
      <w:tr>
        <w:trPr>
          <w:trHeight w:val="191"/>
        </w:trPr>
        <w:tc>
          <w:tcPr>
            <w:tcW w:w="3700" w:type="dxa"/>
            <w:vAlign w:val="bottom"/>
            <w:tcBorders>
              <w:lef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1221 Avenue of the Americas</w:t>
            </w:r>
          </w:p>
        </w:tc>
      </w:tr>
      <w:tr>
        <w:trPr>
          <w:trHeight w:val="191"/>
        </w:trPr>
        <w:tc>
          <w:tcPr>
            <w:tcW w:w="3700" w:type="dxa"/>
            <w:vAlign w:val="bottom"/>
            <w:tcBorders>
              <w:lef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New York, NY 10020</w:t>
            </w:r>
          </w:p>
        </w:tc>
      </w:tr>
      <w:tr>
        <w:trPr>
          <w:trHeight w:val="191"/>
        </w:trPr>
        <w:tc>
          <w:tcPr>
            <w:tcW w:w="3700" w:type="dxa"/>
            <w:vAlign w:val="bottom"/>
            <w:tcBorders>
              <w:lef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Brian Lee</w:t>
            </w:r>
          </w:p>
        </w:tc>
      </w:tr>
      <w:tr>
        <w:trPr>
          <w:trHeight w:val="208"/>
        </w:trPr>
        <w:tc>
          <w:tcPr>
            <w:tcW w:w="3700" w:type="dxa"/>
            <w:vAlign w:val="bottom"/>
            <w:tcBorders>
              <w:lef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brian.lee@dentons.com</w:t>
            </w:r>
          </w:p>
        </w:tc>
      </w:tr>
      <w:tr>
        <w:trPr>
          <w:trHeight w:val="382"/>
        </w:trPr>
        <w:tc>
          <w:tcPr>
            <w:tcW w:w="3700" w:type="dxa"/>
            <w:vAlign w:val="bottom"/>
            <w:tcBorders>
              <w:left w:val="single" w:sz="8" w:color="auto"/>
            </w:tcBorders>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and</w:t>
            </w:r>
          </w:p>
        </w:tc>
      </w:tr>
      <w:tr>
        <w:trPr>
          <w:trHeight w:val="366"/>
        </w:trPr>
        <w:tc>
          <w:tcPr>
            <w:tcW w:w="3700" w:type="dxa"/>
            <w:vAlign w:val="bottom"/>
            <w:tcBorders>
              <w:left w:val="single" w:sz="8" w:color="auto"/>
            </w:tcBorders>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Woolery &amp; Co.</w:t>
            </w:r>
          </w:p>
        </w:tc>
      </w:tr>
      <w:tr>
        <w:trPr>
          <w:trHeight w:val="195"/>
        </w:trPr>
        <w:tc>
          <w:tcPr>
            <w:tcW w:w="3700" w:type="dxa"/>
            <w:vAlign w:val="bottom"/>
            <w:tcBorders>
              <w:lef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1 Pier 76</w:t>
            </w:r>
          </w:p>
        </w:tc>
      </w:tr>
      <w:tr>
        <w:trPr>
          <w:trHeight w:val="223"/>
        </w:trPr>
        <w:tc>
          <w:tcPr>
            <w:tcW w:w="3700" w:type="dxa"/>
            <w:vAlign w:val="bottom"/>
            <w:tcBorders>
              <w:lef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5620" w:type="dxa"/>
            <w:vAlign w:val="bottom"/>
            <w:tcBorders>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15"/>
                <w:szCs w:val="15"/>
                <w:color w:val="auto"/>
              </w:rPr>
              <w:t>408 12</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5"/>
                <w:szCs w:val="15"/>
                <w:color w:val="auto"/>
              </w:rPr>
              <w:t xml:space="preserve"> Ave</w:t>
            </w:r>
          </w:p>
        </w:tc>
      </w:tr>
      <w:tr>
        <w:trPr>
          <w:trHeight w:val="191"/>
        </w:trPr>
        <w:tc>
          <w:tcPr>
            <w:tcW w:w="3700" w:type="dxa"/>
            <w:vAlign w:val="bottom"/>
            <w:tcBorders>
              <w:lef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New York, NY 10018</w:t>
            </w:r>
          </w:p>
        </w:tc>
      </w:tr>
      <w:tr>
        <w:trPr>
          <w:trHeight w:val="191"/>
        </w:trPr>
        <w:tc>
          <w:tcPr>
            <w:tcW w:w="3700" w:type="dxa"/>
            <w:vAlign w:val="bottom"/>
            <w:tcBorders>
              <w:lef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Matthew J. Saur</w:t>
            </w:r>
          </w:p>
        </w:tc>
      </w:tr>
      <w:tr>
        <w:trPr>
          <w:trHeight w:val="208"/>
        </w:trPr>
        <w:tc>
          <w:tcPr>
            <w:tcW w:w="3700" w:type="dxa"/>
            <w:vAlign w:val="bottom"/>
            <w:tcBorders>
              <w:lef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mathew@wooleryco.com</w:t>
            </w:r>
          </w:p>
        </w:tc>
      </w:tr>
      <w:tr>
        <w:trPr>
          <w:trHeight w:val="36"/>
        </w:trPr>
        <w:tc>
          <w:tcPr>
            <w:tcW w:w="3700" w:type="dxa"/>
            <w:vAlign w:val="bottom"/>
            <w:tcBorders>
              <w:left w:val="single" w:sz="8" w:color="auto"/>
              <w:bottom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5620" w:type="dxa"/>
            <w:vAlign w:val="bottom"/>
            <w:tcBorders>
              <w:bottom w:val="single" w:sz="8" w:color="auto"/>
              <w:right w:val="single" w:sz="8" w:color="auto"/>
            </w:tcBorders>
          </w:tcPr>
          <w:p>
            <w:pPr>
              <w:spacing w:after="0"/>
              <w:rPr>
                <w:sz w:val="3"/>
                <w:szCs w:val="3"/>
                <w:color w:val="auto"/>
              </w:rPr>
            </w:pPr>
          </w:p>
        </w:tc>
      </w:tr>
      <w:tr>
        <w:trPr>
          <w:trHeight w:val="593"/>
        </w:trPr>
        <w:tc>
          <w:tcPr>
            <w:tcW w:w="370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gridSpan w:val="2"/>
          </w:tcPr>
          <w:p>
            <w:pPr>
              <w:jc w:val="right"/>
              <w:ind w:right="5461"/>
              <w:spacing w:after="0"/>
              <w:rPr>
                <w:sz w:val="20"/>
                <w:szCs w:val="20"/>
                <w:color w:val="auto"/>
              </w:rPr>
            </w:pPr>
            <w:r>
              <w:rPr>
                <w:rFonts w:ascii="Times New Roman" w:cs="Times New Roman" w:eastAsia="Times New Roman" w:hAnsi="Times New Roman"/>
                <w:sz w:val="19"/>
                <w:szCs w:val="19"/>
                <w:color w:val="auto"/>
              </w:rPr>
              <w:t>23</w:t>
            </w:r>
          </w:p>
        </w:tc>
      </w:tr>
    </w:tbl>
    <w:p>
      <w:pPr>
        <w:sectPr>
          <w:pgSz w:w="11900" w:h="16838" w:orient="portrait"/>
          <w:cols w:equalWidth="0" w:num="1">
            <w:col w:w="11260"/>
          </w:cols>
          <w:pgMar w:left="320" w:top="623" w:right="319" w:bottom="1440" w:gutter="0" w:footer="0" w:header="0"/>
        </w:sectPr>
      </w:pPr>
    </w:p>
    <w:bookmarkStart w:id="218" w:name="page219"/>
    <w:bookmarkEnd w:id="21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3600" w:type="dxa"/>
            <w:vAlign w:val="bottom"/>
            <w:tcBorders>
              <w:top w:val="single" w:sz="8" w:color="auto"/>
              <w:left w:val="single" w:sz="8" w:color="auto"/>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Cindat USA LLC</w:t>
            </w:r>
          </w:p>
        </w:tc>
        <w:tc>
          <w:tcPr>
            <w:tcW w:w="2040" w:type="dxa"/>
            <w:vAlign w:val="bottom"/>
            <w:tcBorders>
              <w:top w:val="single" w:sz="8" w:color="auto"/>
              <w:right w:val="single" w:sz="8" w:color="auto"/>
            </w:tcBorders>
          </w:tcPr>
          <w:p>
            <w:pPr>
              <w:spacing w:after="0"/>
              <w:rPr>
                <w:sz w:val="16"/>
                <w:szCs w:val="16"/>
                <w:color w:val="auto"/>
              </w:rPr>
            </w:pPr>
          </w:p>
        </w:tc>
        <w:tc>
          <w:tcPr>
            <w:tcW w:w="562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Cindat USA LLC</w:t>
            </w:r>
          </w:p>
        </w:tc>
        <w:tc>
          <w:tcPr>
            <w:tcW w:w="0" w:type="dxa"/>
            <w:vAlign w:val="bottom"/>
          </w:tcPr>
          <w:p>
            <w:pPr>
              <w:spacing w:after="0"/>
              <w:rPr>
                <w:sz w:val="1"/>
                <w:szCs w:val="1"/>
                <w:color w:val="auto"/>
              </w:rPr>
            </w:pPr>
          </w:p>
        </w:tc>
      </w:tr>
      <w:tr>
        <w:trPr>
          <w:trHeight w:val="191"/>
        </w:trPr>
        <w:tc>
          <w:tcPr>
            <w:tcW w:w="3600" w:type="dxa"/>
            <w:vAlign w:val="bottom"/>
            <w:tcBorders>
              <w:left w:val="single" w:sz="8" w:color="auto"/>
            </w:tcBorders>
            <w:vMerge w:val="continue"/>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Seagram Building, 375 Park Avenue #3703</w:t>
            </w:r>
          </w:p>
        </w:tc>
        <w:tc>
          <w:tcPr>
            <w:tcW w:w="0" w:type="dxa"/>
            <w:vAlign w:val="bottom"/>
          </w:tcPr>
          <w:p>
            <w:pPr>
              <w:spacing w:after="0"/>
              <w:rPr>
                <w:sz w:val="1"/>
                <w:szCs w:val="1"/>
                <w:color w:val="auto"/>
              </w:rPr>
            </w:pPr>
          </w:p>
        </w:tc>
      </w:tr>
      <w:tr>
        <w:trPr>
          <w:trHeight w:val="191"/>
        </w:trPr>
        <w:tc>
          <w:tcPr>
            <w:tcW w:w="3600" w:type="dxa"/>
            <w:vAlign w:val="bottom"/>
            <w:tcBorders>
              <w:lef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New York, NY 10152</w:t>
            </w:r>
          </w:p>
        </w:tc>
        <w:tc>
          <w:tcPr>
            <w:tcW w:w="0" w:type="dxa"/>
            <w:vAlign w:val="bottom"/>
          </w:tcPr>
          <w:p>
            <w:pPr>
              <w:spacing w:after="0"/>
              <w:rPr>
                <w:sz w:val="1"/>
                <w:szCs w:val="1"/>
                <w:color w:val="auto"/>
              </w:rPr>
            </w:pPr>
          </w:p>
        </w:tc>
      </w:tr>
      <w:tr>
        <w:trPr>
          <w:trHeight w:val="191"/>
        </w:trPr>
        <w:tc>
          <w:tcPr>
            <w:tcW w:w="3600" w:type="dxa"/>
            <w:vAlign w:val="bottom"/>
            <w:tcBorders>
              <w:lef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t>
            </w:r>
          </w:p>
        </w:tc>
        <w:tc>
          <w:tcPr>
            <w:tcW w:w="0" w:type="dxa"/>
            <w:vAlign w:val="bottom"/>
          </w:tcPr>
          <w:p>
            <w:pPr>
              <w:spacing w:after="0"/>
              <w:rPr>
                <w:sz w:val="1"/>
                <w:szCs w:val="1"/>
                <w:color w:val="auto"/>
              </w:rPr>
            </w:pPr>
          </w:p>
        </w:tc>
      </w:tr>
      <w:tr>
        <w:trPr>
          <w:trHeight w:val="208"/>
        </w:trPr>
        <w:tc>
          <w:tcPr>
            <w:tcW w:w="3600" w:type="dxa"/>
            <w:vAlign w:val="bottom"/>
            <w:tcBorders>
              <w:lef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t>
            </w:r>
          </w:p>
        </w:tc>
        <w:tc>
          <w:tcPr>
            <w:tcW w:w="0" w:type="dxa"/>
            <w:vAlign w:val="bottom"/>
          </w:tcPr>
          <w:p>
            <w:pPr>
              <w:spacing w:after="0"/>
              <w:rPr>
                <w:sz w:val="1"/>
                <w:szCs w:val="1"/>
                <w:color w:val="auto"/>
              </w:rPr>
            </w:pPr>
          </w:p>
        </w:tc>
      </w:tr>
      <w:tr>
        <w:trPr>
          <w:trHeight w:val="382"/>
        </w:trPr>
        <w:tc>
          <w:tcPr>
            <w:tcW w:w="3600" w:type="dxa"/>
            <w:vAlign w:val="bottom"/>
            <w:tcBorders>
              <w:lef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tc>
        <w:tc>
          <w:tcPr>
            <w:tcW w:w="0" w:type="dxa"/>
            <w:vAlign w:val="bottom"/>
          </w:tcPr>
          <w:p>
            <w:pPr>
              <w:spacing w:after="0"/>
              <w:rPr>
                <w:sz w:val="1"/>
                <w:szCs w:val="1"/>
                <w:color w:val="auto"/>
              </w:rPr>
            </w:pPr>
          </w:p>
        </w:tc>
      </w:tr>
      <w:tr>
        <w:trPr>
          <w:trHeight w:val="366"/>
        </w:trPr>
        <w:tc>
          <w:tcPr>
            <w:tcW w:w="3600" w:type="dxa"/>
            <w:vAlign w:val="bottom"/>
            <w:tcBorders>
              <w:lef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600" w:type="dxa"/>
            <w:vAlign w:val="bottom"/>
            <w:tcBorders>
              <w:lef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600" w:type="dxa"/>
            <w:vAlign w:val="bottom"/>
            <w:tcBorders>
              <w:lef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t>
            </w:r>
          </w:p>
        </w:tc>
        <w:tc>
          <w:tcPr>
            <w:tcW w:w="0" w:type="dxa"/>
            <w:vAlign w:val="bottom"/>
          </w:tcPr>
          <w:p>
            <w:pPr>
              <w:spacing w:after="0"/>
              <w:rPr>
                <w:sz w:val="1"/>
                <w:szCs w:val="1"/>
                <w:color w:val="auto"/>
              </w:rPr>
            </w:pPr>
          </w:p>
        </w:tc>
      </w:tr>
      <w:tr>
        <w:trPr>
          <w:trHeight w:val="208"/>
        </w:trPr>
        <w:tc>
          <w:tcPr>
            <w:tcW w:w="3600" w:type="dxa"/>
            <w:vAlign w:val="bottom"/>
            <w:tcBorders>
              <w:lef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t>
            </w:r>
          </w:p>
        </w:tc>
        <w:tc>
          <w:tcPr>
            <w:tcW w:w="0" w:type="dxa"/>
            <w:vAlign w:val="bottom"/>
          </w:tcPr>
          <w:p>
            <w:pPr>
              <w:spacing w:after="0"/>
              <w:rPr>
                <w:sz w:val="1"/>
                <w:szCs w:val="1"/>
                <w:color w:val="auto"/>
              </w:rPr>
            </w:pPr>
          </w:p>
        </w:tc>
      </w:tr>
      <w:tr>
        <w:trPr>
          <w:trHeight w:val="36"/>
        </w:trPr>
        <w:tc>
          <w:tcPr>
            <w:tcW w:w="3600" w:type="dxa"/>
            <w:vAlign w:val="bottom"/>
            <w:tcBorders>
              <w:left w:val="single" w:sz="8" w:color="auto"/>
              <w:bottom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5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3600" w:type="dxa"/>
            <w:vAlign w:val="bottom"/>
            <w:tcBorders>
              <w:left w:val="single" w:sz="8" w:color="auto"/>
            </w:tcBorders>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Blind 1212, LLC</w:t>
            </w:r>
          </w:p>
        </w:tc>
        <w:tc>
          <w:tcPr>
            <w:tcW w:w="2040" w:type="dxa"/>
            <w:vAlign w:val="bottom"/>
            <w:tcBorders>
              <w:right w:val="single" w:sz="8" w:color="auto"/>
            </w:tcBorders>
          </w:tcPr>
          <w:p>
            <w:pPr>
              <w:spacing w:after="0"/>
              <w:rPr>
                <w:sz w:val="14"/>
                <w:szCs w:val="14"/>
                <w:color w:val="auto"/>
              </w:rPr>
            </w:pPr>
          </w:p>
        </w:tc>
        <w:tc>
          <w:tcPr>
            <w:tcW w:w="5620" w:type="dxa"/>
            <w:vAlign w:val="bottom"/>
            <w:tcBorders>
              <w:right w:val="single" w:sz="8" w:color="auto"/>
            </w:tcBorders>
          </w:tcPr>
          <w:p>
            <w:pPr>
              <w:ind w:left="40"/>
              <w:spacing w:after="0" w:line="167" w:lineRule="exact"/>
              <w:rPr>
                <w:sz w:val="20"/>
                <w:szCs w:val="20"/>
                <w:color w:val="auto"/>
              </w:rPr>
            </w:pPr>
            <w:r>
              <w:rPr>
                <w:rFonts w:ascii="Times New Roman" w:cs="Times New Roman" w:eastAsia="Times New Roman" w:hAnsi="Times New Roman"/>
                <w:sz w:val="16"/>
                <w:szCs w:val="16"/>
                <w:color w:val="auto"/>
              </w:rPr>
              <w:t>Blind 1212, LLC</w:t>
            </w:r>
          </w:p>
        </w:tc>
        <w:tc>
          <w:tcPr>
            <w:tcW w:w="0" w:type="dxa"/>
            <w:vAlign w:val="bottom"/>
          </w:tcPr>
          <w:p>
            <w:pPr>
              <w:spacing w:after="0"/>
              <w:rPr>
                <w:sz w:val="1"/>
                <w:szCs w:val="1"/>
                <w:color w:val="auto"/>
              </w:rPr>
            </w:pPr>
          </w:p>
        </w:tc>
      </w:tr>
      <w:tr>
        <w:trPr>
          <w:trHeight w:val="191"/>
        </w:trPr>
        <w:tc>
          <w:tcPr>
            <w:tcW w:w="3600" w:type="dxa"/>
            <w:vAlign w:val="bottom"/>
            <w:tcBorders>
              <w:lef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600" w:type="dxa"/>
            <w:vAlign w:val="bottom"/>
            <w:tcBorders>
              <w:lef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t>
            </w:r>
          </w:p>
        </w:tc>
        <w:tc>
          <w:tcPr>
            <w:tcW w:w="0" w:type="dxa"/>
            <w:vAlign w:val="bottom"/>
          </w:tcPr>
          <w:p>
            <w:pPr>
              <w:spacing w:after="0"/>
              <w:rPr>
                <w:sz w:val="1"/>
                <w:szCs w:val="1"/>
                <w:color w:val="auto"/>
              </w:rPr>
            </w:pPr>
          </w:p>
        </w:tc>
      </w:tr>
      <w:tr>
        <w:trPr>
          <w:trHeight w:val="208"/>
        </w:trPr>
        <w:tc>
          <w:tcPr>
            <w:tcW w:w="3600" w:type="dxa"/>
            <w:vAlign w:val="bottom"/>
            <w:tcBorders>
              <w:lef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t>
            </w:r>
          </w:p>
        </w:tc>
        <w:tc>
          <w:tcPr>
            <w:tcW w:w="0" w:type="dxa"/>
            <w:vAlign w:val="bottom"/>
          </w:tcPr>
          <w:p>
            <w:pPr>
              <w:spacing w:after="0"/>
              <w:rPr>
                <w:sz w:val="1"/>
                <w:szCs w:val="1"/>
                <w:color w:val="auto"/>
              </w:rPr>
            </w:pPr>
          </w:p>
        </w:tc>
      </w:tr>
      <w:tr>
        <w:trPr>
          <w:trHeight w:val="382"/>
        </w:trPr>
        <w:tc>
          <w:tcPr>
            <w:tcW w:w="3600" w:type="dxa"/>
            <w:vAlign w:val="bottom"/>
            <w:tcBorders>
              <w:lef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tc>
        <w:tc>
          <w:tcPr>
            <w:tcW w:w="0" w:type="dxa"/>
            <w:vAlign w:val="bottom"/>
          </w:tcPr>
          <w:p>
            <w:pPr>
              <w:spacing w:after="0"/>
              <w:rPr>
                <w:sz w:val="1"/>
                <w:szCs w:val="1"/>
                <w:color w:val="auto"/>
              </w:rPr>
            </w:pPr>
          </w:p>
        </w:tc>
      </w:tr>
      <w:tr>
        <w:trPr>
          <w:trHeight w:val="366"/>
        </w:trPr>
        <w:tc>
          <w:tcPr>
            <w:tcW w:w="3600" w:type="dxa"/>
            <w:vAlign w:val="bottom"/>
            <w:tcBorders>
              <w:lef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600" w:type="dxa"/>
            <w:vAlign w:val="bottom"/>
            <w:tcBorders>
              <w:lef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600" w:type="dxa"/>
            <w:vAlign w:val="bottom"/>
            <w:tcBorders>
              <w:lef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t>
            </w:r>
          </w:p>
        </w:tc>
        <w:tc>
          <w:tcPr>
            <w:tcW w:w="0" w:type="dxa"/>
            <w:vAlign w:val="bottom"/>
          </w:tcPr>
          <w:p>
            <w:pPr>
              <w:spacing w:after="0"/>
              <w:rPr>
                <w:sz w:val="1"/>
                <w:szCs w:val="1"/>
                <w:color w:val="auto"/>
              </w:rPr>
            </w:pPr>
          </w:p>
        </w:tc>
      </w:tr>
      <w:tr>
        <w:trPr>
          <w:trHeight w:val="208"/>
        </w:trPr>
        <w:tc>
          <w:tcPr>
            <w:tcW w:w="3600" w:type="dxa"/>
            <w:vAlign w:val="bottom"/>
            <w:tcBorders>
              <w:lef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t>
            </w:r>
          </w:p>
        </w:tc>
        <w:tc>
          <w:tcPr>
            <w:tcW w:w="0" w:type="dxa"/>
            <w:vAlign w:val="bottom"/>
          </w:tcPr>
          <w:p>
            <w:pPr>
              <w:spacing w:after="0"/>
              <w:rPr>
                <w:sz w:val="1"/>
                <w:szCs w:val="1"/>
                <w:color w:val="auto"/>
              </w:rPr>
            </w:pPr>
          </w:p>
        </w:tc>
      </w:tr>
      <w:tr>
        <w:trPr>
          <w:trHeight w:val="36"/>
        </w:trPr>
        <w:tc>
          <w:tcPr>
            <w:tcW w:w="3600" w:type="dxa"/>
            <w:vAlign w:val="bottom"/>
            <w:tcBorders>
              <w:left w:val="single" w:sz="8" w:color="auto"/>
              <w:bottom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5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3600" w:type="dxa"/>
            <w:vAlign w:val="bottom"/>
            <w:tcBorders>
              <w:left w:val="single" w:sz="8" w:color="auto"/>
            </w:tcBorders>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Julie Atkinson</w:t>
            </w:r>
          </w:p>
        </w:tc>
        <w:tc>
          <w:tcPr>
            <w:tcW w:w="2040" w:type="dxa"/>
            <w:vAlign w:val="bottom"/>
            <w:tcBorders>
              <w:right w:val="single" w:sz="8" w:color="auto"/>
            </w:tcBorders>
          </w:tcPr>
          <w:p>
            <w:pPr>
              <w:spacing w:after="0"/>
              <w:rPr>
                <w:sz w:val="14"/>
                <w:szCs w:val="14"/>
                <w:color w:val="auto"/>
              </w:rPr>
            </w:pPr>
          </w:p>
        </w:tc>
        <w:tc>
          <w:tcPr>
            <w:tcW w:w="5620" w:type="dxa"/>
            <w:vAlign w:val="bottom"/>
            <w:tcBorders>
              <w:right w:val="single" w:sz="8" w:color="auto"/>
            </w:tcBorders>
          </w:tcPr>
          <w:p>
            <w:pPr>
              <w:ind w:left="40"/>
              <w:spacing w:after="0" w:line="167"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600" w:type="dxa"/>
            <w:vAlign w:val="bottom"/>
            <w:tcBorders>
              <w:lef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t>
            </w:r>
          </w:p>
        </w:tc>
        <w:tc>
          <w:tcPr>
            <w:tcW w:w="0" w:type="dxa"/>
            <w:vAlign w:val="bottom"/>
          </w:tcPr>
          <w:p>
            <w:pPr>
              <w:spacing w:after="0"/>
              <w:rPr>
                <w:sz w:val="1"/>
                <w:szCs w:val="1"/>
                <w:color w:val="auto"/>
              </w:rPr>
            </w:pPr>
          </w:p>
        </w:tc>
      </w:tr>
      <w:tr>
        <w:trPr>
          <w:trHeight w:val="208"/>
        </w:trPr>
        <w:tc>
          <w:tcPr>
            <w:tcW w:w="3600" w:type="dxa"/>
            <w:vAlign w:val="bottom"/>
            <w:tcBorders>
              <w:lef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t>
            </w:r>
          </w:p>
        </w:tc>
        <w:tc>
          <w:tcPr>
            <w:tcW w:w="0" w:type="dxa"/>
            <w:vAlign w:val="bottom"/>
          </w:tcPr>
          <w:p>
            <w:pPr>
              <w:spacing w:after="0"/>
              <w:rPr>
                <w:sz w:val="1"/>
                <w:szCs w:val="1"/>
                <w:color w:val="auto"/>
              </w:rPr>
            </w:pPr>
          </w:p>
        </w:tc>
      </w:tr>
      <w:tr>
        <w:trPr>
          <w:trHeight w:val="382"/>
        </w:trPr>
        <w:tc>
          <w:tcPr>
            <w:tcW w:w="3600" w:type="dxa"/>
            <w:vAlign w:val="bottom"/>
            <w:tcBorders>
              <w:lef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tc>
        <w:tc>
          <w:tcPr>
            <w:tcW w:w="0" w:type="dxa"/>
            <w:vAlign w:val="bottom"/>
          </w:tcPr>
          <w:p>
            <w:pPr>
              <w:spacing w:after="0"/>
              <w:rPr>
                <w:sz w:val="1"/>
                <w:szCs w:val="1"/>
                <w:color w:val="auto"/>
              </w:rPr>
            </w:pPr>
          </w:p>
        </w:tc>
      </w:tr>
      <w:tr>
        <w:trPr>
          <w:trHeight w:val="366"/>
        </w:trPr>
        <w:tc>
          <w:tcPr>
            <w:tcW w:w="3600" w:type="dxa"/>
            <w:vAlign w:val="bottom"/>
            <w:tcBorders>
              <w:lef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600" w:type="dxa"/>
            <w:vAlign w:val="bottom"/>
            <w:tcBorders>
              <w:lef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600" w:type="dxa"/>
            <w:vAlign w:val="bottom"/>
            <w:tcBorders>
              <w:lef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t>
            </w:r>
          </w:p>
        </w:tc>
        <w:tc>
          <w:tcPr>
            <w:tcW w:w="0" w:type="dxa"/>
            <w:vAlign w:val="bottom"/>
          </w:tcPr>
          <w:p>
            <w:pPr>
              <w:spacing w:after="0"/>
              <w:rPr>
                <w:sz w:val="1"/>
                <w:szCs w:val="1"/>
                <w:color w:val="auto"/>
              </w:rPr>
            </w:pPr>
          </w:p>
        </w:tc>
      </w:tr>
      <w:tr>
        <w:trPr>
          <w:trHeight w:val="208"/>
        </w:trPr>
        <w:tc>
          <w:tcPr>
            <w:tcW w:w="3600" w:type="dxa"/>
            <w:vAlign w:val="bottom"/>
            <w:tcBorders>
              <w:lef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t>
            </w:r>
          </w:p>
        </w:tc>
        <w:tc>
          <w:tcPr>
            <w:tcW w:w="0" w:type="dxa"/>
            <w:vAlign w:val="bottom"/>
          </w:tcPr>
          <w:p>
            <w:pPr>
              <w:spacing w:after="0"/>
              <w:rPr>
                <w:sz w:val="1"/>
                <w:szCs w:val="1"/>
                <w:color w:val="auto"/>
              </w:rPr>
            </w:pPr>
          </w:p>
        </w:tc>
      </w:tr>
      <w:tr>
        <w:trPr>
          <w:trHeight w:val="36"/>
        </w:trPr>
        <w:tc>
          <w:tcPr>
            <w:tcW w:w="3600" w:type="dxa"/>
            <w:vAlign w:val="bottom"/>
            <w:tcBorders>
              <w:left w:val="single" w:sz="8" w:color="auto"/>
              <w:bottom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5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3600" w:type="dxa"/>
            <w:vAlign w:val="bottom"/>
            <w:tcBorders>
              <w:left w:val="single" w:sz="8" w:color="auto"/>
            </w:tcBorders>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Christian Ahrens</w:t>
            </w:r>
          </w:p>
        </w:tc>
        <w:tc>
          <w:tcPr>
            <w:tcW w:w="2040" w:type="dxa"/>
            <w:vAlign w:val="bottom"/>
            <w:tcBorders>
              <w:right w:val="single" w:sz="8" w:color="auto"/>
            </w:tcBorders>
          </w:tcPr>
          <w:p>
            <w:pPr>
              <w:spacing w:after="0"/>
              <w:rPr>
                <w:sz w:val="14"/>
                <w:szCs w:val="14"/>
                <w:color w:val="auto"/>
              </w:rPr>
            </w:pPr>
          </w:p>
        </w:tc>
        <w:tc>
          <w:tcPr>
            <w:tcW w:w="5620" w:type="dxa"/>
            <w:vAlign w:val="bottom"/>
            <w:tcBorders>
              <w:right w:val="single" w:sz="8" w:color="auto"/>
            </w:tcBorders>
          </w:tcPr>
          <w:p>
            <w:pPr>
              <w:ind w:left="40"/>
              <w:spacing w:after="0" w:line="167"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600" w:type="dxa"/>
            <w:vAlign w:val="bottom"/>
            <w:tcBorders>
              <w:lef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t>
            </w:r>
          </w:p>
        </w:tc>
        <w:tc>
          <w:tcPr>
            <w:tcW w:w="0" w:type="dxa"/>
            <w:vAlign w:val="bottom"/>
          </w:tcPr>
          <w:p>
            <w:pPr>
              <w:spacing w:after="0"/>
              <w:rPr>
                <w:sz w:val="1"/>
                <w:szCs w:val="1"/>
                <w:color w:val="auto"/>
              </w:rPr>
            </w:pPr>
          </w:p>
        </w:tc>
      </w:tr>
      <w:tr>
        <w:trPr>
          <w:trHeight w:val="208"/>
        </w:trPr>
        <w:tc>
          <w:tcPr>
            <w:tcW w:w="3600" w:type="dxa"/>
            <w:vAlign w:val="bottom"/>
            <w:tcBorders>
              <w:lef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t>
            </w:r>
          </w:p>
        </w:tc>
        <w:tc>
          <w:tcPr>
            <w:tcW w:w="0" w:type="dxa"/>
            <w:vAlign w:val="bottom"/>
          </w:tcPr>
          <w:p>
            <w:pPr>
              <w:spacing w:after="0"/>
              <w:rPr>
                <w:sz w:val="1"/>
                <w:szCs w:val="1"/>
                <w:color w:val="auto"/>
              </w:rPr>
            </w:pPr>
          </w:p>
        </w:tc>
      </w:tr>
      <w:tr>
        <w:trPr>
          <w:trHeight w:val="382"/>
        </w:trPr>
        <w:tc>
          <w:tcPr>
            <w:tcW w:w="3600" w:type="dxa"/>
            <w:vAlign w:val="bottom"/>
            <w:tcBorders>
              <w:lef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tc>
        <w:tc>
          <w:tcPr>
            <w:tcW w:w="0" w:type="dxa"/>
            <w:vAlign w:val="bottom"/>
          </w:tcPr>
          <w:p>
            <w:pPr>
              <w:spacing w:after="0"/>
              <w:rPr>
                <w:sz w:val="1"/>
                <w:szCs w:val="1"/>
                <w:color w:val="auto"/>
              </w:rPr>
            </w:pPr>
          </w:p>
        </w:tc>
      </w:tr>
      <w:tr>
        <w:trPr>
          <w:trHeight w:val="366"/>
        </w:trPr>
        <w:tc>
          <w:tcPr>
            <w:tcW w:w="3600" w:type="dxa"/>
            <w:vAlign w:val="bottom"/>
            <w:tcBorders>
              <w:lef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600" w:type="dxa"/>
            <w:vAlign w:val="bottom"/>
            <w:tcBorders>
              <w:lef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600" w:type="dxa"/>
            <w:vAlign w:val="bottom"/>
            <w:tcBorders>
              <w:lef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t>
            </w:r>
          </w:p>
        </w:tc>
        <w:tc>
          <w:tcPr>
            <w:tcW w:w="0" w:type="dxa"/>
            <w:vAlign w:val="bottom"/>
          </w:tcPr>
          <w:p>
            <w:pPr>
              <w:spacing w:after="0"/>
              <w:rPr>
                <w:sz w:val="1"/>
                <w:szCs w:val="1"/>
                <w:color w:val="auto"/>
              </w:rPr>
            </w:pPr>
          </w:p>
        </w:tc>
      </w:tr>
      <w:tr>
        <w:trPr>
          <w:trHeight w:val="208"/>
        </w:trPr>
        <w:tc>
          <w:tcPr>
            <w:tcW w:w="3600" w:type="dxa"/>
            <w:vAlign w:val="bottom"/>
            <w:tcBorders>
              <w:lef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t>
            </w:r>
          </w:p>
        </w:tc>
        <w:tc>
          <w:tcPr>
            <w:tcW w:w="0" w:type="dxa"/>
            <w:vAlign w:val="bottom"/>
          </w:tcPr>
          <w:p>
            <w:pPr>
              <w:spacing w:after="0"/>
              <w:rPr>
                <w:sz w:val="1"/>
                <w:szCs w:val="1"/>
                <w:color w:val="auto"/>
              </w:rPr>
            </w:pPr>
          </w:p>
        </w:tc>
      </w:tr>
      <w:tr>
        <w:trPr>
          <w:trHeight w:val="36"/>
        </w:trPr>
        <w:tc>
          <w:tcPr>
            <w:tcW w:w="3600" w:type="dxa"/>
            <w:vAlign w:val="bottom"/>
            <w:tcBorders>
              <w:left w:val="single" w:sz="8" w:color="auto"/>
              <w:bottom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5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3600" w:type="dxa"/>
            <w:vAlign w:val="bottom"/>
            <w:tcBorders>
              <w:left w:val="single" w:sz="8" w:color="auto"/>
            </w:tcBorders>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Romulus Capital II, L.P.</w:t>
            </w:r>
          </w:p>
        </w:tc>
        <w:tc>
          <w:tcPr>
            <w:tcW w:w="2040" w:type="dxa"/>
            <w:vAlign w:val="bottom"/>
            <w:tcBorders>
              <w:right w:val="single" w:sz="8" w:color="auto"/>
            </w:tcBorders>
          </w:tcPr>
          <w:p>
            <w:pPr>
              <w:spacing w:after="0"/>
              <w:rPr>
                <w:sz w:val="14"/>
                <w:szCs w:val="14"/>
                <w:color w:val="auto"/>
              </w:rPr>
            </w:pPr>
          </w:p>
        </w:tc>
        <w:tc>
          <w:tcPr>
            <w:tcW w:w="5620" w:type="dxa"/>
            <w:vAlign w:val="bottom"/>
            <w:tcBorders>
              <w:right w:val="single" w:sz="8" w:color="auto"/>
            </w:tcBorders>
          </w:tcPr>
          <w:p>
            <w:pPr>
              <w:ind w:left="40"/>
              <w:spacing w:after="0" w:line="167" w:lineRule="exact"/>
              <w:rPr>
                <w:sz w:val="20"/>
                <w:szCs w:val="20"/>
                <w:color w:val="auto"/>
              </w:rPr>
            </w:pPr>
            <w:r>
              <w:rPr>
                <w:rFonts w:ascii="Times New Roman" w:cs="Times New Roman" w:eastAsia="Times New Roman" w:hAnsi="Times New Roman"/>
                <w:sz w:val="16"/>
                <w:szCs w:val="16"/>
                <w:color w:val="auto"/>
              </w:rPr>
              <w:t>Romulus Capital II, L.P.</w:t>
            </w:r>
          </w:p>
        </w:tc>
        <w:tc>
          <w:tcPr>
            <w:tcW w:w="0" w:type="dxa"/>
            <w:vAlign w:val="bottom"/>
          </w:tcPr>
          <w:p>
            <w:pPr>
              <w:spacing w:after="0"/>
              <w:rPr>
                <w:sz w:val="1"/>
                <w:szCs w:val="1"/>
                <w:color w:val="auto"/>
              </w:rPr>
            </w:pPr>
          </w:p>
        </w:tc>
      </w:tr>
      <w:tr>
        <w:trPr>
          <w:trHeight w:val="191"/>
        </w:trPr>
        <w:tc>
          <w:tcPr>
            <w:tcW w:w="3600" w:type="dxa"/>
            <w:vAlign w:val="bottom"/>
            <w:tcBorders>
              <w:lef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307 Harvard Street</w:t>
            </w:r>
          </w:p>
        </w:tc>
        <w:tc>
          <w:tcPr>
            <w:tcW w:w="0" w:type="dxa"/>
            <w:vAlign w:val="bottom"/>
          </w:tcPr>
          <w:p>
            <w:pPr>
              <w:spacing w:after="0"/>
              <w:rPr>
                <w:sz w:val="1"/>
                <w:szCs w:val="1"/>
                <w:color w:val="auto"/>
              </w:rPr>
            </w:pPr>
          </w:p>
        </w:tc>
      </w:tr>
      <w:tr>
        <w:trPr>
          <w:trHeight w:val="191"/>
        </w:trPr>
        <w:tc>
          <w:tcPr>
            <w:tcW w:w="3600" w:type="dxa"/>
            <w:vAlign w:val="bottom"/>
            <w:tcBorders>
              <w:lef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Cambridge, MA 02139</w:t>
            </w:r>
          </w:p>
        </w:tc>
        <w:tc>
          <w:tcPr>
            <w:tcW w:w="0" w:type="dxa"/>
            <w:vAlign w:val="bottom"/>
          </w:tcPr>
          <w:p>
            <w:pPr>
              <w:spacing w:after="0"/>
              <w:rPr>
                <w:sz w:val="1"/>
                <w:szCs w:val="1"/>
                <w:color w:val="auto"/>
              </w:rPr>
            </w:pPr>
          </w:p>
        </w:tc>
      </w:tr>
      <w:tr>
        <w:trPr>
          <w:trHeight w:val="191"/>
        </w:trPr>
        <w:tc>
          <w:tcPr>
            <w:tcW w:w="3600" w:type="dxa"/>
            <w:vAlign w:val="bottom"/>
            <w:tcBorders>
              <w:lef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Krishna Gupta</w:t>
            </w:r>
          </w:p>
        </w:tc>
        <w:tc>
          <w:tcPr>
            <w:tcW w:w="0" w:type="dxa"/>
            <w:vAlign w:val="bottom"/>
          </w:tcPr>
          <w:p>
            <w:pPr>
              <w:spacing w:after="0"/>
              <w:rPr>
                <w:sz w:val="1"/>
                <w:szCs w:val="1"/>
                <w:color w:val="auto"/>
              </w:rPr>
            </w:pPr>
          </w:p>
        </w:tc>
      </w:tr>
      <w:tr>
        <w:trPr>
          <w:trHeight w:val="208"/>
        </w:trPr>
        <w:tc>
          <w:tcPr>
            <w:tcW w:w="3600" w:type="dxa"/>
            <w:vAlign w:val="bottom"/>
            <w:tcBorders>
              <w:lef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kkg@romulusgroup.com</w:t>
            </w:r>
          </w:p>
        </w:tc>
        <w:tc>
          <w:tcPr>
            <w:tcW w:w="0" w:type="dxa"/>
            <w:vAlign w:val="bottom"/>
          </w:tcPr>
          <w:p>
            <w:pPr>
              <w:spacing w:after="0"/>
              <w:rPr>
                <w:sz w:val="1"/>
                <w:szCs w:val="1"/>
                <w:color w:val="auto"/>
              </w:rPr>
            </w:pPr>
          </w:p>
        </w:tc>
      </w:tr>
      <w:tr>
        <w:trPr>
          <w:trHeight w:val="382"/>
        </w:trPr>
        <w:tc>
          <w:tcPr>
            <w:tcW w:w="3600" w:type="dxa"/>
            <w:vAlign w:val="bottom"/>
            <w:tcBorders>
              <w:lef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tc>
        <w:tc>
          <w:tcPr>
            <w:tcW w:w="0" w:type="dxa"/>
            <w:vAlign w:val="bottom"/>
          </w:tcPr>
          <w:p>
            <w:pPr>
              <w:spacing w:after="0"/>
              <w:rPr>
                <w:sz w:val="1"/>
                <w:szCs w:val="1"/>
                <w:color w:val="auto"/>
              </w:rPr>
            </w:pPr>
          </w:p>
        </w:tc>
      </w:tr>
      <w:tr>
        <w:trPr>
          <w:trHeight w:val="366"/>
        </w:trPr>
        <w:tc>
          <w:tcPr>
            <w:tcW w:w="3600" w:type="dxa"/>
            <w:vAlign w:val="bottom"/>
            <w:tcBorders>
              <w:lef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Goodwin Procter LLP</w:t>
            </w:r>
          </w:p>
        </w:tc>
        <w:tc>
          <w:tcPr>
            <w:tcW w:w="0" w:type="dxa"/>
            <w:vAlign w:val="bottom"/>
          </w:tcPr>
          <w:p>
            <w:pPr>
              <w:spacing w:after="0"/>
              <w:rPr>
                <w:sz w:val="1"/>
                <w:szCs w:val="1"/>
                <w:color w:val="auto"/>
              </w:rPr>
            </w:pPr>
          </w:p>
        </w:tc>
      </w:tr>
      <w:tr>
        <w:trPr>
          <w:trHeight w:val="191"/>
        </w:trPr>
        <w:tc>
          <w:tcPr>
            <w:tcW w:w="3600" w:type="dxa"/>
            <w:vAlign w:val="bottom"/>
            <w:tcBorders>
              <w:lef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100 Northern Avenue</w:t>
            </w:r>
          </w:p>
        </w:tc>
        <w:tc>
          <w:tcPr>
            <w:tcW w:w="0" w:type="dxa"/>
            <w:vAlign w:val="bottom"/>
          </w:tcPr>
          <w:p>
            <w:pPr>
              <w:spacing w:after="0"/>
              <w:rPr>
                <w:sz w:val="1"/>
                <w:szCs w:val="1"/>
                <w:color w:val="auto"/>
              </w:rPr>
            </w:pPr>
          </w:p>
        </w:tc>
      </w:tr>
      <w:tr>
        <w:trPr>
          <w:trHeight w:val="191"/>
        </w:trPr>
        <w:tc>
          <w:tcPr>
            <w:tcW w:w="3600" w:type="dxa"/>
            <w:vAlign w:val="bottom"/>
            <w:tcBorders>
              <w:lef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Boston, MA 0221</w:t>
            </w:r>
          </w:p>
        </w:tc>
        <w:tc>
          <w:tcPr>
            <w:tcW w:w="0" w:type="dxa"/>
            <w:vAlign w:val="bottom"/>
          </w:tcPr>
          <w:p>
            <w:pPr>
              <w:spacing w:after="0"/>
              <w:rPr>
                <w:sz w:val="1"/>
                <w:szCs w:val="1"/>
                <w:color w:val="auto"/>
              </w:rPr>
            </w:pPr>
          </w:p>
        </w:tc>
      </w:tr>
      <w:tr>
        <w:trPr>
          <w:trHeight w:val="191"/>
        </w:trPr>
        <w:tc>
          <w:tcPr>
            <w:tcW w:w="3600" w:type="dxa"/>
            <w:vAlign w:val="bottom"/>
            <w:tcBorders>
              <w:lef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William Schnoor</w:t>
            </w:r>
          </w:p>
        </w:tc>
        <w:tc>
          <w:tcPr>
            <w:tcW w:w="0" w:type="dxa"/>
            <w:vAlign w:val="bottom"/>
          </w:tcPr>
          <w:p>
            <w:pPr>
              <w:spacing w:after="0"/>
              <w:rPr>
                <w:sz w:val="1"/>
                <w:szCs w:val="1"/>
                <w:color w:val="auto"/>
              </w:rPr>
            </w:pPr>
          </w:p>
        </w:tc>
      </w:tr>
      <w:tr>
        <w:trPr>
          <w:trHeight w:val="208"/>
        </w:trPr>
        <w:tc>
          <w:tcPr>
            <w:tcW w:w="3600" w:type="dxa"/>
            <w:vAlign w:val="bottom"/>
            <w:tcBorders>
              <w:lef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WSchnoor@goodwinlaw.com</w:t>
            </w:r>
          </w:p>
        </w:tc>
        <w:tc>
          <w:tcPr>
            <w:tcW w:w="0" w:type="dxa"/>
            <w:vAlign w:val="bottom"/>
          </w:tcPr>
          <w:p>
            <w:pPr>
              <w:spacing w:after="0"/>
              <w:rPr>
                <w:sz w:val="1"/>
                <w:szCs w:val="1"/>
                <w:color w:val="auto"/>
              </w:rPr>
            </w:pPr>
          </w:p>
        </w:tc>
      </w:tr>
      <w:tr>
        <w:trPr>
          <w:trHeight w:val="36"/>
        </w:trPr>
        <w:tc>
          <w:tcPr>
            <w:tcW w:w="3600" w:type="dxa"/>
            <w:vAlign w:val="bottom"/>
            <w:tcBorders>
              <w:left w:val="single" w:sz="8" w:color="auto"/>
              <w:bottom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5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93"/>
        </w:trPr>
        <w:tc>
          <w:tcPr>
            <w:tcW w:w="360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gridSpan w:val="2"/>
          </w:tcPr>
          <w:p>
            <w:pPr>
              <w:jc w:val="right"/>
              <w:ind w:right="5460"/>
              <w:spacing w:after="0"/>
              <w:rPr>
                <w:sz w:val="20"/>
                <w:szCs w:val="20"/>
                <w:color w:val="auto"/>
              </w:rPr>
            </w:pPr>
            <w:r>
              <w:rPr>
                <w:rFonts w:ascii="Times New Roman" w:cs="Times New Roman" w:eastAsia="Times New Roman" w:hAnsi="Times New Roman"/>
                <w:sz w:val="19"/>
                <w:szCs w:val="19"/>
                <w:color w:val="auto"/>
              </w:rPr>
              <w:t>24</w:t>
            </w:r>
          </w:p>
        </w:tc>
        <w:tc>
          <w:tcPr>
            <w:tcW w:w="0" w:type="dxa"/>
            <w:vAlign w:val="bottom"/>
          </w:tcPr>
          <w:p>
            <w:pPr>
              <w:spacing w:after="0"/>
              <w:rPr>
                <w:sz w:val="1"/>
                <w:szCs w:val="1"/>
                <w:color w:val="auto"/>
              </w:rPr>
            </w:pPr>
          </w:p>
        </w:tc>
      </w:tr>
    </w:tbl>
    <w:p>
      <w:pPr>
        <w:sectPr>
          <w:pgSz w:w="11900" w:h="16838" w:orient="portrait"/>
          <w:cols w:equalWidth="0" w:num="1">
            <w:col w:w="11260"/>
          </w:cols>
          <w:pgMar w:left="320" w:top="812" w:right="319" w:bottom="1440" w:gutter="0" w:footer="0" w:header="0"/>
        </w:sectPr>
      </w:pPr>
    </w:p>
    <w:bookmarkStart w:id="219" w:name="page220"/>
    <w:bookmarkEnd w:id="21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4260" w:type="dxa"/>
            <w:vAlign w:val="bottom"/>
            <w:tcBorders>
              <w:top w:val="single" w:sz="8" w:color="auto"/>
              <w:left w:val="single" w:sz="8" w:color="auto"/>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Romulus Capital III, L.P.</w:t>
            </w:r>
          </w:p>
        </w:tc>
        <w:tc>
          <w:tcPr>
            <w:tcW w:w="1380" w:type="dxa"/>
            <w:vAlign w:val="bottom"/>
            <w:tcBorders>
              <w:top w:val="single" w:sz="8" w:color="auto"/>
              <w:right w:val="single" w:sz="8" w:color="auto"/>
            </w:tcBorders>
          </w:tcPr>
          <w:p>
            <w:pPr>
              <w:spacing w:after="0"/>
              <w:rPr>
                <w:sz w:val="16"/>
                <w:szCs w:val="16"/>
                <w:color w:val="auto"/>
              </w:rPr>
            </w:pPr>
          </w:p>
        </w:tc>
        <w:tc>
          <w:tcPr>
            <w:tcW w:w="562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Romulus Capital II, L.P.</w:t>
            </w:r>
          </w:p>
        </w:tc>
        <w:tc>
          <w:tcPr>
            <w:tcW w:w="0" w:type="dxa"/>
            <w:vAlign w:val="bottom"/>
          </w:tcPr>
          <w:p>
            <w:pPr>
              <w:spacing w:after="0"/>
              <w:rPr>
                <w:sz w:val="1"/>
                <w:szCs w:val="1"/>
                <w:color w:val="auto"/>
              </w:rPr>
            </w:pPr>
          </w:p>
        </w:tc>
      </w:tr>
      <w:tr>
        <w:trPr>
          <w:trHeight w:val="191"/>
        </w:trPr>
        <w:tc>
          <w:tcPr>
            <w:tcW w:w="4260" w:type="dxa"/>
            <w:vAlign w:val="bottom"/>
            <w:tcBorders>
              <w:left w:val="single" w:sz="8" w:color="auto"/>
            </w:tcBorders>
            <w:vMerge w:val="continue"/>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307 Harvard Street</w:t>
            </w:r>
          </w:p>
        </w:tc>
        <w:tc>
          <w:tcPr>
            <w:tcW w:w="0" w:type="dxa"/>
            <w:vAlign w:val="bottom"/>
          </w:tcPr>
          <w:p>
            <w:pPr>
              <w:spacing w:after="0"/>
              <w:rPr>
                <w:sz w:val="1"/>
                <w:szCs w:val="1"/>
                <w:color w:val="auto"/>
              </w:rPr>
            </w:pPr>
          </w:p>
        </w:tc>
      </w:tr>
      <w:tr>
        <w:trPr>
          <w:trHeight w:val="191"/>
        </w:trPr>
        <w:tc>
          <w:tcPr>
            <w:tcW w:w="4260" w:type="dxa"/>
            <w:vAlign w:val="bottom"/>
            <w:tcBorders>
              <w:lef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Cambridge, MA 02139</w:t>
            </w:r>
          </w:p>
        </w:tc>
        <w:tc>
          <w:tcPr>
            <w:tcW w:w="0" w:type="dxa"/>
            <w:vAlign w:val="bottom"/>
          </w:tcPr>
          <w:p>
            <w:pPr>
              <w:spacing w:after="0"/>
              <w:rPr>
                <w:sz w:val="1"/>
                <w:szCs w:val="1"/>
                <w:color w:val="auto"/>
              </w:rPr>
            </w:pPr>
          </w:p>
        </w:tc>
      </w:tr>
      <w:tr>
        <w:trPr>
          <w:trHeight w:val="191"/>
        </w:trPr>
        <w:tc>
          <w:tcPr>
            <w:tcW w:w="4260" w:type="dxa"/>
            <w:vAlign w:val="bottom"/>
            <w:tcBorders>
              <w:lef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Krishna Gupta</w:t>
            </w:r>
          </w:p>
        </w:tc>
        <w:tc>
          <w:tcPr>
            <w:tcW w:w="0" w:type="dxa"/>
            <w:vAlign w:val="bottom"/>
          </w:tcPr>
          <w:p>
            <w:pPr>
              <w:spacing w:after="0"/>
              <w:rPr>
                <w:sz w:val="1"/>
                <w:szCs w:val="1"/>
                <w:color w:val="auto"/>
              </w:rPr>
            </w:pPr>
          </w:p>
        </w:tc>
      </w:tr>
      <w:tr>
        <w:trPr>
          <w:trHeight w:val="208"/>
        </w:trPr>
        <w:tc>
          <w:tcPr>
            <w:tcW w:w="4260" w:type="dxa"/>
            <w:vAlign w:val="bottom"/>
            <w:tcBorders>
              <w:lef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kkg@romulusgroup.com</w:t>
            </w:r>
          </w:p>
        </w:tc>
        <w:tc>
          <w:tcPr>
            <w:tcW w:w="0" w:type="dxa"/>
            <w:vAlign w:val="bottom"/>
          </w:tcPr>
          <w:p>
            <w:pPr>
              <w:spacing w:after="0"/>
              <w:rPr>
                <w:sz w:val="1"/>
                <w:szCs w:val="1"/>
                <w:color w:val="auto"/>
              </w:rPr>
            </w:pPr>
          </w:p>
        </w:tc>
      </w:tr>
      <w:tr>
        <w:trPr>
          <w:trHeight w:val="382"/>
        </w:trPr>
        <w:tc>
          <w:tcPr>
            <w:tcW w:w="4260" w:type="dxa"/>
            <w:vAlign w:val="bottom"/>
            <w:tcBorders>
              <w:lef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tc>
        <w:tc>
          <w:tcPr>
            <w:tcW w:w="0" w:type="dxa"/>
            <w:vAlign w:val="bottom"/>
          </w:tcPr>
          <w:p>
            <w:pPr>
              <w:spacing w:after="0"/>
              <w:rPr>
                <w:sz w:val="1"/>
                <w:szCs w:val="1"/>
                <w:color w:val="auto"/>
              </w:rPr>
            </w:pPr>
          </w:p>
        </w:tc>
      </w:tr>
      <w:tr>
        <w:trPr>
          <w:trHeight w:val="366"/>
        </w:trPr>
        <w:tc>
          <w:tcPr>
            <w:tcW w:w="4260" w:type="dxa"/>
            <w:vAlign w:val="bottom"/>
            <w:tcBorders>
              <w:lef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Goodwin Procter LLP</w:t>
            </w:r>
          </w:p>
        </w:tc>
        <w:tc>
          <w:tcPr>
            <w:tcW w:w="0" w:type="dxa"/>
            <w:vAlign w:val="bottom"/>
          </w:tcPr>
          <w:p>
            <w:pPr>
              <w:spacing w:after="0"/>
              <w:rPr>
                <w:sz w:val="1"/>
                <w:szCs w:val="1"/>
                <w:color w:val="auto"/>
              </w:rPr>
            </w:pPr>
          </w:p>
        </w:tc>
      </w:tr>
      <w:tr>
        <w:trPr>
          <w:trHeight w:val="191"/>
        </w:trPr>
        <w:tc>
          <w:tcPr>
            <w:tcW w:w="4260" w:type="dxa"/>
            <w:vAlign w:val="bottom"/>
            <w:tcBorders>
              <w:lef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100 Northern Avenue</w:t>
            </w:r>
          </w:p>
        </w:tc>
        <w:tc>
          <w:tcPr>
            <w:tcW w:w="0" w:type="dxa"/>
            <w:vAlign w:val="bottom"/>
          </w:tcPr>
          <w:p>
            <w:pPr>
              <w:spacing w:after="0"/>
              <w:rPr>
                <w:sz w:val="1"/>
                <w:szCs w:val="1"/>
                <w:color w:val="auto"/>
              </w:rPr>
            </w:pPr>
          </w:p>
        </w:tc>
      </w:tr>
      <w:tr>
        <w:trPr>
          <w:trHeight w:val="191"/>
        </w:trPr>
        <w:tc>
          <w:tcPr>
            <w:tcW w:w="4260" w:type="dxa"/>
            <w:vAlign w:val="bottom"/>
            <w:tcBorders>
              <w:lef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Boston, MA 0221</w:t>
            </w:r>
          </w:p>
        </w:tc>
        <w:tc>
          <w:tcPr>
            <w:tcW w:w="0" w:type="dxa"/>
            <w:vAlign w:val="bottom"/>
          </w:tcPr>
          <w:p>
            <w:pPr>
              <w:spacing w:after="0"/>
              <w:rPr>
                <w:sz w:val="1"/>
                <w:szCs w:val="1"/>
                <w:color w:val="auto"/>
              </w:rPr>
            </w:pPr>
          </w:p>
        </w:tc>
      </w:tr>
      <w:tr>
        <w:trPr>
          <w:trHeight w:val="191"/>
        </w:trPr>
        <w:tc>
          <w:tcPr>
            <w:tcW w:w="4260" w:type="dxa"/>
            <w:vAlign w:val="bottom"/>
            <w:tcBorders>
              <w:lef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William Schnoor</w:t>
            </w:r>
          </w:p>
        </w:tc>
        <w:tc>
          <w:tcPr>
            <w:tcW w:w="0" w:type="dxa"/>
            <w:vAlign w:val="bottom"/>
          </w:tcPr>
          <w:p>
            <w:pPr>
              <w:spacing w:after="0"/>
              <w:rPr>
                <w:sz w:val="1"/>
                <w:szCs w:val="1"/>
                <w:color w:val="auto"/>
              </w:rPr>
            </w:pPr>
          </w:p>
        </w:tc>
      </w:tr>
      <w:tr>
        <w:trPr>
          <w:trHeight w:val="208"/>
        </w:trPr>
        <w:tc>
          <w:tcPr>
            <w:tcW w:w="4260" w:type="dxa"/>
            <w:vAlign w:val="bottom"/>
            <w:tcBorders>
              <w:lef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WSchnoor@goodwinlaw.com</w:t>
            </w:r>
          </w:p>
        </w:tc>
        <w:tc>
          <w:tcPr>
            <w:tcW w:w="0" w:type="dxa"/>
            <w:vAlign w:val="bottom"/>
          </w:tcPr>
          <w:p>
            <w:pPr>
              <w:spacing w:after="0"/>
              <w:rPr>
                <w:sz w:val="1"/>
                <w:szCs w:val="1"/>
                <w:color w:val="auto"/>
              </w:rPr>
            </w:pPr>
          </w:p>
        </w:tc>
      </w:tr>
      <w:tr>
        <w:trPr>
          <w:trHeight w:val="36"/>
        </w:trPr>
        <w:tc>
          <w:tcPr>
            <w:tcW w:w="4260" w:type="dxa"/>
            <w:vAlign w:val="bottom"/>
            <w:tcBorders>
              <w:left w:val="single" w:sz="8" w:color="auto"/>
              <w:bottom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5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4260" w:type="dxa"/>
            <w:vAlign w:val="bottom"/>
            <w:tcBorders>
              <w:left w:val="single" w:sz="8" w:color="auto"/>
            </w:tcBorders>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Romulus ELC B3 Special Opportunity, L.P.</w:t>
            </w:r>
          </w:p>
        </w:tc>
        <w:tc>
          <w:tcPr>
            <w:tcW w:w="1380" w:type="dxa"/>
            <w:vAlign w:val="bottom"/>
            <w:tcBorders>
              <w:right w:val="single" w:sz="8" w:color="auto"/>
            </w:tcBorders>
          </w:tcPr>
          <w:p>
            <w:pPr>
              <w:spacing w:after="0"/>
              <w:rPr>
                <w:sz w:val="14"/>
                <w:szCs w:val="14"/>
                <w:color w:val="auto"/>
              </w:rPr>
            </w:pPr>
          </w:p>
        </w:tc>
        <w:tc>
          <w:tcPr>
            <w:tcW w:w="5620" w:type="dxa"/>
            <w:vAlign w:val="bottom"/>
            <w:tcBorders>
              <w:right w:val="single" w:sz="8" w:color="auto"/>
            </w:tcBorders>
          </w:tcPr>
          <w:p>
            <w:pPr>
              <w:ind w:left="40"/>
              <w:spacing w:after="0" w:line="167" w:lineRule="exact"/>
              <w:rPr>
                <w:sz w:val="20"/>
                <w:szCs w:val="20"/>
                <w:color w:val="auto"/>
              </w:rPr>
            </w:pPr>
            <w:r>
              <w:rPr>
                <w:rFonts w:ascii="Times New Roman" w:cs="Times New Roman" w:eastAsia="Times New Roman" w:hAnsi="Times New Roman"/>
                <w:sz w:val="16"/>
                <w:szCs w:val="16"/>
                <w:color w:val="auto"/>
              </w:rPr>
              <w:t>Romulus Capital II, L.P.</w:t>
            </w:r>
          </w:p>
        </w:tc>
        <w:tc>
          <w:tcPr>
            <w:tcW w:w="0" w:type="dxa"/>
            <w:vAlign w:val="bottom"/>
          </w:tcPr>
          <w:p>
            <w:pPr>
              <w:spacing w:after="0"/>
              <w:rPr>
                <w:sz w:val="1"/>
                <w:szCs w:val="1"/>
                <w:color w:val="auto"/>
              </w:rPr>
            </w:pPr>
          </w:p>
        </w:tc>
      </w:tr>
      <w:tr>
        <w:trPr>
          <w:trHeight w:val="191"/>
        </w:trPr>
        <w:tc>
          <w:tcPr>
            <w:tcW w:w="4260" w:type="dxa"/>
            <w:vAlign w:val="bottom"/>
            <w:tcBorders>
              <w:lef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307 Harvard Street</w:t>
            </w:r>
          </w:p>
        </w:tc>
        <w:tc>
          <w:tcPr>
            <w:tcW w:w="0" w:type="dxa"/>
            <w:vAlign w:val="bottom"/>
          </w:tcPr>
          <w:p>
            <w:pPr>
              <w:spacing w:after="0"/>
              <w:rPr>
                <w:sz w:val="1"/>
                <w:szCs w:val="1"/>
                <w:color w:val="auto"/>
              </w:rPr>
            </w:pPr>
          </w:p>
        </w:tc>
      </w:tr>
      <w:tr>
        <w:trPr>
          <w:trHeight w:val="191"/>
        </w:trPr>
        <w:tc>
          <w:tcPr>
            <w:tcW w:w="4260" w:type="dxa"/>
            <w:vAlign w:val="bottom"/>
            <w:tcBorders>
              <w:lef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Cambridge, MA 02139</w:t>
            </w:r>
          </w:p>
        </w:tc>
        <w:tc>
          <w:tcPr>
            <w:tcW w:w="0" w:type="dxa"/>
            <w:vAlign w:val="bottom"/>
          </w:tcPr>
          <w:p>
            <w:pPr>
              <w:spacing w:after="0"/>
              <w:rPr>
                <w:sz w:val="1"/>
                <w:szCs w:val="1"/>
                <w:color w:val="auto"/>
              </w:rPr>
            </w:pPr>
          </w:p>
        </w:tc>
      </w:tr>
      <w:tr>
        <w:trPr>
          <w:trHeight w:val="191"/>
        </w:trPr>
        <w:tc>
          <w:tcPr>
            <w:tcW w:w="4260" w:type="dxa"/>
            <w:vAlign w:val="bottom"/>
            <w:tcBorders>
              <w:lef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Krishna Gupta</w:t>
            </w:r>
          </w:p>
        </w:tc>
        <w:tc>
          <w:tcPr>
            <w:tcW w:w="0" w:type="dxa"/>
            <w:vAlign w:val="bottom"/>
          </w:tcPr>
          <w:p>
            <w:pPr>
              <w:spacing w:after="0"/>
              <w:rPr>
                <w:sz w:val="1"/>
                <w:szCs w:val="1"/>
                <w:color w:val="auto"/>
              </w:rPr>
            </w:pPr>
          </w:p>
        </w:tc>
      </w:tr>
      <w:tr>
        <w:trPr>
          <w:trHeight w:val="208"/>
        </w:trPr>
        <w:tc>
          <w:tcPr>
            <w:tcW w:w="4260" w:type="dxa"/>
            <w:vAlign w:val="bottom"/>
            <w:tcBorders>
              <w:lef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kkg@romulusgroup.com</w:t>
            </w:r>
          </w:p>
        </w:tc>
        <w:tc>
          <w:tcPr>
            <w:tcW w:w="0" w:type="dxa"/>
            <w:vAlign w:val="bottom"/>
          </w:tcPr>
          <w:p>
            <w:pPr>
              <w:spacing w:after="0"/>
              <w:rPr>
                <w:sz w:val="1"/>
                <w:szCs w:val="1"/>
                <w:color w:val="auto"/>
              </w:rPr>
            </w:pPr>
          </w:p>
        </w:tc>
      </w:tr>
      <w:tr>
        <w:trPr>
          <w:trHeight w:val="382"/>
        </w:trPr>
        <w:tc>
          <w:tcPr>
            <w:tcW w:w="4260" w:type="dxa"/>
            <w:vAlign w:val="bottom"/>
            <w:tcBorders>
              <w:lef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tc>
        <w:tc>
          <w:tcPr>
            <w:tcW w:w="0" w:type="dxa"/>
            <w:vAlign w:val="bottom"/>
          </w:tcPr>
          <w:p>
            <w:pPr>
              <w:spacing w:after="0"/>
              <w:rPr>
                <w:sz w:val="1"/>
                <w:szCs w:val="1"/>
                <w:color w:val="auto"/>
              </w:rPr>
            </w:pPr>
          </w:p>
        </w:tc>
      </w:tr>
      <w:tr>
        <w:trPr>
          <w:trHeight w:val="366"/>
        </w:trPr>
        <w:tc>
          <w:tcPr>
            <w:tcW w:w="4260" w:type="dxa"/>
            <w:vAlign w:val="bottom"/>
            <w:tcBorders>
              <w:lef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Goodwin Procter LLP</w:t>
            </w:r>
          </w:p>
        </w:tc>
        <w:tc>
          <w:tcPr>
            <w:tcW w:w="0" w:type="dxa"/>
            <w:vAlign w:val="bottom"/>
          </w:tcPr>
          <w:p>
            <w:pPr>
              <w:spacing w:after="0"/>
              <w:rPr>
                <w:sz w:val="1"/>
                <w:szCs w:val="1"/>
                <w:color w:val="auto"/>
              </w:rPr>
            </w:pPr>
          </w:p>
        </w:tc>
      </w:tr>
      <w:tr>
        <w:trPr>
          <w:trHeight w:val="191"/>
        </w:trPr>
        <w:tc>
          <w:tcPr>
            <w:tcW w:w="4260" w:type="dxa"/>
            <w:vAlign w:val="bottom"/>
            <w:tcBorders>
              <w:lef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100 Northern Avenue</w:t>
            </w:r>
          </w:p>
        </w:tc>
        <w:tc>
          <w:tcPr>
            <w:tcW w:w="0" w:type="dxa"/>
            <w:vAlign w:val="bottom"/>
          </w:tcPr>
          <w:p>
            <w:pPr>
              <w:spacing w:after="0"/>
              <w:rPr>
                <w:sz w:val="1"/>
                <w:szCs w:val="1"/>
                <w:color w:val="auto"/>
              </w:rPr>
            </w:pPr>
          </w:p>
        </w:tc>
      </w:tr>
      <w:tr>
        <w:trPr>
          <w:trHeight w:val="191"/>
        </w:trPr>
        <w:tc>
          <w:tcPr>
            <w:tcW w:w="4260" w:type="dxa"/>
            <w:vAlign w:val="bottom"/>
            <w:tcBorders>
              <w:lef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Boston, MA 0221</w:t>
            </w:r>
          </w:p>
        </w:tc>
        <w:tc>
          <w:tcPr>
            <w:tcW w:w="0" w:type="dxa"/>
            <w:vAlign w:val="bottom"/>
          </w:tcPr>
          <w:p>
            <w:pPr>
              <w:spacing w:after="0"/>
              <w:rPr>
                <w:sz w:val="1"/>
                <w:szCs w:val="1"/>
                <w:color w:val="auto"/>
              </w:rPr>
            </w:pPr>
          </w:p>
        </w:tc>
      </w:tr>
      <w:tr>
        <w:trPr>
          <w:trHeight w:val="191"/>
        </w:trPr>
        <w:tc>
          <w:tcPr>
            <w:tcW w:w="4260" w:type="dxa"/>
            <w:vAlign w:val="bottom"/>
            <w:tcBorders>
              <w:lef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William Schnoor</w:t>
            </w:r>
          </w:p>
        </w:tc>
        <w:tc>
          <w:tcPr>
            <w:tcW w:w="0" w:type="dxa"/>
            <w:vAlign w:val="bottom"/>
          </w:tcPr>
          <w:p>
            <w:pPr>
              <w:spacing w:after="0"/>
              <w:rPr>
                <w:sz w:val="1"/>
                <w:szCs w:val="1"/>
                <w:color w:val="auto"/>
              </w:rPr>
            </w:pPr>
          </w:p>
        </w:tc>
      </w:tr>
      <w:tr>
        <w:trPr>
          <w:trHeight w:val="208"/>
        </w:trPr>
        <w:tc>
          <w:tcPr>
            <w:tcW w:w="4260" w:type="dxa"/>
            <w:vAlign w:val="bottom"/>
            <w:tcBorders>
              <w:lef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WSchnoor@goodwinlaw.com</w:t>
            </w:r>
          </w:p>
        </w:tc>
        <w:tc>
          <w:tcPr>
            <w:tcW w:w="0" w:type="dxa"/>
            <w:vAlign w:val="bottom"/>
          </w:tcPr>
          <w:p>
            <w:pPr>
              <w:spacing w:after="0"/>
              <w:rPr>
                <w:sz w:val="1"/>
                <w:szCs w:val="1"/>
                <w:color w:val="auto"/>
              </w:rPr>
            </w:pPr>
          </w:p>
        </w:tc>
      </w:tr>
      <w:tr>
        <w:trPr>
          <w:trHeight w:val="36"/>
        </w:trPr>
        <w:tc>
          <w:tcPr>
            <w:tcW w:w="4260" w:type="dxa"/>
            <w:vAlign w:val="bottom"/>
            <w:tcBorders>
              <w:left w:val="single" w:sz="8" w:color="auto"/>
              <w:bottom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5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4260" w:type="dxa"/>
            <w:vAlign w:val="bottom"/>
            <w:tcBorders>
              <w:left w:val="single" w:sz="8" w:color="auto"/>
            </w:tcBorders>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PRESTO CA LLC</w:t>
            </w:r>
          </w:p>
        </w:tc>
        <w:tc>
          <w:tcPr>
            <w:tcW w:w="1380" w:type="dxa"/>
            <w:vAlign w:val="bottom"/>
            <w:tcBorders>
              <w:right w:val="single" w:sz="8" w:color="auto"/>
            </w:tcBorders>
          </w:tcPr>
          <w:p>
            <w:pPr>
              <w:spacing w:after="0"/>
              <w:rPr>
                <w:sz w:val="14"/>
                <w:szCs w:val="14"/>
                <w:color w:val="auto"/>
              </w:rPr>
            </w:pPr>
          </w:p>
        </w:tc>
        <w:tc>
          <w:tcPr>
            <w:tcW w:w="5620" w:type="dxa"/>
            <w:vAlign w:val="bottom"/>
            <w:tcBorders>
              <w:right w:val="single" w:sz="8" w:color="auto"/>
            </w:tcBorders>
          </w:tcPr>
          <w:p>
            <w:pPr>
              <w:ind w:left="40"/>
              <w:spacing w:after="0" w:line="167"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4260" w:type="dxa"/>
            <w:vAlign w:val="bottom"/>
            <w:tcBorders>
              <w:lef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t>
            </w:r>
          </w:p>
        </w:tc>
        <w:tc>
          <w:tcPr>
            <w:tcW w:w="0" w:type="dxa"/>
            <w:vAlign w:val="bottom"/>
          </w:tcPr>
          <w:p>
            <w:pPr>
              <w:spacing w:after="0"/>
              <w:rPr>
                <w:sz w:val="1"/>
                <w:szCs w:val="1"/>
                <w:color w:val="auto"/>
              </w:rPr>
            </w:pPr>
          </w:p>
        </w:tc>
      </w:tr>
      <w:tr>
        <w:trPr>
          <w:trHeight w:val="208"/>
        </w:trPr>
        <w:tc>
          <w:tcPr>
            <w:tcW w:w="4260" w:type="dxa"/>
            <w:vAlign w:val="bottom"/>
            <w:tcBorders>
              <w:lef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t>
            </w:r>
          </w:p>
        </w:tc>
        <w:tc>
          <w:tcPr>
            <w:tcW w:w="0" w:type="dxa"/>
            <w:vAlign w:val="bottom"/>
          </w:tcPr>
          <w:p>
            <w:pPr>
              <w:spacing w:after="0"/>
              <w:rPr>
                <w:sz w:val="1"/>
                <w:szCs w:val="1"/>
                <w:color w:val="auto"/>
              </w:rPr>
            </w:pPr>
          </w:p>
        </w:tc>
      </w:tr>
      <w:tr>
        <w:trPr>
          <w:trHeight w:val="382"/>
        </w:trPr>
        <w:tc>
          <w:tcPr>
            <w:tcW w:w="4260" w:type="dxa"/>
            <w:vAlign w:val="bottom"/>
            <w:tcBorders>
              <w:lef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tc>
        <w:tc>
          <w:tcPr>
            <w:tcW w:w="0" w:type="dxa"/>
            <w:vAlign w:val="bottom"/>
          </w:tcPr>
          <w:p>
            <w:pPr>
              <w:spacing w:after="0"/>
              <w:rPr>
                <w:sz w:val="1"/>
                <w:szCs w:val="1"/>
                <w:color w:val="auto"/>
              </w:rPr>
            </w:pPr>
          </w:p>
        </w:tc>
      </w:tr>
      <w:tr>
        <w:trPr>
          <w:trHeight w:val="366"/>
        </w:trPr>
        <w:tc>
          <w:tcPr>
            <w:tcW w:w="4260" w:type="dxa"/>
            <w:vAlign w:val="bottom"/>
            <w:tcBorders>
              <w:lef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4260" w:type="dxa"/>
            <w:vAlign w:val="bottom"/>
            <w:tcBorders>
              <w:lef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4260" w:type="dxa"/>
            <w:vAlign w:val="bottom"/>
            <w:tcBorders>
              <w:lef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t>
            </w:r>
          </w:p>
        </w:tc>
        <w:tc>
          <w:tcPr>
            <w:tcW w:w="0" w:type="dxa"/>
            <w:vAlign w:val="bottom"/>
          </w:tcPr>
          <w:p>
            <w:pPr>
              <w:spacing w:after="0"/>
              <w:rPr>
                <w:sz w:val="1"/>
                <w:szCs w:val="1"/>
                <w:color w:val="auto"/>
              </w:rPr>
            </w:pPr>
          </w:p>
        </w:tc>
      </w:tr>
      <w:tr>
        <w:trPr>
          <w:trHeight w:val="208"/>
        </w:trPr>
        <w:tc>
          <w:tcPr>
            <w:tcW w:w="4260" w:type="dxa"/>
            <w:vAlign w:val="bottom"/>
            <w:tcBorders>
              <w:lef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t>
            </w:r>
          </w:p>
        </w:tc>
        <w:tc>
          <w:tcPr>
            <w:tcW w:w="0" w:type="dxa"/>
            <w:vAlign w:val="bottom"/>
          </w:tcPr>
          <w:p>
            <w:pPr>
              <w:spacing w:after="0"/>
              <w:rPr>
                <w:sz w:val="1"/>
                <w:szCs w:val="1"/>
                <w:color w:val="auto"/>
              </w:rPr>
            </w:pPr>
          </w:p>
        </w:tc>
      </w:tr>
      <w:tr>
        <w:trPr>
          <w:trHeight w:val="36"/>
        </w:trPr>
        <w:tc>
          <w:tcPr>
            <w:tcW w:w="4260" w:type="dxa"/>
            <w:vAlign w:val="bottom"/>
            <w:tcBorders>
              <w:left w:val="single" w:sz="8" w:color="auto"/>
              <w:bottom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5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4260" w:type="dxa"/>
            <w:vAlign w:val="bottom"/>
            <w:tcBorders>
              <w:left w:val="single" w:sz="8" w:color="auto"/>
            </w:tcBorders>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Rajat Suri</w:t>
            </w:r>
          </w:p>
        </w:tc>
        <w:tc>
          <w:tcPr>
            <w:tcW w:w="1380" w:type="dxa"/>
            <w:vAlign w:val="bottom"/>
            <w:tcBorders>
              <w:right w:val="single" w:sz="8" w:color="auto"/>
            </w:tcBorders>
          </w:tcPr>
          <w:p>
            <w:pPr>
              <w:spacing w:after="0"/>
              <w:rPr>
                <w:sz w:val="14"/>
                <w:szCs w:val="14"/>
                <w:color w:val="auto"/>
              </w:rPr>
            </w:pPr>
          </w:p>
        </w:tc>
        <w:tc>
          <w:tcPr>
            <w:tcW w:w="5620" w:type="dxa"/>
            <w:vAlign w:val="bottom"/>
            <w:tcBorders>
              <w:right w:val="single" w:sz="8" w:color="auto"/>
            </w:tcBorders>
          </w:tcPr>
          <w:p>
            <w:pPr>
              <w:ind w:left="40"/>
              <w:spacing w:after="0" w:line="167"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4260" w:type="dxa"/>
            <w:vAlign w:val="bottom"/>
            <w:tcBorders>
              <w:lef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Rajat Suri</w:t>
            </w:r>
          </w:p>
        </w:tc>
        <w:tc>
          <w:tcPr>
            <w:tcW w:w="0" w:type="dxa"/>
            <w:vAlign w:val="bottom"/>
          </w:tcPr>
          <w:p>
            <w:pPr>
              <w:spacing w:after="0"/>
              <w:rPr>
                <w:sz w:val="1"/>
                <w:szCs w:val="1"/>
                <w:color w:val="auto"/>
              </w:rPr>
            </w:pPr>
          </w:p>
        </w:tc>
      </w:tr>
      <w:tr>
        <w:trPr>
          <w:trHeight w:val="208"/>
        </w:trPr>
        <w:tc>
          <w:tcPr>
            <w:tcW w:w="4260" w:type="dxa"/>
            <w:vAlign w:val="bottom"/>
            <w:tcBorders>
              <w:lef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raj@presto.com</w:t>
            </w:r>
          </w:p>
        </w:tc>
        <w:tc>
          <w:tcPr>
            <w:tcW w:w="0" w:type="dxa"/>
            <w:vAlign w:val="bottom"/>
          </w:tcPr>
          <w:p>
            <w:pPr>
              <w:spacing w:after="0"/>
              <w:rPr>
                <w:sz w:val="1"/>
                <w:szCs w:val="1"/>
                <w:color w:val="auto"/>
              </w:rPr>
            </w:pPr>
          </w:p>
        </w:tc>
      </w:tr>
      <w:tr>
        <w:trPr>
          <w:trHeight w:val="382"/>
        </w:trPr>
        <w:tc>
          <w:tcPr>
            <w:tcW w:w="4260" w:type="dxa"/>
            <w:vAlign w:val="bottom"/>
            <w:tcBorders>
              <w:lef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tc>
        <w:tc>
          <w:tcPr>
            <w:tcW w:w="0" w:type="dxa"/>
            <w:vAlign w:val="bottom"/>
          </w:tcPr>
          <w:p>
            <w:pPr>
              <w:spacing w:after="0"/>
              <w:rPr>
                <w:sz w:val="1"/>
                <w:szCs w:val="1"/>
                <w:color w:val="auto"/>
              </w:rPr>
            </w:pPr>
          </w:p>
        </w:tc>
      </w:tr>
      <w:tr>
        <w:trPr>
          <w:trHeight w:val="366"/>
        </w:trPr>
        <w:tc>
          <w:tcPr>
            <w:tcW w:w="4260" w:type="dxa"/>
            <w:vAlign w:val="bottom"/>
            <w:tcBorders>
              <w:lef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4260" w:type="dxa"/>
            <w:vAlign w:val="bottom"/>
            <w:tcBorders>
              <w:lef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4260" w:type="dxa"/>
            <w:vAlign w:val="bottom"/>
            <w:tcBorders>
              <w:lef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t>
            </w:r>
          </w:p>
        </w:tc>
        <w:tc>
          <w:tcPr>
            <w:tcW w:w="0" w:type="dxa"/>
            <w:vAlign w:val="bottom"/>
          </w:tcPr>
          <w:p>
            <w:pPr>
              <w:spacing w:after="0"/>
              <w:rPr>
                <w:sz w:val="1"/>
                <w:szCs w:val="1"/>
                <w:color w:val="auto"/>
              </w:rPr>
            </w:pPr>
          </w:p>
        </w:tc>
      </w:tr>
      <w:tr>
        <w:trPr>
          <w:trHeight w:val="208"/>
        </w:trPr>
        <w:tc>
          <w:tcPr>
            <w:tcW w:w="4260" w:type="dxa"/>
            <w:vAlign w:val="bottom"/>
            <w:tcBorders>
              <w:lef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t>
            </w:r>
          </w:p>
        </w:tc>
        <w:tc>
          <w:tcPr>
            <w:tcW w:w="0" w:type="dxa"/>
            <w:vAlign w:val="bottom"/>
          </w:tcPr>
          <w:p>
            <w:pPr>
              <w:spacing w:after="0"/>
              <w:rPr>
                <w:sz w:val="1"/>
                <w:szCs w:val="1"/>
                <w:color w:val="auto"/>
              </w:rPr>
            </w:pPr>
          </w:p>
        </w:tc>
      </w:tr>
      <w:tr>
        <w:trPr>
          <w:trHeight w:val="36"/>
        </w:trPr>
        <w:tc>
          <w:tcPr>
            <w:tcW w:w="4260" w:type="dxa"/>
            <w:vAlign w:val="bottom"/>
            <w:tcBorders>
              <w:left w:val="single" w:sz="8" w:color="auto"/>
              <w:bottom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5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4260" w:type="dxa"/>
            <w:vAlign w:val="bottom"/>
            <w:tcBorders>
              <w:left w:val="single" w:sz="8" w:color="auto"/>
            </w:tcBorders>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Ashish Gupta</w:t>
            </w:r>
          </w:p>
        </w:tc>
        <w:tc>
          <w:tcPr>
            <w:tcW w:w="1380" w:type="dxa"/>
            <w:vAlign w:val="bottom"/>
            <w:tcBorders>
              <w:right w:val="single" w:sz="8" w:color="auto"/>
            </w:tcBorders>
          </w:tcPr>
          <w:p>
            <w:pPr>
              <w:spacing w:after="0"/>
              <w:rPr>
                <w:sz w:val="14"/>
                <w:szCs w:val="14"/>
                <w:color w:val="auto"/>
              </w:rPr>
            </w:pPr>
          </w:p>
        </w:tc>
        <w:tc>
          <w:tcPr>
            <w:tcW w:w="5620" w:type="dxa"/>
            <w:vAlign w:val="bottom"/>
            <w:tcBorders>
              <w:right w:val="single" w:sz="8" w:color="auto"/>
            </w:tcBorders>
          </w:tcPr>
          <w:p>
            <w:pPr>
              <w:ind w:left="40"/>
              <w:spacing w:after="0" w:line="167"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4260" w:type="dxa"/>
            <w:vAlign w:val="bottom"/>
            <w:tcBorders>
              <w:lef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Ashish Gupta</w:t>
            </w:r>
          </w:p>
        </w:tc>
        <w:tc>
          <w:tcPr>
            <w:tcW w:w="0" w:type="dxa"/>
            <w:vAlign w:val="bottom"/>
          </w:tcPr>
          <w:p>
            <w:pPr>
              <w:spacing w:after="0"/>
              <w:rPr>
                <w:sz w:val="1"/>
                <w:szCs w:val="1"/>
                <w:color w:val="auto"/>
              </w:rPr>
            </w:pPr>
          </w:p>
        </w:tc>
      </w:tr>
      <w:tr>
        <w:trPr>
          <w:trHeight w:val="382"/>
        </w:trPr>
        <w:tc>
          <w:tcPr>
            <w:tcW w:w="4260" w:type="dxa"/>
            <w:vAlign w:val="bottom"/>
            <w:tcBorders>
              <w:lef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ashish@presto.com</w:t>
            </w:r>
          </w:p>
        </w:tc>
        <w:tc>
          <w:tcPr>
            <w:tcW w:w="0" w:type="dxa"/>
            <w:vAlign w:val="bottom"/>
          </w:tcPr>
          <w:p>
            <w:pPr>
              <w:spacing w:after="0"/>
              <w:rPr>
                <w:sz w:val="1"/>
                <w:szCs w:val="1"/>
                <w:color w:val="auto"/>
              </w:rPr>
            </w:pPr>
          </w:p>
        </w:tc>
      </w:tr>
      <w:tr>
        <w:trPr>
          <w:trHeight w:val="366"/>
        </w:trPr>
        <w:tc>
          <w:tcPr>
            <w:tcW w:w="4260" w:type="dxa"/>
            <w:vAlign w:val="bottom"/>
            <w:tcBorders>
              <w:lef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tc>
        <w:tc>
          <w:tcPr>
            <w:tcW w:w="0" w:type="dxa"/>
            <w:vAlign w:val="bottom"/>
          </w:tcPr>
          <w:p>
            <w:pPr>
              <w:spacing w:after="0"/>
              <w:rPr>
                <w:sz w:val="1"/>
                <w:szCs w:val="1"/>
                <w:color w:val="auto"/>
              </w:rPr>
            </w:pPr>
          </w:p>
        </w:tc>
      </w:tr>
      <w:tr>
        <w:trPr>
          <w:trHeight w:val="191"/>
        </w:trPr>
        <w:tc>
          <w:tcPr>
            <w:tcW w:w="4260" w:type="dxa"/>
            <w:vAlign w:val="bottom"/>
            <w:tcBorders>
              <w:lef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4260" w:type="dxa"/>
            <w:vAlign w:val="bottom"/>
            <w:tcBorders>
              <w:lef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4260" w:type="dxa"/>
            <w:vAlign w:val="bottom"/>
            <w:tcBorders>
              <w:lef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t>
            </w:r>
          </w:p>
        </w:tc>
        <w:tc>
          <w:tcPr>
            <w:tcW w:w="0" w:type="dxa"/>
            <w:vAlign w:val="bottom"/>
          </w:tcPr>
          <w:p>
            <w:pPr>
              <w:spacing w:after="0"/>
              <w:rPr>
                <w:sz w:val="1"/>
                <w:szCs w:val="1"/>
                <w:color w:val="auto"/>
              </w:rPr>
            </w:pPr>
          </w:p>
        </w:tc>
      </w:tr>
      <w:tr>
        <w:trPr>
          <w:trHeight w:val="208"/>
        </w:trPr>
        <w:tc>
          <w:tcPr>
            <w:tcW w:w="4260" w:type="dxa"/>
            <w:vAlign w:val="bottom"/>
            <w:tcBorders>
              <w:lef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t>
            </w:r>
          </w:p>
        </w:tc>
        <w:tc>
          <w:tcPr>
            <w:tcW w:w="0" w:type="dxa"/>
            <w:vAlign w:val="bottom"/>
          </w:tcPr>
          <w:p>
            <w:pPr>
              <w:spacing w:after="0"/>
              <w:rPr>
                <w:sz w:val="1"/>
                <w:szCs w:val="1"/>
                <w:color w:val="auto"/>
              </w:rPr>
            </w:pPr>
          </w:p>
        </w:tc>
      </w:tr>
      <w:tr>
        <w:trPr>
          <w:trHeight w:val="36"/>
        </w:trPr>
        <w:tc>
          <w:tcPr>
            <w:tcW w:w="4260" w:type="dxa"/>
            <w:vAlign w:val="bottom"/>
            <w:tcBorders>
              <w:left w:val="single" w:sz="8" w:color="auto"/>
              <w:bottom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5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93"/>
        </w:trPr>
        <w:tc>
          <w:tcPr>
            <w:tcW w:w="426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gridSpan w:val="2"/>
          </w:tcPr>
          <w:p>
            <w:pPr>
              <w:jc w:val="right"/>
              <w:ind w:right="5460"/>
              <w:spacing w:after="0"/>
              <w:rPr>
                <w:sz w:val="20"/>
                <w:szCs w:val="20"/>
                <w:color w:val="auto"/>
              </w:rPr>
            </w:pPr>
            <w:r>
              <w:rPr>
                <w:rFonts w:ascii="Times New Roman" w:cs="Times New Roman" w:eastAsia="Times New Roman" w:hAnsi="Times New Roman"/>
                <w:sz w:val="19"/>
                <w:szCs w:val="19"/>
                <w:color w:val="auto"/>
              </w:rPr>
              <w:t>25</w:t>
            </w:r>
          </w:p>
        </w:tc>
        <w:tc>
          <w:tcPr>
            <w:tcW w:w="0" w:type="dxa"/>
            <w:vAlign w:val="bottom"/>
          </w:tcPr>
          <w:p>
            <w:pPr>
              <w:spacing w:after="0"/>
              <w:rPr>
                <w:sz w:val="1"/>
                <w:szCs w:val="1"/>
                <w:color w:val="auto"/>
              </w:rPr>
            </w:pPr>
          </w:p>
        </w:tc>
      </w:tr>
    </w:tbl>
    <w:p>
      <w:pPr>
        <w:sectPr>
          <w:pgSz w:w="11900" w:h="16838" w:orient="portrait"/>
          <w:cols w:equalWidth="0" w:num="1">
            <w:col w:w="11260"/>
          </w:cols>
          <w:pgMar w:left="320" w:top="813" w:right="319" w:bottom="1440" w:gutter="0" w:footer="0" w:header="0"/>
        </w:sectPr>
      </w:pPr>
    </w:p>
    <w:bookmarkStart w:id="220" w:name="page221"/>
    <w:bookmarkEnd w:id="22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3320" w:type="dxa"/>
            <w:vAlign w:val="bottom"/>
            <w:tcBorders>
              <w:top w:val="single" w:sz="8" w:color="auto"/>
              <w:left w:val="single" w:sz="8" w:color="auto"/>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Daniel Dreyman</w:t>
            </w:r>
          </w:p>
        </w:tc>
        <w:tc>
          <w:tcPr>
            <w:tcW w:w="2320" w:type="dxa"/>
            <w:vAlign w:val="bottom"/>
            <w:tcBorders>
              <w:top w:val="single" w:sz="8" w:color="auto"/>
              <w:right w:val="single" w:sz="8" w:color="auto"/>
            </w:tcBorders>
          </w:tcPr>
          <w:p>
            <w:pPr>
              <w:spacing w:after="0"/>
              <w:rPr>
                <w:sz w:val="16"/>
                <w:szCs w:val="16"/>
                <w:color w:val="auto"/>
              </w:rPr>
            </w:pPr>
          </w:p>
        </w:tc>
        <w:tc>
          <w:tcPr>
            <w:tcW w:w="562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320" w:type="dxa"/>
            <w:vAlign w:val="bottom"/>
            <w:tcBorders>
              <w:left w:val="single" w:sz="8" w:color="auto"/>
            </w:tcBorders>
            <w:vMerge w:val="continue"/>
          </w:tcPr>
          <w:p>
            <w:pPr>
              <w:spacing w:after="0"/>
              <w:rPr>
                <w:sz w:val="16"/>
                <w:szCs w:val="16"/>
                <w:color w:val="auto"/>
              </w:rPr>
            </w:pPr>
          </w:p>
        </w:tc>
        <w:tc>
          <w:tcPr>
            <w:tcW w:w="23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t>
            </w:r>
          </w:p>
        </w:tc>
        <w:tc>
          <w:tcPr>
            <w:tcW w:w="0" w:type="dxa"/>
            <w:vAlign w:val="bottom"/>
          </w:tcPr>
          <w:p>
            <w:pPr>
              <w:spacing w:after="0"/>
              <w:rPr>
                <w:sz w:val="1"/>
                <w:szCs w:val="1"/>
                <w:color w:val="auto"/>
              </w:rPr>
            </w:pPr>
          </w:p>
        </w:tc>
      </w:tr>
      <w:tr>
        <w:trPr>
          <w:trHeight w:val="208"/>
        </w:trPr>
        <w:tc>
          <w:tcPr>
            <w:tcW w:w="3320" w:type="dxa"/>
            <w:vAlign w:val="bottom"/>
            <w:tcBorders>
              <w:lef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t>
            </w:r>
          </w:p>
        </w:tc>
        <w:tc>
          <w:tcPr>
            <w:tcW w:w="0" w:type="dxa"/>
            <w:vAlign w:val="bottom"/>
          </w:tcPr>
          <w:p>
            <w:pPr>
              <w:spacing w:after="0"/>
              <w:rPr>
                <w:sz w:val="1"/>
                <w:szCs w:val="1"/>
                <w:color w:val="auto"/>
              </w:rPr>
            </w:pPr>
          </w:p>
        </w:tc>
      </w:tr>
      <w:tr>
        <w:trPr>
          <w:trHeight w:val="382"/>
        </w:trPr>
        <w:tc>
          <w:tcPr>
            <w:tcW w:w="3320" w:type="dxa"/>
            <w:vAlign w:val="bottom"/>
            <w:tcBorders>
              <w:lef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tc>
        <w:tc>
          <w:tcPr>
            <w:tcW w:w="0" w:type="dxa"/>
            <w:vAlign w:val="bottom"/>
          </w:tcPr>
          <w:p>
            <w:pPr>
              <w:spacing w:after="0"/>
              <w:rPr>
                <w:sz w:val="1"/>
                <w:szCs w:val="1"/>
                <w:color w:val="auto"/>
              </w:rPr>
            </w:pPr>
          </w:p>
        </w:tc>
      </w:tr>
      <w:tr>
        <w:trPr>
          <w:trHeight w:val="366"/>
        </w:trPr>
        <w:tc>
          <w:tcPr>
            <w:tcW w:w="3320" w:type="dxa"/>
            <w:vAlign w:val="bottom"/>
            <w:tcBorders>
              <w:lef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320" w:type="dxa"/>
            <w:vAlign w:val="bottom"/>
            <w:tcBorders>
              <w:left w:val="single" w:sz="8" w:color="auto"/>
            </w:tcBorders>
          </w:tcPr>
          <w:p>
            <w:pPr>
              <w:spacing w:after="0"/>
              <w:rPr>
                <w:sz w:val="16"/>
                <w:szCs w:val="16"/>
                <w:color w:val="auto"/>
              </w:rPr>
            </w:pPr>
          </w:p>
        </w:tc>
        <w:tc>
          <w:tcPr>
            <w:tcW w:w="23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320" w:type="dxa"/>
            <w:vAlign w:val="bottom"/>
            <w:tcBorders>
              <w:left w:val="single" w:sz="8" w:color="auto"/>
            </w:tcBorders>
          </w:tcPr>
          <w:p>
            <w:pPr>
              <w:spacing w:after="0"/>
              <w:rPr>
                <w:sz w:val="16"/>
                <w:szCs w:val="16"/>
                <w:color w:val="auto"/>
              </w:rPr>
            </w:pPr>
          </w:p>
        </w:tc>
        <w:tc>
          <w:tcPr>
            <w:tcW w:w="23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t>
            </w:r>
          </w:p>
        </w:tc>
        <w:tc>
          <w:tcPr>
            <w:tcW w:w="0" w:type="dxa"/>
            <w:vAlign w:val="bottom"/>
          </w:tcPr>
          <w:p>
            <w:pPr>
              <w:spacing w:after="0"/>
              <w:rPr>
                <w:sz w:val="1"/>
                <w:szCs w:val="1"/>
                <w:color w:val="auto"/>
              </w:rPr>
            </w:pPr>
          </w:p>
        </w:tc>
      </w:tr>
      <w:tr>
        <w:trPr>
          <w:trHeight w:val="208"/>
        </w:trPr>
        <w:tc>
          <w:tcPr>
            <w:tcW w:w="3320" w:type="dxa"/>
            <w:vAlign w:val="bottom"/>
            <w:tcBorders>
              <w:lef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t>
            </w:r>
          </w:p>
        </w:tc>
        <w:tc>
          <w:tcPr>
            <w:tcW w:w="0" w:type="dxa"/>
            <w:vAlign w:val="bottom"/>
          </w:tcPr>
          <w:p>
            <w:pPr>
              <w:spacing w:after="0"/>
              <w:rPr>
                <w:sz w:val="1"/>
                <w:szCs w:val="1"/>
                <w:color w:val="auto"/>
              </w:rPr>
            </w:pPr>
          </w:p>
        </w:tc>
      </w:tr>
      <w:tr>
        <w:trPr>
          <w:trHeight w:val="36"/>
        </w:trPr>
        <w:tc>
          <w:tcPr>
            <w:tcW w:w="3320" w:type="dxa"/>
            <w:vAlign w:val="bottom"/>
            <w:tcBorders>
              <w:left w:val="single" w:sz="8" w:color="auto"/>
              <w:bottom w:val="single" w:sz="8" w:color="auto"/>
            </w:tcBorders>
          </w:tcPr>
          <w:p>
            <w:pPr>
              <w:spacing w:after="0"/>
              <w:rPr>
                <w:sz w:val="3"/>
                <w:szCs w:val="3"/>
                <w:color w:val="auto"/>
              </w:rPr>
            </w:pPr>
          </w:p>
        </w:tc>
        <w:tc>
          <w:tcPr>
            <w:tcW w:w="2320" w:type="dxa"/>
            <w:vAlign w:val="bottom"/>
            <w:tcBorders>
              <w:bottom w:val="single" w:sz="8" w:color="auto"/>
              <w:right w:val="single" w:sz="8" w:color="auto"/>
            </w:tcBorders>
          </w:tcPr>
          <w:p>
            <w:pPr>
              <w:spacing w:after="0"/>
              <w:rPr>
                <w:sz w:val="3"/>
                <w:szCs w:val="3"/>
                <w:color w:val="auto"/>
              </w:rPr>
            </w:pPr>
          </w:p>
        </w:tc>
        <w:tc>
          <w:tcPr>
            <w:tcW w:w="5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3320" w:type="dxa"/>
            <w:vAlign w:val="bottom"/>
            <w:tcBorders>
              <w:left w:val="single" w:sz="8" w:color="auto"/>
            </w:tcBorders>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William Healey</w:t>
            </w:r>
          </w:p>
        </w:tc>
        <w:tc>
          <w:tcPr>
            <w:tcW w:w="2320" w:type="dxa"/>
            <w:vAlign w:val="bottom"/>
            <w:tcBorders>
              <w:right w:val="single" w:sz="8" w:color="auto"/>
            </w:tcBorders>
          </w:tcPr>
          <w:p>
            <w:pPr>
              <w:spacing w:after="0"/>
              <w:rPr>
                <w:sz w:val="14"/>
                <w:szCs w:val="14"/>
                <w:color w:val="auto"/>
              </w:rPr>
            </w:pPr>
          </w:p>
        </w:tc>
        <w:tc>
          <w:tcPr>
            <w:tcW w:w="5620" w:type="dxa"/>
            <w:vAlign w:val="bottom"/>
            <w:tcBorders>
              <w:right w:val="single" w:sz="8" w:color="auto"/>
            </w:tcBorders>
          </w:tcPr>
          <w:p>
            <w:pPr>
              <w:ind w:left="40"/>
              <w:spacing w:after="0" w:line="167"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320" w:type="dxa"/>
            <w:vAlign w:val="bottom"/>
            <w:tcBorders>
              <w:left w:val="single" w:sz="8" w:color="auto"/>
            </w:tcBorders>
          </w:tcPr>
          <w:p>
            <w:pPr>
              <w:spacing w:after="0"/>
              <w:rPr>
                <w:sz w:val="16"/>
                <w:szCs w:val="16"/>
                <w:color w:val="auto"/>
              </w:rPr>
            </w:pPr>
          </w:p>
        </w:tc>
        <w:tc>
          <w:tcPr>
            <w:tcW w:w="23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t>
            </w:r>
          </w:p>
        </w:tc>
        <w:tc>
          <w:tcPr>
            <w:tcW w:w="0" w:type="dxa"/>
            <w:vAlign w:val="bottom"/>
          </w:tcPr>
          <w:p>
            <w:pPr>
              <w:spacing w:after="0"/>
              <w:rPr>
                <w:sz w:val="1"/>
                <w:szCs w:val="1"/>
                <w:color w:val="auto"/>
              </w:rPr>
            </w:pPr>
          </w:p>
        </w:tc>
      </w:tr>
      <w:tr>
        <w:trPr>
          <w:trHeight w:val="208"/>
        </w:trPr>
        <w:tc>
          <w:tcPr>
            <w:tcW w:w="3320" w:type="dxa"/>
            <w:vAlign w:val="bottom"/>
            <w:tcBorders>
              <w:lef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t>
            </w:r>
          </w:p>
        </w:tc>
        <w:tc>
          <w:tcPr>
            <w:tcW w:w="0" w:type="dxa"/>
            <w:vAlign w:val="bottom"/>
          </w:tcPr>
          <w:p>
            <w:pPr>
              <w:spacing w:after="0"/>
              <w:rPr>
                <w:sz w:val="1"/>
                <w:szCs w:val="1"/>
                <w:color w:val="auto"/>
              </w:rPr>
            </w:pPr>
          </w:p>
        </w:tc>
      </w:tr>
      <w:tr>
        <w:trPr>
          <w:trHeight w:val="382"/>
        </w:trPr>
        <w:tc>
          <w:tcPr>
            <w:tcW w:w="3320" w:type="dxa"/>
            <w:vAlign w:val="bottom"/>
            <w:tcBorders>
              <w:lef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tc>
        <w:tc>
          <w:tcPr>
            <w:tcW w:w="0" w:type="dxa"/>
            <w:vAlign w:val="bottom"/>
          </w:tcPr>
          <w:p>
            <w:pPr>
              <w:spacing w:after="0"/>
              <w:rPr>
                <w:sz w:val="1"/>
                <w:szCs w:val="1"/>
                <w:color w:val="auto"/>
              </w:rPr>
            </w:pPr>
          </w:p>
        </w:tc>
      </w:tr>
      <w:tr>
        <w:trPr>
          <w:trHeight w:val="366"/>
        </w:trPr>
        <w:tc>
          <w:tcPr>
            <w:tcW w:w="3320" w:type="dxa"/>
            <w:vAlign w:val="bottom"/>
            <w:tcBorders>
              <w:lef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320" w:type="dxa"/>
            <w:vAlign w:val="bottom"/>
            <w:tcBorders>
              <w:left w:val="single" w:sz="8" w:color="auto"/>
            </w:tcBorders>
          </w:tcPr>
          <w:p>
            <w:pPr>
              <w:spacing w:after="0"/>
              <w:rPr>
                <w:sz w:val="16"/>
                <w:szCs w:val="16"/>
                <w:color w:val="auto"/>
              </w:rPr>
            </w:pPr>
          </w:p>
        </w:tc>
        <w:tc>
          <w:tcPr>
            <w:tcW w:w="23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320" w:type="dxa"/>
            <w:vAlign w:val="bottom"/>
            <w:tcBorders>
              <w:left w:val="single" w:sz="8" w:color="auto"/>
            </w:tcBorders>
          </w:tcPr>
          <w:p>
            <w:pPr>
              <w:spacing w:after="0"/>
              <w:rPr>
                <w:sz w:val="16"/>
                <w:szCs w:val="16"/>
                <w:color w:val="auto"/>
              </w:rPr>
            </w:pPr>
          </w:p>
        </w:tc>
        <w:tc>
          <w:tcPr>
            <w:tcW w:w="23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t>
            </w:r>
          </w:p>
        </w:tc>
        <w:tc>
          <w:tcPr>
            <w:tcW w:w="0" w:type="dxa"/>
            <w:vAlign w:val="bottom"/>
          </w:tcPr>
          <w:p>
            <w:pPr>
              <w:spacing w:after="0"/>
              <w:rPr>
                <w:sz w:val="1"/>
                <w:szCs w:val="1"/>
                <w:color w:val="auto"/>
              </w:rPr>
            </w:pPr>
          </w:p>
        </w:tc>
      </w:tr>
      <w:tr>
        <w:trPr>
          <w:trHeight w:val="208"/>
        </w:trPr>
        <w:tc>
          <w:tcPr>
            <w:tcW w:w="3320" w:type="dxa"/>
            <w:vAlign w:val="bottom"/>
            <w:tcBorders>
              <w:lef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t>
            </w:r>
          </w:p>
        </w:tc>
        <w:tc>
          <w:tcPr>
            <w:tcW w:w="0" w:type="dxa"/>
            <w:vAlign w:val="bottom"/>
          </w:tcPr>
          <w:p>
            <w:pPr>
              <w:spacing w:after="0"/>
              <w:rPr>
                <w:sz w:val="1"/>
                <w:szCs w:val="1"/>
                <w:color w:val="auto"/>
              </w:rPr>
            </w:pPr>
          </w:p>
        </w:tc>
      </w:tr>
      <w:tr>
        <w:trPr>
          <w:trHeight w:val="36"/>
        </w:trPr>
        <w:tc>
          <w:tcPr>
            <w:tcW w:w="3320" w:type="dxa"/>
            <w:vAlign w:val="bottom"/>
            <w:tcBorders>
              <w:left w:val="single" w:sz="8" w:color="auto"/>
              <w:bottom w:val="single" w:sz="8" w:color="auto"/>
            </w:tcBorders>
          </w:tcPr>
          <w:p>
            <w:pPr>
              <w:spacing w:after="0"/>
              <w:rPr>
                <w:sz w:val="3"/>
                <w:szCs w:val="3"/>
                <w:color w:val="auto"/>
              </w:rPr>
            </w:pPr>
          </w:p>
        </w:tc>
        <w:tc>
          <w:tcPr>
            <w:tcW w:w="2320" w:type="dxa"/>
            <w:vAlign w:val="bottom"/>
            <w:tcBorders>
              <w:bottom w:val="single" w:sz="8" w:color="auto"/>
              <w:right w:val="single" w:sz="8" w:color="auto"/>
            </w:tcBorders>
          </w:tcPr>
          <w:p>
            <w:pPr>
              <w:spacing w:after="0"/>
              <w:rPr>
                <w:sz w:val="3"/>
                <w:szCs w:val="3"/>
                <w:color w:val="auto"/>
              </w:rPr>
            </w:pPr>
          </w:p>
        </w:tc>
        <w:tc>
          <w:tcPr>
            <w:tcW w:w="5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3320" w:type="dxa"/>
            <w:vAlign w:val="bottom"/>
            <w:tcBorders>
              <w:left w:val="single" w:sz="8" w:color="auto"/>
            </w:tcBorders>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Dan Mosher</w:t>
            </w:r>
          </w:p>
        </w:tc>
        <w:tc>
          <w:tcPr>
            <w:tcW w:w="2320" w:type="dxa"/>
            <w:vAlign w:val="bottom"/>
            <w:tcBorders>
              <w:right w:val="single" w:sz="8" w:color="auto"/>
            </w:tcBorders>
          </w:tcPr>
          <w:p>
            <w:pPr>
              <w:spacing w:after="0"/>
              <w:rPr>
                <w:sz w:val="14"/>
                <w:szCs w:val="14"/>
                <w:color w:val="auto"/>
              </w:rPr>
            </w:pPr>
          </w:p>
        </w:tc>
        <w:tc>
          <w:tcPr>
            <w:tcW w:w="5620" w:type="dxa"/>
            <w:vAlign w:val="bottom"/>
            <w:tcBorders>
              <w:right w:val="single" w:sz="8" w:color="auto"/>
            </w:tcBorders>
          </w:tcPr>
          <w:p>
            <w:pPr>
              <w:ind w:left="40"/>
              <w:spacing w:after="0" w:line="167"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320" w:type="dxa"/>
            <w:vAlign w:val="bottom"/>
            <w:tcBorders>
              <w:left w:val="single" w:sz="8" w:color="auto"/>
            </w:tcBorders>
          </w:tcPr>
          <w:p>
            <w:pPr>
              <w:spacing w:after="0"/>
              <w:rPr>
                <w:sz w:val="16"/>
                <w:szCs w:val="16"/>
                <w:color w:val="auto"/>
              </w:rPr>
            </w:pPr>
          </w:p>
        </w:tc>
        <w:tc>
          <w:tcPr>
            <w:tcW w:w="23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t>
            </w:r>
          </w:p>
        </w:tc>
        <w:tc>
          <w:tcPr>
            <w:tcW w:w="0" w:type="dxa"/>
            <w:vAlign w:val="bottom"/>
          </w:tcPr>
          <w:p>
            <w:pPr>
              <w:spacing w:after="0"/>
              <w:rPr>
                <w:sz w:val="1"/>
                <w:szCs w:val="1"/>
                <w:color w:val="auto"/>
              </w:rPr>
            </w:pPr>
          </w:p>
        </w:tc>
      </w:tr>
      <w:tr>
        <w:trPr>
          <w:trHeight w:val="208"/>
        </w:trPr>
        <w:tc>
          <w:tcPr>
            <w:tcW w:w="3320" w:type="dxa"/>
            <w:vAlign w:val="bottom"/>
            <w:tcBorders>
              <w:lef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t>
            </w:r>
          </w:p>
        </w:tc>
        <w:tc>
          <w:tcPr>
            <w:tcW w:w="0" w:type="dxa"/>
            <w:vAlign w:val="bottom"/>
          </w:tcPr>
          <w:p>
            <w:pPr>
              <w:spacing w:after="0"/>
              <w:rPr>
                <w:sz w:val="1"/>
                <w:szCs w:val="1"/>
                <w:color w:val="auto"/>
              </w:rPr>
            </w:pPr>
          </w:p>
        </w:tc>
      </w:tr>
      <w:tr>
        <w:trPr>
          <w:trHeight w:val="382"/>
        </w:trPr>
        <w:tc>
          <w:tcPr>
            <w:tcW w:w="3320" w:type="dxa"/>
            <w:vAlign w:val="bottom"/>
            <w:tcBorders>
              <w:lef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tc>
        <w:tc>
          <w:tcPr>
            <w:tcW w:w="0" w:type="dxa"/>
            <w:vAlign w:val="bottom"/>
          </w:tcPr>
          <w:p>
            <w:pPr>
              <w:spacing w:after="0"/>
              <w:rPr>
                <w:sz w:val="1"/>
                <w:szCs w:val="1"/>
                <w:color w:val="auto"/>
              </w:rPr>
            </w:pPr>
          </w:p>
        </w:tc>
      </w:tr>
      <w:tr>
        <w:trPr>
          <w:trHeight w:val="366"/>
        </w:trPr>
        <w:tc>
          <w:tcPr>
            <w:tcW w:w="3320" w:type="dxa"/>
            <w:vAlign w:val="bottom"/>
            <w:tcBorders>
              <w:lef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320" w:type="dxa"/>
            <w:vAlign w:val="bottom"/>
            <w:tcBorders>
              <w:left w:val="single" w:sz="8" w:color="auto"/>
            </w:tcBorders>
          </w:tcPr>
          <w:p>
            <w:pPr>
              <w:spacing w:after="0"/>
              <w:rPr>
                <w:sz w:val="16"/>
                <w:szCs w:val="16"/>
                <w:color w:val="auto"/>
              </w:rPr>
            </w:pPr>
          </w:p>
        </w:tc>
        <w:tc>
          <w:tcPr>
            <w:tcW w:w="23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320" w:type="dxa"/>
            <w:vAlign w:val="bottom"/>
            <w:tcBorders>
              <w:left w:val="single" w:sz="8" w:color="auto"/>
            </w:tcBorders>
          </w:tcPr>
          <w:p>
            <w:pPr>
              <w:spacing w:after="0"/>
              <w:rPr>
                <w:sz w:val="16"/>
                <w:szCs w:val="16"/>
                <w:color w:val="auto"/>
              </w:rPr>
            </w:pPr>
          </w:p>
        </w:tc>
        <w:tc>
          <w:tcPr>
            <w:tcW w:w="23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t>
            </w:r>
          </w:p>
        </w:tc>
        <w:tc>
          <w:tcPr>
            <w:tcW w:w="0" w:type="dxa"/>
            <w:vAlign w:val="bottom"/>
          </w:tcPr>
          <w:p>
            <w:pPr>
              <w:spacing w:after="0"/>
              <w:rPr>
                <w:sz w:val="1"/>
                <w:szCs w:val="1"/>
                <w:color w:val="auto"/>
              </w:rPr>
            </w:pPr>
          </w:p>
        </w:tc>
      </w:tr>
      <w:tr>
        <w:trPr>
          <w:trHeight w:val="208"/>
        </w:trPr>
        <w:tc>
          <w:tcPr>
            <w:tcW w:w="3320" w:type="dxa"/>
            <w:vAlign w:val="bottom"/>
            <w:tcBorders>
              <w:lef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t>
            </w:r>
          </w:p>
        </w:tc>
        <w:tc>
          <w:tcPr>
            <w:tcW w:w="0" w:type="dxa"/>
            <w:vAlign w:val="bottom"/>
          </w:tcPr>
          <w:p>
            <w:pPr>
              <w:spacing w:after="0"/>
              <w:rPr>
                <w:sz w:val="1"/>
                <w:szCs w:val="1"/>
                <w:color w:val="auto"/>
              </w:rPr>
            </w:pPr>
          </w:p>
        </w:tc>
      </w:tr>
      <w:tr>
        <w:trPr>
          <w:trHeight w:val="36"/>
        </w:trPr>
        <w:tc>
          <w:tcPr>
            <w:tcW w:w="3320" w:type="dxa"/>
            <w:vAlign w:val="bottom"/>
            <w:tcBorders>
              <w:left w:val="single" w:sz="8" w:color="auto"/>
              <w:bottom w:val="single" w:sz="8" w:color="auto"/>
            </w:tcBorders>
          </w:tcPr>
          <w:p>
            <w:pPr>
              <w:spacing w:after="0"/>
              <w:rPr>
                <w:sz w:val="3"/>
                <w:szCs w:val="3"/>
                <w:color w:val="auto"/>
              </w:rPr>
            </w:pPr>
          </w:p>
        </w:tc>
        <w:tc>
          <w:tcPr>
            <w:tcW w:w="2320" w:type="dxa"/>
            <w:vAlign w:val="bottom"/>
            <w:tcBorders>
              <w:bottom w:val="single" w:sz="8" w:color="auto"/>
              <w:right w:val="single" w:sz="8" w:color="auto"/>
            </w:tcBorders>
          </w:tcPr>
          <w:p>
            <w:pPr>
              <w:spacing w:after="0"/>
              <w:rPr>
                <w:sz w:val="3"/>
                <w:szCs w:val="3"/>
                <w:color w:val="auto"/>
              </w:rPr>
            </w:pPr>
          </w:p>
        </w:tc>
        <w:tc>
          <w:tcPr>
            <w:tcW w:w="5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3320" w:type="dxa"/>
            <w:vAlign w:val="bottom"/>
            <w:tcBorders>
              <w:left w:val="single" w:sz="8" w:color="auto"/>
            </w:tcBorders>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Krishna Gupta</w:t>
            </w:r>
          </w:p>
        </w:tc>
        <w:tc>
          <w:tcPr>
            <w:tcW w:w="2320" w:type="dxa"/>
            <w:vAlign w:val="bottom"/>
            <w:tcBorders>
              <w:right w:val="single" w:sz="8" w:color="auto"/>
            </w:tcBorders>
          </w:tcPr>
          <w:p>
            <w:pPr>
              <w:spacing w:after="0"/>
              <w:rPr>
                <w:sz w:val="14"/>
                <w:szCs w:val="14"/>
                <w:color w:val="auto"/>
              </w:rPr>
            </w:pPr>
          </w:p>
        </w:tc>
        <w:tc>
          <w:tcPr>
            <w:tcW w:w="5620" w:type="dxa"/>
            <w:vAlign w:val="bottom"/>
            <w:tcBorders>
              <w:right w:val="single" w:sz="8" w:color="auto"/>
            </w:tcBorders>
          </w:tcPr>
          <w:p>
            <w:pPr>
              <w:ind w:left="40"/>
              <w:spacing w:after="0" w:line="167" w:lineRule="exact"/>
              <w:rPr>
                <w:sz w:val="20"/>
                <w:szCs w:val="20"/>
                <w:color w:val="auto"/>
              </w:rPr>
            </w:pPr>
            <w:r>
              <w:rPr>
                <w:rFonts w:ascii="Times New Roman" w:cs="Times New Roman" w:eastAsia="Times New Roman" w:hAnsi="Times New Roman"/>
                <w:sz w:val="16"/>
                <w:szCs w:val="16"/>
                <w:color w:val="auto"/>
              </w:rPr>
              <w:t>Krishna Gupta</w:t>
            </w:r>
          </w:p>
        </w:tc>
        <w:tc>
          <w:tcPr>
            <w:tcW w:w="0" w:type="dxa"/>
            <w:vAlign w:val="bottom"/>
          </w:tcPr>
          <w:p>
            <w:pPr>
              <w:spacing w:after="0"/>
              <w:rPr>
                <w:sz w:val="1"/>
                <w:szCs w:val="1"/>
                <w:color w:val="auto"/>
              </w:rPr>
            </w:pPr>
          </w:p>
        </w:tc>
      </w:tr>
      <w:tr>
        <w:trPr>
          <w:trHeight w:val="208"/>
        </w:trPr>
        <w:tc>
          <w:tcPr>
            <w:tcW w:w="3320" w:type="dxa"/>
            <w:vAlign w:val="bottom"/>
            <w:tcBorders>
              <w:lef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kkg@romulusgroup.com</w:t>
            </w:r>
          </w:p>
        </w:tc>
        <w:tc>
          <w:tcPr>
            <w:tcW w:w="0" w:type="dxa"/>
            <w:vAlign w:val="bottom"/>
          </w:tcPr>
          <w:p>
            <w:pPr>
              <w:spacing w:after="0"/>
              <w:rPr>
                <w:sz w:val="1"/>
                <w:szCs w:val="1"/>
                <w:color w:val="auto"/>
              </w:rPr>
            </w:pPr>
          </w:p>
        </w:tc>
      </w:tr>
      <w:tr>
        <w:trPr>
          <w:trHeight w:val="382"/>
        </w:trPr>
        <w:tc>
          <w:tcPr>
            <w:tcW w:w="3320" w:type="dxa"/>
            <w:vAlign w:val="bottom"/>
            <w:tcBorders>
              <w:lef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tc>
        <w:tc>
          <w:tcPr>
            <w:tcW w:w="0" w:type="dxa"/>
            <w:vAlign w:val="bottom"/>
          </w:tcPr>
          <w:p>
            <w:pPr>
              <w:spacing w:after="0"/>
              <w:rPr>
                <w:sz w:val="1"/>
                <w:szCs w:val="1"/>
                <w:color w:val="auto"/>
              </w:rPr>
            </w:pPr>
          </w:p>
        </w:tc>
      </w:tr>
      <w:tr>
        <w:trPr>
          <w:trHeight w:val="366"/>
        </w:trPr>
        <w:tc>
          <w:tcPr>
            <w:tcW w:w="3320" w:type="dxa"/>
            <w:vAlign w:val="bottom"/>
            <w:tcBorders>
              <w:lef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Goodwin Procter LLP</w:t>
            </w:r>
          </w:p>
        </w:tc>
        <w:tc>
          <w:tcPr>
            <w:tcW w:w="0" w:type="dxa"/>
            <w:vAlign w:val="bottom"/>
          </w:tcPr>
          <w:p>
            <w:pPr>
              <w:spacing w:after="0"/>
              <w:rPr>
                <w:sz w:val="1"/>
                <w:szCs w:val="1"/>
                <w:color w:val="auto"/>
              </w:rPr>
            </w:pPr>
          </w:p>
        </w:tc>
      </w:tr>
      <w:tr>
        <w:trPr>
          <w:trHeight w:val="191"/>
        </w:trPr>
        <w:tc>
          <w:tcPr>
            <w:tcW w:w="3320" w:type="dxa"/>
            <w:vAlign w:val="bottom"/>
            <w:tcBorders>
              <w:left w:val="single" w:sz="8" w:color="auto"/>
            </w:tcBorders>
          </w:tcPr>
          <w:p>
            <w:pPr>
              <w:spacing w:after="0"/>
              <w:rPr>
                <w:sz w:val="16"/>
                <w:szCs w:val="16"/>
                <w:color w:val="auto"/>
              </w:rPr>
            </w:pPr>
          </w:p>
        </w:tc>
        <w:tc>
          <w:tcPr>
            <w:tcW w:w="23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100 Northern Avenue</w:t>
            </w:r>
          </w:p>
        </w:tc>
        <w:tc>
          <w:tcPr>
            <w:tcW w:w="0" w:type="dxa"/>
            <w:vAlign w:val="bottom"/>
          </w:tcPr>
          <w:p>
            <w:pPr>
              <w:spacing w:after="0"/>
              <w:rPr>
                <w:sz w:val="1"/>
                <w:szCs w:val="1"/>
                <w:color w:val="auto"/>
              </w:rPr>
            </w:pPr>
          </w:p>
        </w:tc>
      </w:tr>
      <w:tr>
        <w:trPr>
          <w:trHeight w:val="191"/>
        </w:trPr>
        <w:tc>
          <w:tcPr>
            <w:tcW w:w="3320" w:type="dxa"/>
            <w:vAlign w:val="bottom"/>
            <w:tcBorders>
              <w:left w:val="single" w:sz="8" w:color="auto"/>
            </w:tcBorders>
          </w:tcPr>
          <w:p>
            <w:pPr>
              <w:spacing w:after="0"/>
              <w:rPr>
                <w:sz w:val="16"/>
                <w:szCs w:val="16"/>
                <w:color w:val="auto"/>
              </w:rPr>
            </w:pPr>
          </w:p>
        </w:tc>
        <w:tc>
          <w:tcPr>
            <w:tcW w:w="23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Boston, MA 0221</w:t>
            </w:r>
          </w:p>
        </w:tc>
        <w:tc>
          <w:tcPr>
            <w:tcW w:w="0" w:type="dxa"/>
            <w:vAlign w:val="bottom"/>
          </w:tcPr>
          <w:p>
            <w:pPr>
              <w:spacing w:after="0"/>
              <w:rPr>
                <w:sz w:val="1"/>
                <w:szCs w:val="1"/>
                <w:color w:val="auto"/>
              </w:rPr>
            </w:pPr>
          </w:p>
        </w:tc>
      </w:tr>
      <w:tr>
        <w:trPr>
          <w:trHeight w:val="191"/>
        </w:trPr>
        <w:tc>
          <w:tcPr>
            <w:tcW w:w="3320" w:type="dxa"/>
            <w:vAlign w:val="bottom"/>
            <w:tcBorders>
              <w:left w:val="single" w:sz="8" w:color="auto"/>
            </w:tcBorders>
          </w:tcPr>
          <w:p>
            <w:pPr>
              <w:spacing w:after="0"/>
              <w:rPr>
                <w:sz w:val="16"/>
                <w:szCs w:val="16"/>
                <w:color w:val="auto"/>
              </w:rPr>
            </w:pPr>
          </w:p>
        </w:tc>
        <w:tc>
          <w:tcPr>
            <w:tcW w:w="23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William Schnoor</w:t>
            </w:r>
          </w:p>
        </w:tc>
        <w:tc>
          <w:tcPr>
            <w:tcW w:w="0" w:type="dxa"/>
            <w:vAlign w:val="bottom"/>
          </w:tcPr>
          <w:p>
            <w:pPr>
              <w:spacing w:after="0"/>
              <w:rPr>
                <w:sz w:val="1"/>
                <w:szCs w:val="1"/>
                <w:color w:val="auto"/>
              </w:rPr>
            </w:pPr>
          </w:p>
        </w:tc>
      </w:tr>
      <w:tr>
        <w:trPr>
          <w:trHeight w:val="208"/>
        </w:trPr>
        <w:tc>
          <w:tcPr>
            <w:tcW w:w="3320" w:type="dxa"/>
            <w:vAlign w:val="bottom"/>
            <w:tcBorders>
              <w:lef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WSchnoor@goodwinlaw.com</w:t>
            </w:r>
          </w:p>
        </w:tc>
        <w:tc>
          <w:tcPr>
            <w:tcW w:w="0" w:type="dxa"/>
            <w:vAlign w:val="bottom"/>
          </w:tcPr>
          <w:p>
            <w:pPr>
              <w:spacing w:after="0"/>
              <w:rPr>
                <w:sz w:val="1"/>
                <w:szCs w:val="1"/>
                <w:color w:val="auto"/>
              </w:rPr>
            </w:pPr>
          </w:p>
        </w:tc>
      </w:tr>
      <w:tr>
        <w:trPr>
          <w:trHeight w:val="36"/>
        </w:trPr>
        <w:tc>
          <w:tcPr>
            <w:tcW w:w="3320" w:type="dxa"/>
            <w:vAlign w:val="bottom"/>
            <w:tcBorders>
              <w:left w:val="single" w:sz="8" w:color="auto"/>
              <w:bottom w:val="single" w:sz="8" w:color="auto"/>
            </w:tcBorders>
          </w:tcPr>
          <w:p>
            <w:pPr>
              <w:spacing w:after="0"/>
              <w:rPr>
                <w:sz w:val="3"/>
                <w:szCs w:val="3"/>
                <w:color w:val="auto"/>
              </w:rPr>
            </w:pPr>
          </w:p>
        </w:tc>
        <w:tc>
          <w:tcPr>
            <w:tcW w:w="2320" w:type="dxa"/>
            <w:vAlign w:val="bottom"/>
            <w:tcBorders>
              <w:bottom w:val="single" w:sz="8" w:color="auto"/>
              <w:right w:val="single" w:sz="8" w:color="auto"/>
            </w:tcBorders>
          </w:tcPr>
          <w:p>
            <w:pPr>
              <w:spacing w:after="0"/>
              <w:rPr>
                <w:sz w:val="3"/>
                <w:szCs w:val="3"/>
                <w:color w:val="auto"/>
              </w:rPr>
            </w:pPr>
          </w:p>
        </w:tc>
        <w:tc>
          <w:tcPr>
            <w:tcW w:w="5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3320" w:type="dxa"/>
            <w:vAlign w:val="bottom"/>
            <w:tcBorders>
              <w:left w:val="single" w:sz="8" w:color="auto"/>
            </w:tcBorders>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Ilya Golubovich</w:t>
            </w:r>
          </w:p>
        </w:tc>
        <w:tc>
          <w:tcPr>
            <w:tcW w:w="2320" w:type="dxa"/>
            <w:vAlign w:val="bottom"/>
            <w:tcBorders>
              <w:right w:val="single" w:sz="8" w:color="auto"/>
            </w:tcBorders>
          </w:tcPr>
          <w:p>
            <w:pPr>
              <w:spacing w:after="0"/>
              <w:rPr>
                <w:sz w:val="14"/>
                <w:szCs w:val="14"/>
                <w:color w:val="auto"/>
              </w:rPr>
            </w:pPr>
          </w:p>
        </w:tc>
        <w:tc>
          <w:tcPr>
            <w:tcW w:w="5620" w:type="dxa"/>
            <w:vAlign w:val="bottom"/>
            <w:tcBorders>
              <w:right w:val="single" w:sz="8" w:color="auto"/>
            </w:tcBorders>
          </w:tcPr>
          <w:p>
            <w:pPr>
              <w:ind w:left="40"/>
              <w:spacing w:after="0" w:line="167"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320" w:type="dxa"/>
            <w:vAlign w:val="bottom"/>
            <w:tcBorders>
              <w:left w:val="single" w:sz="8" w:color="auto"/>
            </w:tcBorders>
          </w:tcPr>
          <w:p>
            <w:pPr>
              <w:spacing w:after="0"/>
              <w:rPr>
                <w:sz w:val="16"/>
                <w:szCs w:val="16"/>
                <w:color w:val="auto"/>
              </w:rPr>
            </w:pPr>
          </w:p>
        </w:tc>
        <w:tc>
          <w:tcPr>
            <w:tcW w:w="23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t>
            </w:r>
          </w:p>
        </w:tc>
        <w:tc>
          <w:tcPr>
            <w:tcW w:w="0" w:type="dxa"/>
            <w:vAlign w:val="bottom"/>
          </w:tcPr>
          <w:p>
            <w:pPr>
              <w:spacing w:after="0"/>
              <w:rPr>
                <w:sz w:val="1"/>
                <w:szCs w:val="1"/>
                <w:color w:val="auto"/>
              </w:rPr>
            </w:pPr>
          </w:p>
        </w:tc>
      </w:tr>
      <w:tr>
        <w:trPr>
          <w:trHeight w:val="208"/>
        </w:trPr>
        <w:tc>
          <w:tcPr>
            <w:tcW w:w="3320" w:type="dxa"/>
            <w:vAlign w:val="bottom"/>
            <w:tcBorders>
              <w:lef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t>
            </w:r>
          </w:p>
        </w:tc>
        <w:tc>
          <w:tcPr>
            <w:tcW w:w="0" w:type="dxa"/>
            <w:vAlign w:val="bottom"/>
          </w:tcPr>
          <w:p>
            <w:pPr>
              <w:spacing w:after="0"/>
              <w:rPr>
                <w:sz w:val="1"/>
                <w:szCs w:val="1"/>
                <w:color w:val="auto"/>
              </w:rPr>
            </w:pPr>
          </w:p>
        </w:tc>
      </w:tr>
      <w:tr>
        <w:trPr>
          <w:trHeight w:val="382"/>
        </w:trPr>
        <w:tc>
          <w:tcPr>
            <w:tcW w:w="3320" w:type="dxa"/>
            <w:vAlign w:val="bottom"/>
            <w:tcBorders>
              <w:lef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tc>
        <w:tc>
          <w:tcPr>
            <w:tcW w:w="0" w:type="dxa"/>
            <w:vAlign w:val="bottom"/>
          </w:tcPr>
          <w:p>
            <w:pPr>
              <w:spacing w:after="0"/>
              <w:rPr>
                <w:sz w:val="1"/>
                <w:szCs w:val="1"/>
                <w:color w:val="auto"/>
              </w:rPr>
            </w:pPr>
          </w:p>
        </w:tc>
      </w:tr>
      <w:tr>
        <w:trPr>
          <w:trHeight w:val="366"/>
        </w:trPr>
        <w:tc>
          <w:tcPr>
            <w:tcW w:w="3320" w:type="dxa"/>
            <w:vAlign w:val="bottom"/>
            <w:tcBorders>
              <w:lef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320" w:type="dxa"/>
            <w:vAlign w:val="bottom"/>
            <w:tcBorders>
              <w:left w:val="single" w:sz="8" w:color="auto"/>
            </w:tcBorders>
          </w:tcPr>
          <w:p>
            <w:pPr>
              <w:spacing w:after="0"/>
              <w:rPr>
                <w:sz w:val="16"/>
                <w:szCs w:val="16"/>
                <w:color w:val="auto"/>
              </w:rPr>
            </w:pPr>
          </w:p>
        </w:tc>
        <w:tc>
          <w:tcPr>
            <w:tcW w:w="23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320" w:type="dxa"/>
            <w:vAlign w:val="bottom"/>
            <w:tcBorders>
              <w:left w:val="single" w:sz="8" w:color="auto"/>
            </w:tcBorders>
          </w:tcPr>
          <w:p>
            <w:pPr>
              <w:spacing w:after="0"/>
              <w:rPr>
                <w:sz w:val="16"/>
                <w:szCs w:val="16"/>
                <w:color w:val="auto"/>
              </w:rPr>
            </w:pPr>
          </w:p>
        </w:tc>
        <w:tc>
          <w:tcPr>
            <w:tcW w:w="23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t>
            </w:r>
          </w:p>
        </w:tc>
        <w:tc>
          <w:tcPr>
            <w:tcW w:w="0" w:type="dxa"/>
            <w:vAlign w:val="bottom"/>
          </w:tcPr>
          <w:p>
            <w:pPr>
              <w:spacing w:after="0"/>
              <w:rPr>
                <w:sz w:val="1"/>
                <w:szCs w:val="1"/>
                <w:color w:val="auto"/>
              </w:rPr>
            </w:pPr>
          </w:p>
        </w:tc>
      </w:tr>
      <w:tr>
        <w:trPr>
          <w:trHeight w:val="208"/>
        </w:trPr>
        <w:tc>
          <w:tcPr>
            <w:tcW w:w="3320" w:type="dxa"/>
            <w:vAlign w:val="bottom"/>
            <w:tcBorders>
              <w:lef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t>
            </w:r>
          </w:p>
        </w:tc>
        <w:tc>
          <w:tcPr>
            <w:tcW w:w="0" w:type="dxa"/>
            <w:vAlign w:val="bottom"/>
          </w:tcPr>
          <w:p>
            <w:pPr>
              <w:spacing w:after="0"/>
              <w:rPr>
                <w:sz w:val="1"/>
                <w:szCs w:val="1"/>
                <w:color w:val="auto"/>
              </w:rPr>
            </w:pPr>
          </w:p>
        </w:tc>
      </w:tr>
      <w:tr>
        <w:trPr>
          <w:trHeight w:val="36"/>
        </w:trPr>
        <w:tc>
          <w:tcPr>
            <w:tcW w:w="3320" w:type="dxa"/>
            <w:vAlign w:val="bottom"/>
            <w:tcBorders>
              <w:left w:val="single" w:sz="8" w:color="auto"/>
              <w:bottom w:val="single" w:sz="8" w:color="auto"/>
            </w:tcBorders>
          </w:tcPr>
          <w:p>
            <w:pPr>
              <w:spacing w:after="0"/>
              <w:rPr>
                <w:sz w:val="3"/>
                <w:szCs w:val="3"/>
                <w:color w:val="auto"/>
              </w:rPr>
            </w:pPr>
          </w:p>
        </w:tc>
        <w:tc>
          <w:tcPr>
            <w:tcW w:w="2320" w:type="dxa"/>
            <w:vAlign w:val="bottom"/>
            <w:tcBorders>
              <w:bottom w:val="single" w:sz="8" w:color="auto"/>
              <w:right w:val="single" w:sz="8" w:color="auto"/>
            </w:tcBorders>
          </w:tcPr>
          <w:p>
            <w:pPr>
              <w:spacing w:after="0"/>
              <w:rPr>
                <w:sz w:val="3"/>
                <w:szCs w:val="3"/>
                <w:color w:val="auto"/>
              </w:rPr>
            </w:pPr>
          </w:p>
        </w:tc>
        <w:tc>
          <w:tcPr>
            <w:tcW w:w="5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93"/>
        </w:trPr>
        <w:tc>
          <w:tcPr>
            <w:tcW w:w="332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gridSpan w:val="2"/>
          </w:tcPr>
          <w:p>
            <w:pPr>
              <w:jc w:val="right"/>
              <w:ind w:right="5460"/>
              <w:spacing w:after="0"/>
              <w:rPr>
                <w:sz w:val="20"/>
                <w:szCs w:val="20"/>
                <w:color w:val="auto"/>
              </w:rPr>
            </w:pPr>
            <w:r>
              <w:rPr>
                <w:rFonts w:ascii="Times New Roman" w:cs="Times New Roman" w:eastAsia="Times New Roman" w:hAnsi="Times New Roman"/>
                <w:sz w:val="19"/>
                <w:szCs w:val="19"/>
                <w:color w:val="auto"/>
              </w:rPr>
              <w:t>26</w:t>
            </w:r>
          </w:p>
        </w:tc>
        <w:tc>
          <w:tcPr>
            <w:tcW w:w="0" w:type="dxa"/>
            <w:vAlign w:val="bottom"/>
          </w:tcPr>
          <w:p>
            <w:pPr>
              <w:spacing w:after="0"/>
              <w:rPr>
                <w:sz w:val="1"/>
                <w:szCs w:val="1"/>
                <w:color w:val="auto"/>
              </w:rPr>
            </w:pPr>
          </w:p>
        </w:tc>
      </w:tr>
    </w:tbl>
    <w:p>
      <w:pPr>
        <w:sectPr>
          <w:pgSz w:w="11900" w:h="16838" w:orient="portrait"/>
          <w:cols w:equalWidth="0" w:num="1">
            <w:col w:w="11260"/>
          </w:cols>
          <w:pgMar w:left="320" w:top="813" w:right="319" w:bottom="1440" w:gutter="0" w:footer="0" w:header="0"/>
        </w:sectPr>
      </w:pPr>
    </w:p>
    <w:bookmarkStart w:id="221" w:name="page222"/>
    <w:bookmarkEnd w:id="22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3420" w:type="dxa"/>
            <w:vAlign w:val="bottom"/>
            <w:tcBorders>
              <w:top w:val="single" w:sz="8" w:color="auto"/>
              <w:left w:val="single" w:sz="8" w:color="auto"/>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Kim Axel Lopdrup</w:t>
            </w:r>
          </w:p>
        </w:tc>
        <w:tc>
          <w:tcPr>
            <w:tcW w:w="2220" w:type="dxa"/>
            <w:vAlign w:val="bottom"/>
            <w:tcBorders>
              <w:top w:val="single" w:sz="8" w:color="auto"/>
              <w:right w:val="single" w:sz="8" w:color="auto"/>
            </w:tcBorders>
          </w:tcPr>
          <w:p>
            <w:pPr>
              <w:spacing w:after="0"/>
              <w:rPr>
                <w:sz w:val="16"/>
                <w:szCs w:val="16"/>
                <w:color w:val="auto"/>
              </w:rPr>
            </w:pPr>
          </w:p>
        </w:tc>
        <w:tc>
          <w:tcPr>
            <w:tcW w:w="562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420" w:type="dxa"/>
            <w:vAlign w:val="bottom"/>
            <w:tcBorders>
              <w:left w:val="single" w:sz="8" w:color="auto"/>
            </w:tcBorders>
            <w:vMerge w:val="continue"/>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t>
            </w:r>
          </w:p>
        </w:tc>
        <w:tc>
          <w:tcPr>
            <w:tcW w:w="0" w:type="dxa"/>
            <w:vAlign w:val="bottom"/>
          </w:tcPr>
          <w:p>
            <w:pPr>
              <w:spacing w:after="0"/>
              <w:rPr>
                <w:sz w:val="1"/>
                <w:szCs w:val="1"/>
                <w:color w:val="auto"/>
              </w:rPr>
            </w:pPr>
          </w:p>
        </w:tc>
      </w:tr>
      <w:tr>
        <w:trPr>
          <w:trHeight w:val="208"/>
        </w:trPr>
        <w:tc>
          <w:tcPr>
            <w:tcW w:w="3420" w:type="dxa"/>
            <w:vAlign w:val="bottom"/>
            <w:tcBorders>
              <w:lef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t>
            </w:r>
          </w:p>
        </w:tc>
        <w:tc>
          <w:tcPr>
            <w:tcW w:w="0" w:type="dxa"/>
            <w:vAlign w:val="bottom"/>
          </w:tcPr>
          <w:p>
            <w:pPr>
              <w:spacing w:after="0"/>
              <w:rPr>
                <w:sz w:val="1"/>
                <w:szCs w:val="1"/>
                <w:color w:val="auto"/>
              </w:rPr>
            </w:pPr>
          </w:p>
        </w:tc>
      </w:tr>
      <w:tr>
        <w:trPr>
          <w:trHeight w:val="382"/>
        </w:trPr>
        <w:tc>
          <w:tcPr>
            <w:tcW w:w="3420" w:type="dxa"/>
            <w:vAlign w:val="bottom"/>
            <w:tcBorders>
              <w:left w:val="single" w:sz="8" w:color="auto"/>
            </w:tcBorders>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tc>
        <w:tc>
          <w:tcPr>
            <w:tcW w:w="0" w:type="dxa"/>
            <w:vAlign w:val="bottom"/>
          </w:tcPr>
          <w:p>
            <w:pPr>
              <w:spacing w:after="0"/>
              <w:rPr>
                <w:sz w:val="1"/>
                <w:szCs w:val="1"/>
                <w:color w:val="auto"/>
              </w:rPr>
            </w:pPr>
          </w:p>
        </w:tc>
      </w:tr>
      <w:tr>
        <w:trPr>
          <w:trHeight w:val="366"/>
        </w:trPr>
        <w:tc>
          <w:tcPr>
            <w:tcW w:w="3420" w:type="dxa"/>
            <w:vAlign w:val="bottom"/>
            <w:tcBorders>
              <w:left w:val="single" w:sz="8" w:color="auto"/>
            </w:tcBorders>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420" w:type="dxa"/>
            <w:vAlign w:val="bottom"/>
            <w:tcBorders>
              <w:lef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420" w:type="dxa"/>
            <w:vAlign w:val="bottom"/>
            <w:tcBorders>
              <w:lef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t>
            </w:r>
          </w:p>
        </w:tc>
        <w:tc>
          <w:tcPr>
            <w:tcW w:w="0" w:type="dxa"/>
            <w:vAlign w:val="bottom"/>
          </w:tcPr>
          <w:p>
            <w:pPr>
              <w:spacing w:after="0"/>
              <w:rPr>
                <w:sz w:val="1"/>
                <w:szCs w:val="1"/>
                <w:color w:val="auto"/>
              </w:rPr>
            </w:pPr>
          </w:p>
        </w:tc>
      </w:tr>
      <w:tr>
        <w:trPr>
          <w:trHeight w:val="208"/>
        </w:trPr>
        <w:tc>
          <w:tcPr>
            <w:tcW w:w="3420" w:type="dxa"/>
            <w:vAlign w:val="bottom"/>
            <w:tcBorders>
              <w:lef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t>
            </w:r>
          </w:p>
        </w:tc>
        <w:tc>
          <w:tcPr>
            <w:tcW w:w="0" w:type="dxa"/>
            <w:vAlign w:val="bottom"/>
          </w:tcPr>
          <w:p>
            <w:pPr>
              <w:spacing w:after="0"/>
              <w:rPr>
                <w:sz w:val="1"/>
                <w:szCs w:val="1"/>
                <w:color w:val="auto"/>
              </w:rPr>
            </w:pPr>
          </w:p>
        </w:tc>
      </w:tr>
      <w:tr>
        <w:trPr>
          <w:trHeight w:val="36"/>
        </w:trPr>
        <w:tc>
          <w:tcPr>
            <w:tcW w:w="3420" w:type="dxa"/>
            <w:vAlign w:val="bottom"/>
            <w:tcBorders>
              <w:left w:val="single" w:sz="8" w:color="auto"/>
              <w:bottom w:val="single" w:sz="8" w:color="auto"/>
            </w:tcBorders>
          </w:tcPr>
          <w:p>
            <w:pPr>
              <w:spacing w:after="0"/>
              <w:rPr>
                <w:sz w:val="3"/>
                <w:szCs w:val="3"/>
                <w:color w:val="auto"/>
              </w:rPr>
            </w:pPr>
          </w:p>
        </w:tc>
        <w:tc>
          <w:tcPr>
            <w:tcW w:w="2220" w:type="dxa"/>
            <w:vAlign w:val="bottom"/>
            <w:tcBorders>
              <w:bottom w:val="single" w:sz="8" w:color="auto"/>
              <w:right w:val="single" w:sz="8" w:color="auto"/>
            </w:tcBorders>
          </w:tcPr>
          <w:p>
            <w:pPr>
              <w:spacing w:after="0"/>
              <w:rPr>
                <w:sz w:val="3"/>
                <w:szCs w:val="3"/>
                <w:color w:val="auto"/>
              </w:rPr>
            </w:pPr>
          </w:p>
        </w:tc>
        <w:tc>
          <w:tcPr>
            <w:tcW w:w="5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3420" w:type="dxa"/>
            <w:vAlign w:val="bottom"/>
            <w:tcBorders>
              <w:left w:val="single" w:sz="8" w:color="auto"/>
            </w:tcBorders>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Ed Scheetz</w:t>
            </w:r>
          </w:p>
        </w:tc>
        <w:tc>
          <w:tcPr>
            <w:tcW w:w="2220" w:type="dxa"/>
            <w:vAlign w:val="bottom"/>
            <w:tcBorders>
              <w:right w:val="single" w:sz="8" w:color="auto"/>
            </w:tcBorders>
          </w:tcPr>
          <w:p>
            <w:pPr>
              <w:spacing w:after="0"/>
              <w:rPr>
                <w:sz w:val="14"/>
                <w:szCs w:val="14"/>
                <w:color w:val="auto"/>
              </w:rPr>
            </w:pPr>
          </w:p>
        </w:tc>
        <w:tc>
          <w:tcPr>
            <w:tcW w:w="5620" w:type="dxa"/>
            <w:vAlign w:val="bottom"/>
            <w:tcBorders>
              <w:right w:val="single" w:sz="8" w:color="auto"/>
            </w:tcBorders>
          </w:tcPr>
          <w:p>
            <w:pPr>
              <w:ind w:left="40"/>
              <w:spacing w:after="0" w:line="167" w:lineRule="exact"/>
              <w:rPr>
                <w:sz w:val="20"/>
                <w:szCs w:val="20"/>
                <w:color w:val="auto"/>
              </w:rPr>
            </w:pPr>
            <w:r>
              <w:rPr>
                <w:rFonts w:ascii="Times New Roman" w:cs="Times New Roman" w:eastAsia="Times New Roman" w:hAnsi="Times New Roman"/>
                <w:sz w:val="16"/>
                <w:szCs w:val="16"/>
                <w:color w:val="auto"/>
              </w:rPr>
              <w:t>Ventoux Acquisition Holdings LLC</w:t>
            </w:r>
          </w:p>
        </w:tc>
        <w:tc>
          <w:tcPr>
            <w:tcW w:w="0" w:type="dxa"/>
            <w:vAlign w:val="bottom"/>
          </w:tcPr>
          <w:p>
            <w:pPr>
              <w:spacing w:after="0"/>
              <w:rPr>
                <w:sz w:val="1"/>
                <w:szCs w:val="1"/>
                <w:color w:val="auto"/>
              </w:rPr>
            </w:pPr>
          </w:p>
        </w:tc>
      </w:tr>
      <w:tr>
        <w:trPr>
          <w:trHeight w:val="191"/>
        </w:trPr>
        <w:tc>
          <w:tcPr>
            <w:tcW w:w="3420" w:type="dxa"/>
            <w:vAlign w:val="bottom"/>
            <w:tcBorders>
              <w:lef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211 North Street</w:t>
            </w:r>
          </w:p>
        </w:tc>
        <w:tc>
          <w:tcPr>
            <w:tcW w:w="0" w:type="dxa"/>
            <w:vAlign w:val="bottom"/>
          </w:tcPr>
          <w:p>
            <w:pPr>
              <w:spacing w:after="0"/>
              <w:rPr>
                <w:sz w:val="1"/>
                <w:szCs w:val="1"/>
                <w:color w:val="auto"/>
              </w:rPr>
            </w:pPr>
          </w:p>
        </w:tc>
      </w:tr>
      <w:tr>
        <w:trPr>
          <w:trHeight w:val="191"/>
        </w:trPr>
        <w:tc>
          <w:tcPr>
            <w:tcW w:w="3420" w:type="dxa"/>
            <w:vAlign w:val="bottom"/>
            <w:tcBorders>
              <w:lef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Northampton, MA 01060</w:t>
            </w:r>
          </w:p>
        </w:tc>
        <w:tc>
          <w:tcPr>
            <w:tcW w:w="0" w:type="dxa"/>
            <w:vAlign w:val="bottom"/>
          </w:tcPr>
          <w:p>
            <w:pPr>
              <w:spacing w:after="0"/>
              <w:rPr>
                <w:sz w:val="1"/>
                <w:szCs w:val="1"/>
                <w:color w:val="auto"/>
              </w:rPr>
            </w:pPr>
          </w:p>
        </w:tc>
      </w:tr>
      <w:tr>
        <w:trPr>
          <w:trHeight w:val="208"/>
        </w:trPr>
        <w:tc>
          <w:tcPr>
            <w:tcW w:w="3420" w:type="dxa"/>
            <w:vAlign w:val="bottom"/>
            <w:tcBorders>
              <w:lef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Ed Scheetz</w:t>
            </w:r>
          </w:p>
        </w:tc>
        <w:tc>
          <w:tcPr>
            <w:tcW w:w="0" w:type="dxa"/>
            <w:vAlign w:val="bottom"/>
          </w:tcPr>
          <w:p>
            <w:pPr>
              <w:spacing w:after="0"/>
              <w:rPr>
                <w:sz w:val="1"/>
                <w:szCs w:val="1"/>
                <w:color w:val="auto"/>
              </w:rPr>
            </w:pPr>
          </w:p>
        </w:tc>
      </w:tr>
      <w:tr>
        <w:trPr>
          <w:trHeight w:val="382"/>
        </w:trPr>
        <w:tc>
          <w:tcPr>
            <w:tcW w:w="3420" w:type="dxa"/>
            <w:vAlign w:val="bottom"/>
            <w:tcBorders>
              <w:left w:val="single" w:sz="8" w:color="auto"/>
            </w:tcBorders>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ed@ventouxccm.com</w:t>
            </w:r>
          </w:p>
        </w:tc>
        <w:tc>
          <w:tcPr>
            <w:tcW w:w="0" w:type="dxa"/>
            <w:vAlign w:val="bottom"/>
          </w:tcPr>
          <w:p>
            <w:pPr>
              <w:spacing w:after="0"/>
              <w:rPr>
                <w:sz w:val="1"/>
                <w:szCs w:val="1"/>
                <w:color w:val="auto"/>
              </w:rPr>
            </w:pPr>
          </w:p>
        </w:tc>
      </w:tr>
      <w:tr>
        <w:trPr>
          <w:trHeight w:val="366"/>
        </w:trPr>
        <w:tc>
          <w:tcPr>
            <w:tcW w:w="3420" w:type="dxa"/>
            <w:vAlign w:val="bottom"/>
            <w:tcBorders>
              <w:left w:val="single" w:sz="8" w:color="auto"/>
            </w:tcBorders>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tc>
        <w:tc>
          <w:tcPr>
            <w:tcW w:w="0" w:type="dxa"/>
            <w:vAlign w:val="bottom"/>
          </w:tcPr>
          <w:p>
            <w:pPr>
              <w:spacing w:after="0"/>
              <w:rPr>
                <w:sz w:val="1"/>
                <w:szCs w:val="1"/>
                <w:color w:val="auto"/>
              </w:rPr>
            </w:pPr>
          </w:p>
        </w:tc>
      </w:tr>
      <w:tr>
        <w:trPr>
          <w:trHeight w:val="191"/>
        </w:trPr>
        <w:tc>
          <w:tcPr>
            <w:tcW w:w="3420" w:type="dxa"/>
            <w:vAlign w:val="bottom"/>
            <w:tcBorders>
              <w:lef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Dentons LLP</w:t>
            </w:r>
          </w:p>
        </w:tc>
        <w:tc>
          <w:tcPr>
            <w:tcW w:w="0" w:type="dxa"/>
            <w:vAlign w:val="bottom"/>
          </w:tcPr>
          <w:p>
            <w:pPr>
              <w:spacing w:after="0"/>
              <w:rPr>
                <w:sz w:val="1"/>
                <w:szCs w:val="1"/>
                <w:color w:val="auto"/>
              </w:rPr>
            </w:pPr>
          </w:p>
        </w:tc>
      </w:tr>
      <w:tr>
        <w:trPr>
          <w:trHeight w:val="191"/>
        </w:trPr>
        <w:tc>
          <w:tcPr>
            <w:tcW w:w="3420" w:type="dxa"/>
            <w:vAlign w:val="bottom"/>
            <w:tcBorders>
              <w:lef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1221 Avenue of the Americas</w:t>
            </w:r>
          </w:p>
        </w:tc>
        <w:tc>
          <w:tcPr>
            <w:tcW w:w="0" w:type="dxa"/>
            <w:vAlign w:val="bottom"/>
          </w:tcPr>
          <w:p>
            <w:pPr>
              <w:spacing w:after="0"/>
              <w:rPr>
                <w:sz w:val="1"/>
                <w:szCs w:val="1"/>
                <w:color w:val="auto"/>
              </w:rPr>
            </w:pPr>
          </w:p>
        </w:tc>
      </w:tr>
      <w:tr>
        <w:trPr>
          <w:trHeight w:val="191"/>
        </w:trPr>
        <w:tc>
          <w:tcPr>
            <w:tcW w:w="3420" w:type="dxa"/>
            <w:vAlign w:val="bottom"/>
            <w:tcBorders>
              <w:lef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New York, NY 10020</w:t>
            </w:r>
          </w:p>
        </w:tc>
        <w:tc>
          <w:tcPr>
            <w:tcW w:w="0" w:type="dxa"/>
            <w:vAlign w:val="bottom"/>
          </w:tcPr>
          <w:p>
            <w:pPr>
              <w:spacing w:after="0"/>
              <w:rPr>
                <w:sz w:val="1"/>
                <w:szCs w:val="1"/>
                <w:color w:val="auto"/>
              </w:rPr>
            </w:pPr>
          </w:p>
        </w:tc>
      </w:tr>
      <w:tr>
        <w:trPr>
          <w:trHeight w:val="208"/>
        </w:trPr>
        <w:tc>
          <w:tcPr>
            <w:tcW w:w="3420" w:type="dxa"/>
            <w:vAlign w:val="bottom"/>
            <w:tcBorders>
              <w:lef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Brian Lee</w:t>
            </w:r>
          </w:p>
        </w:tc>
        <w:tc>
          <w:tcPr>
            <w:tcW w:w="0" w:type="dxa"/>
            <w:vAlign w:val="bottom"/>
          </w:tcPr>
          <w:p>
            <w:pPr>
              <w:spacing w:after="0"/>
              <w:rPr>
                <w:sz w:val="1"/>
                <w:szCs w:val="1"/>
                <w:color w:val="auto"/>
              </w:rPr>
            </w:pPr>
          </w:p>
        </w:tc>
      </w:tr>
      <w:tr>
        <w:trPr>
          <w:trHeight w:val="382"/>
        </w:trPr>
        <w:tc>
          <w:tcPr>
            <w:tcW w:w="3420" w:type="dxa"/>
            <w:vAlign w:val="bottom"/>
            <w:tcBorders>
              <w:left w:val="single" w:sz="8" w:color="auto"/>
            </w:tcBorders>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brian.lee@dentons.com</w:t>
            </w:r>
          </w:p>
        </w:tc>
        <w:tc>
          <w:tcPr>
            <w:tcW w:w="0" w:type="dxa"/>
            <w:vAlign w:val="bottom"/>
          </w:tcPr>
          <w:p>
            <w:pPr>
              <w:spacing w:after="0"/>
              <w:rPr>
                <w:sz w:val="1"/>
                <w:szCs w:val="1"/>
                <w:color w:val="auto"/>
              </w:rPr>
            </w:pPr>
          </w:p>
        </w:tc>
      </w:tr>
      <w:tr>
        <w:trPr>
          <w:trHeight w:val="366"/>
        </w:trPr>
        <w:tc>
          <w:tcPr>
            <w:tcW w:w="3420" w:type="dxa"/>
            <w:vAlign w:val="bottom"/>
            <w:tcBorders>
              <w:left w:val="single" w:sz="8" w:color="auto"/>
            </w:tcBorders>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91"/>
        </w:trPr>
        <w:tc>
          <w:tcPr>
            <w:tcW w:w="3420" w:type="dxa"/>
            <w:vAlign w:val="bottom"/>
            <w:tcBorders>
              <w:lef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Woolery &amp; Co.</w:t>
            </w:r>
          </w:p>
        </w:tc>
        <w:tc>
          <w:tcPr>
            <w:tcW w:w="0" w:type="dxa"/>
            <w:vAlign w:val="bottom"/>
          </w:tcPr>
          <w:p>
            <w:pPr>
              <w:spacing w:after="0"/>
              <w:rPr>
                <w:sz w:val="1"/>
                <w:szCs w:val="1"/>
                <w:color w:val="auto"/>
              </w:rPr>
            </w:pPr>
          </w:p>
        </w:tc>
      </w:tr>
      <w:tr>
        <w:trPr>
          <w:trHeight w:val="195"/>
        </w:trPr>
        <w:tc>
          <w:tcPr>
            <w:tcW w:w="3420" w:type="dxa"/>
            <w:vAlign w:val="bottom"/>
            <w:tcBorders>
              <w:lef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1 Pier 76</w:t>
            </w:r>
          </w:p>
        </w:tc>
        <w:tc>
          <w:tcPr>
            <w:tcW w:w="0" w:type="dxa"/>
            <w:vAlign w:val="bottom"/>
          </w:tcPr>
          <w:p>
            <w:pPr>
              <w:spacing w:after="0"/>
              <w:rPr>
                <w:sz w:val="1"/>
                <w:szCs w:val="1"/>
                <w:color w:val="auto"/>
              </w:rPr>
            </w:pPr>
          </w:p>
        </w:tc>
      </w:tr>
      <w:tr>
        <w:trPr>
          <w:trHeight w:val="223"/>
        </w:trPr>
        <w:tc>
          <w:tcPr>
            <w:tcW w:w="3420" w:type="dxa"/>
            <w:vAlign w:val="bottom"/>
            <w:tcBorders>
              <w:left w:val="single" w:sz="8" w:color="auto"/>
            </w:tcBorders>
          </w:tcPr>
          <w:p>
            <w:pPr>
              <w:spacing w:after="0"/>
              <w:rPr>
                <w:sz w:val="19"/>
                <w:szCs w:val="19"/>
                <w:color w:val="auto"/>
              </w:rPr>
            </w:pPr>
          </w:p>
        </w:tc>
        <w:tc>
          <w:tcPr>
            <w:tcW w:w="2220" w:type="dxa"/>
            <w:vAlign w:val="bottom"/>
            <w:tcBorders>
              <w:right w:val="single" w:sz="8" w:color="auto"/>
            </w:tcBorders>
          </w:tcPr>
          <w:p>
            <w:pPr>
              <w:spacing w:after="0"/>
              <w:rPr>
                <w:sz w:val="19"/>
                <w:szCs w:val="19"/>
                <w:color w:val="auto"/>
              </w:rPr>
            </w:pPr>
          </w:p>
        </w:tc>
        <w:tc>
          <w:tcPr>
            <w:tcW w:w="5620" w:type="dxa"/>
            <w:vAlign w:val="bottom"/>
            <w:tcBorders>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15"/>
                <w:szCs w:val="15"/>
                <w:color w:val="auto"/>
              </w:rPr>
              <w:t>408 12</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5"/>
                <w:szCs w:val="15"/>
                <w:color w:val="auto"/>
              </w:rPr>
              <w:t xml:space="preserve"> Ave</w:t>
            </w:r>
          </w:p>
        </w:tc>
        <w:tc>
          <w:tcPr>
            <w:tcW w:w="0" w:type="dxa"/>
            <w:vAlign w:val="bottom"/>
          </w:tcPr>
          <w:p>
            <w:pPr>
              <w:spacing w:after="0"/>
              <w:rPr>
                <w:sz w:val="1"/>
                <w:szCs w:val="1"/>
                <w:color w:val="auto"/>
              </w:rPr>
            </w:pPr>
          </w:p>
        </w:tc>
      </w:tr>
      <w:tr>
        <w:trPr>
          <w:trHeight w:val="191"/>
        </w:trPr>
        <w:tc>
          <w:tcPr>
            <w:tcW w:w="3420" w:type="dxa"/>
            <w:vAlign w:val="bottom"/>
            <w:tcBorders>
              <w:lef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New York, NY 10018</w:t>
            </w:r>
          </w:p>
        </w:tc>
        <w:tc>
          <w:tcPr>
            <w:tcW w:w="0" w:type="dxa"/>
            <w:vAlign w:val="bottom"/>
          </w:tcPr>
          <w:p>
            <w:pPr>
              <w:spacing w:after="0"/>
              <w:rPr>
                <w:sz w:val="1"/>
                <w:szCs w:val="1"/>
                <w:color w:val="auto"/>
              </w:rPr>
            </w:pPr>
          </w:p>
        </w:tc>
      </w:tr>
      <w:tr>
        <w:trPr>
          <w:trHeight w:val="191"/>
        </w:trPr>
        <w:tc>
          <w:tcPr>
            <w:tcW w:w="3420" w:type="dxa"/>
            <w:vAlign w:val="bottom"/>
            <w:tcBorders>
              <w:lef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Matthew J. Saur</w:t>
            </w:r>
          </w:p>
        </w:tc>
        <w:tc>
          <w:tcPr>
            <w:tcW w:w="0" w:type="dxa"/>
            <w:vAlign w:val="bottom"/>
          </w:tcPr>
          <w:p>
            <w:pPr>
              <w:spacing w:after="0"/>
              <w:rPr>
                <w:sz w:val="1"/>
                <w:szCs w:val="1"/>
                <w:color w:val="auto"/>
              </w:rPr>
            </w:pPr>
          </w:p>
        </w:tc>
      </w:tr>
      <w:tr>
        <w:trPr>
          <w:trHeight w:val="208"/>
        </w:trPr>
        <w:tc>
          <w:tcPr>
            <w:tcW w:w="3420" w:type="dxa"/>
            <w:vAlign w:val="bottom"/>
            <w:tcBorders>
              <w:lef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mathew@wooleryco.com</w:t>
            </w:r>
          </w:p>
        </w:tc>
        <w:tc>
          <w:tcPr>
            <w:tcW w:w="0" w:type="dxa"/>
            <w:vAlign w:val="bottom"/>
          </w:tcPr>
          <w:p>
            <w:pPr>
              <w:spacing w:after="0"/>
              <w:rPr>
                <w:sz w:val="1"/>
                <w:szCs w:val="1"/>
                <w:color w:val="auto"/>
              </w:rPr>
            </w:pPr>
          </w:p>
        </w:tc>
      </w:tr>
      <w:tr>
        <w:trPr>
          <w:trHeight w:val="36"/>
        </w:trPr>
        <w:tc>
          <w:tcPr>
            <w:tcW w:w="3420" w:type="dxa"/>
            <w:vAlign w:val="bottom"/>
            <w:tcBorders>
              <w:left w:val="single" w:sz="8" w:color="auto"/>
              <w:bottom w:val="single" w:sz="8" w:color="auto"/>
            </w:tcBorders>
          </w:tcPr>
          <w:p>
            <w:pPr>
              <w:spacing w:after="0"/>
              <w:rPr>
                <w:sz w:val="3"/>
                <w:szCs w:val="3"/>
                <w:color w:val="auto"/>
              </w:rPr>
            </w:pPr>
          </w:p>
        </w:tc>
        <w:tc>
          <w:tcPr>
            <w:tcW w:w="2220" w:type="dxa"/>
            <w:vAlign w:val="bottom"/>
            <w:tcBorders>
              <w:bottom w:val="single" w:sz="8" w:color="auto"/>
              <w:right w:val="single" w:sz="8" w:color="auto"/>
            </w:tcBorders>
          </w:tcPr>
          <w:p>
            <w:pPr>
              <w:spacing w:after="0"/>
              <w:rPr>
                <w:sz w:val="3"/>
                <w:szCs w:val="3"/>
                <w:color w:val="auto"/>
              </w:rPr>
            </w:pPr>
          </w:p>
        </w:tc>
        <w:tc>
          <w:tcPr>
            <w:tcW w:w="5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3420" w:type="dxa"/>
            <w:vAlign w:val="bottom"/>
            <w:tcBorders>
              <w:left w:val="single" w:sz="8" w:color="auto"/>
            </w:tcBorders>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Gail Zauder</w:t>
            </w:r>
          </w:p>
        </w:tc>
        <w:tc>
          <w:tcPr>
            <w:tcW w:w="2220" w:type="dxa"/>
            <w:vAlign w:val="bottom"/>
            <w:tcBorders>
              <w:right w:val="single" w:sz="8" w:color="auto"/>
            </w:tcBorders>
          </w:tcPr>
          <w:p>
            <w:pPr>
              <w:spacing w:after="0"/>
              <w:rPr>
                <w:sz w:val="14"/>
                <w:szCs w:val="14"/>
                <w:color w:val="auto"/>
              </w:rPr>
            </w:pPr>
          </w:p>
        </w:tc>
        <w:tc>
          <w:tcPr>
            <w:tcW w:w="5620" w:type="dxa"/>
            <w:vAlign w:val="bottom"/>
            <w:tcBorders>
              <w:right w:val="single" w:sz="8" w:color="auto"/>
            </w:tcBorders>
          </w:tcPr>
          <w:p>
            <w:pPr>
              <w:ind w:left="40"/>
              <w:spacing w:after="0" w:line="167"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3420" w:type="dxa"/>
            <w:vAlign w:val="bottom"/>
            <w:tcBorders>
              <w:lef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t>
            </w:r>
          </w:p>
        </w:tc>
        <w:tc>
          <w:tcPr>
            <w:tcW w:w="0" w:type="dxa"/>
            <w:vAlign w:val="bottom"/>
          </w:tcPr>
          <w:p>
            <w:pPr>
              <w:spacing w:after="0"/>
              <w:rPr>
                <w:sz w:val="1"/>
                <w:szCs w:val="1"/>
                <w:color w:val="auto"/>
              </w:rPr>
            </w:pPr>
          </w:p>
        </w:tc>
      </w:tr>
      <w:tr>
        <w:trPr>
          <w:trHeight w:val="382"/>
        </w:trPr>
        <w:tc>
          <w:tcPr>
            <w:tcW w:w="3420" w:type="dxa"/>
            <w:vAlign w:val="bottom"/>
            <w:tcBorders>
              <w:left w:val="single" w:sz="8" w:color="auto"/>
            </w:tcBorders>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t>
            </w:r>
          </w:p>
        </w:tc>
        <w:tc>
          <w:tcPr>
            <w:tcW w:w="0" w:type="dxa"/>
            <w:vAlign w:val="bottom"/>
          </w:tcPr>
          <w:p>
            <w:pPr>
              <w:spacing w:after="0"/>
              <w:rPr>
                <w:sz w:val="1"/>
                <w:szCs w:val="1"/>
                <w:color w:val="auto"/>
              </w:rPr>
            </w:pPr>
          </w:p>
        </w:tc>
      </w:tr>
      <w:tr>
        <w:trPr>
          <w:trHeight w:val="366"/>
        </w:trPr>
        <w:tc>
          <w:tcPr>
            <w:tcW w:w="3420" w:type="dxa"/>
            <w:vAlign w:val="bottom"/>
            <w:tcBorders>
              <w:left w:val="single" w:sz="8" w:color="auto"/>
            </w:tcBorders>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tc>
        <w:tc>
          <w:tcPr>
            <w:tcW w:w="0" w:type="dxa"/>
            <w:vAlign w:val="bottom"/>
          </w:tcPr>
          <w:p>
            <w:pPr>
              <w:spacing w:after="0"/>
              <w:rPr>
                <w:sz w:val="1"/>
                <w:szCs w:val="1"/>
                <w:color w:val="auto"/>
              </w:rPr>
            </w:pPr>
          </w:p>
        </w:tc>
      </w:tr>
      <w:tr>
        <w:trPr>
          <w:trHeight w:val="191"/>
        </w:trPr>
        <w:tc>
          <w:tcPr>
            <w:tcW w:w="3420" w:type="dxa"/>
            <w:vAlign w:val="bottom"/>
            <w:tcBorders>
              <w:lef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420" w:type="dxa"/>
            <w:vAlign w:val="bottom"/>
            <w:tcBorders>
              <w:lef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420" w:type="dxa"/>
            <w:vAlign w:val="bottom"/>
            <w:tcBorders>
              <w:lef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Attn: [●]</w:t>
            </w:r>
          </w:p>
        </w:tc>
        <w:tc>
          <w:tcPr>
            <w:tcW w:w="0" w:type="dxa"/>
            <w:vAlign w:val="bottom"/>
          </w:tcPr>
          <w:p>
            <w:pPr>
              <w:spacing w:after="0"/>
              <w:rPr>
                <w:sz w:val="1"/>
                <w:szCs w:val="1"/>
                <w:color w:val="auto"/>
              </w:rPr>
            </w:pPr>
          </w:p>
        </w:tc>
      </w:tr>
      <w:tr>
        <w:trPr>
          <w:trHeight w:val="208"/>
        </w:trPr>
        <w:tc>
          <w:tcPr>
            <w:tcW w:w="3420" w:type="dxa"/>
            <w:vAlign w:val="bottom"/>
            <w:tcBorders>
              <w:lef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E-mail: [●]</w:t>
            </w:r>
          </w:p>
        </w:tc>
        <w:tc>
          <w:tcPr>
            <w:tcW w:w="0" w:type="dxa"/>
            <w:vAlign w:val="bottom"/>
          </w:tcPr>
          <w:p>
            <w:pPr>
              <w:spacing w:after="0"/>
              <w:rPr>
                <w:sz w:val="1"/>
                <w:szCs w:val="1"/>
                <w:color w:val="auto"/>
              </w:rPr>
            </w:pPr>
          </w:p>
        </w:tc>
      </w:tr>
      <w:tr>
        <w:trPr>
          <w:trHeight w:val="36"/>
        </w:trPr>
        <w:tc>
          <w:tcPr>
            <w:tcW w:w="3420" w:type="dxa"/>
            <w:vAlign w:val="bottom"/>
            <w:tcBorders>
              <w:left w:val="single" w:sz="8" w:color="auto"/>
              <w:bottom w:val="single" w:sz="8" w:color="auto"/>
            </w:tcBorders>
          </w:tcPr>
          <w:p>
            <w:pPr>
              <w:spacing w:after="0"/>
              <w:rPr>
                <w:sz w:val="3"/>
                <w:szCs w:val="3"/>
                <w:color w:val="auto"/>
              </w:rPr>
            </w:pPr>
          </w:p>
        </w:tc>
        <w:tc>
          <w:tcPr>
            <w:tcW w:w="2220" w:type="dxa"/>
            <w:vAlign w:val="bottom"/>
            <w:tcBorders>
              <w:bottom w:val="single" w:sz="8" w:color="auto"/>
              <w:right w:val="single" w:sz="8" w:color="auto"/>
            </w:tcBorders>
          </w:tcPr>
          <w:p>
            <w:pPr>
              <w:spacing w:after="0"/>
              <w:rPr>
                <w:sz w:val="3"/>
                <w:szCs w:val="3"/>
                <w:color w:val="auto"/>
              </w:rPr>
            </w:pPr>
          </w:p>
        </w:tc>
        <w:tc>
          <w:tcPr>
            <w:tcW w:w="5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93"/>
        </w:trPr>
        <w:tc>
          <w:tcPr>
            <w:tcW w:w="3420" w:type="dxa"/>
            <w:vAlign w:val="bottom"/>
            <w:tcBorders>
              <w:bottom w:val="single" w:sz="8" w:color="auto"/>
            </w:tcBorders>
          </w:tcPr>
          <w:p>
            <w:pPr>
              <w:spacing w:after="0"/>
              <w:rPr>
                <w:sz w:val="24"/>
                <w:szCs w:val="24"/>
                <w:color w:val="auto"/>
              </w:rPr>
            </w:pPr>
          </w:p>
        </w:tc>
        <w:tc>
          <w:tcPr>
            <w:tcW w:w="7840" w:type="dxa"/>
            <w:vAlign w:val="bottom"/>
            <w:tcBorders>
              <w:bottom w:val="single" w:sz="8" w:color="auto"/>
            </w:tcBorders>
            <w:gridSpan w:val="2"/>
          </w:tcPr>
          <w:p>
            <w:pPr>
              <w:jc w:val="right"/>
              <w:ind w:right="5460"/>
              <w:spacing w:after="0"/>
              <w:rPr>
                <w:sz w:val="20"/>
                <w:szCs w:val="20"/>
                <w:color w:val="auto"/>
              </w:rPr>
            </w:pPr>
            <w:r>
              <w:rPr>
                <w:rFonts w:ascii="Times New Roman" w:cs="Times New Roman" w:eastAsia="Times New Roman" w:hAnsi="Times New Roman"/>
                <w:sz w:val="19"/>
                <w:szCs w:val="19"/>
                <w:color w:val="auto"/>
              </w:rPr>
              <w:t>27</w:t>
            </w:r>
          </w:p>
        </w:tc>
        <w:tc>
          <w:tcPr>
            <w:tcW w:w="0" w:type="dxa"/>
            <w:vAlign w:val="bottom"/>
          </w:tcPr>
          <w:p>
            <w:pPr>
              <w:spacing w:after="0"/>
              <w:rPr>
                <w:sz w:val="1"/>
                <w:szCs w:val="1"/>
                <w:color w:val="auto"/>
              </w:rPr>
            </w:pPr>
          </w:p>
        </w:tc>
      </w:tr>
    </w:tbl>
    <w:p>
      <w:pPr>
        <w:sectPr>
          <w:pgSz w:w="11900" w:h="16838" w:orient="portrait"/>
          <w:cols w:equalWidth="0" w:num="1">
            <w:col w:w="11260"/>
          </w:cols>
          <w:pgMar w:left="320" w:top="812" w:right="319" w:bottom="1440" w:gutter="0" w:footer="0" w:header="0"/>
        </w:sectPr>
      </w:pPr>
    </w:p>
    <w:bookmarkStart w:id="222" w:name="page223"/>
    <w:bookmarkEnd w:id="222"/>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AMENDED AND RESTATED REGISTRATION RIGHTS AGREEMENT JOINDER</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undersigned is executing and delivering this Joinder pursuant to the Amended and Restated Registration Rights Agreement dated as of _______________ (as the</w:t>
      </w:r>
    </w:p>
    <w:p>
      <w:pPr>
        <w:spacing w:after="0" w:line="2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same may hereafter be amended, the “</w:t>
      </w:r>
      <w:r>
        <w:rPr>
          <w:rFonts w:ascii="Times New Roman" w:cs="Times New Roman" w:eastAsia="Times New Roman" w:hAnsi="Times New Roman"/>
          <w:sz w:val="16"/>
          <w:szCs w:val="16"/>
          <w:u w:val="single" w:color="auto"/>
          <w:color w:val="auto"/>
        </w:rPr>
        <w:t>Registration Rights Agreement</w:t>
      </w:r>
      <w:r>
        <w:rPr>
          <w:rFonts w:ascii="Times New Roman" w:cs="Times New Roman" w:eastAsia="Times New Roman" w:hAnsi="Times New Roman"/>
          <w:sz w:val="16"/>
          <w:szCs w:val="16"/>
          <w:color w:val="auto"/>
        </w:rPr>
        <w:t>”), among Ventoux CCM Acquisition Corp., a Delaware corporation (“</w:t>
      </w:r>
      <w:r>
        <w:rPr>
          <w:rFonts w:ascii="Times New Roman" w:cs="Times New Roman" w:eastAsia="Times New Roman" w:hAnsi="Times New Roman"/>
          <w:sz w:val="16"/>
          <w:szCs w:val="16"/>
          <w:u w:val="single" w:color="auto"/>
          <w:color w:val="auto"/>
        </w:rPr>
        <w:t>Pubco</w:t>
      </w:r>
      <w:r>
        <w:rPr>
          <w:rFonts w:ascii="Times New Roman" w:cs="Times New Roman" w:eastAsia="Times New Roman" w:hAnsi="Times New Roman"/>
          <w:sz w:val="16"/>
          <w:szCs w:val="16"/>
          <w:color w:val="auto"/>
        </w:rPr>
        <w:t>”), and the other persons named as parties therein.</w:t>
      </w:r>
    </w:p>
    <w:p>
      <w:pPr>
        <w:spacing w:after="0" w:line="161" w:lineRule="exact"/>
        <w:rPr>
          <w:sz w:val="20"/>
          <w:szCs w:val="20"/>
          <w:color w:val="auto"/>
        </w:rPr>
      </w:pPr>
    </w:p>
    <w:p>
      <w:pPr>
        <w:ind w:right="20" w:firstLine="382"/>
        <w:spacing w:after="0" w:line="280" w:lineRule="auto"/>
        <w:rPr>
          <w:sz w:val="20"/>
          <w:szCs w:val="20"/>
          <w:color w:val="auto"/>
        </w:rPr>
      </w:pPr>
      <w:r>
        <w:rPr>
          <w:rFonts w:ascii="Times New Roman" w:cs="Times New Roman" w:eastAsia="Times New Roman" w:hAnsi="Times New Roman"/>
          <w:sz w:val="16"/>
          <w:szCs w:val="16"/>
          <w:color w:val="auto"/>
        </w:rPr>
        <w:t>By executing and delivering this Joinder to Pubco, the undersigned hereby agrees to become a party to, to be bound by, and to comply with the provisions of the Registration Rights Agreement as a holder of Registrable Securities in the same manner as if the undersigned were an original signatory to the Registration Rights Agreement.</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Accordingly, the undersigned has executed and delivered this Joinder as of the ___ day of ________, 20__.</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INVESTOR:</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-113030</wp:posOffset>
            </wp:positionV>
            <wp:extent cx="2496820" cy="152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9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Address for Notices: [●]</w:t>
      </w:r>
    </w:p>
    <w:p>
      <w:pPr>
        <w:spacing w:after="0" w:line="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w:t>
      </w:r>
    </w:p>
    <w:p>
      <w:pPr>
        <w:spacing w:after="0" w:line="2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w:t>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w:t>
      </w:r>
    </w:p>
    <w:p>
      <w:pPr>
        <w:spacing w:after="0" w:line="18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Agreed and Accepted as of _________________</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VENTOUX CCM ACQUISITION CORP.</w:t>
      </w:r>
    </w:p>
    <w:p>
      <w:pPr>
        <w:spacing w:after="0" w:line="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-113030</wp:posOffset>
            </wp:positionV>
            <wp:extent cx="2496820" cy="152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16"/>
          <w:szCs w:val="16"/>
          <w:b w:val="1"/>
          <w:bCs w:val="1"/>
          <w:color w:val="auto"/>
        </w:rPr>
        <w:t>Exhibit 10.6</w:t>
      </w:r>
    </w:p>
    <w:p>
      <w:pPr>
        <w:spacing w:after="0" w:line="1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Execution Version</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AMENDED &amp; RESTATED SPONSOR SUPPORT AGREEMENT</w:t>
      </w:r>
    </w:p>
    <w:p>
      <w:pPr>
        <w:spacing w:after="0" w:line="200" w:lineRule="exact"/>
        <w:rPr>
          <w:sz w:val="20"/>
          <w:szCs w:val="20"/>
          <w:color w:val="auto"/>
        </w:rPr>
      </w:pPr>
    </w:p>
    <w:p>
      <w:pPr>
        <w:jc w:val="both"/>
        <w:ind w:firstLine="1147"/>
        <w:spacing w:after="0" w:line="255" w:lineRule="auto"/>
        <w:rPr>
          <w:sz w:val="20"/>
          <w:szCs w:val="20"/>
          <w:color w:val="auto"/>
        </w:rPr>
      </w:pPr>
      <w:r>
        <w:rPr>
          <w:rFonts w:ascii="Times New Roman" w:cs="Times New Roman" w:eastAsia="Times New Roman" w:hAnsi="Times New Roman"/>
          <w:sz w:val="16"/>
          <w:szCs w:val="16"/>
          <w:color w:val="auto"/>
        </w:rPr>
        <w:t>This Amended and Restated Sponsor Support Agreement (this “</w:t>
      </w:r>
      <w:r>
        <w:rPr>
          <w:rFonts w:ascii="Times New Roman" w:cs="Times New Roman" w:eastAsia="Times New Roman" w:hAnsi="Times New Roman"/>
          <w:sz w:val="16"/>
          <w:szCs w:val="16"/>
          <w:u w:val="single" w:color="auto"/>
          <w:color w:val="auto"/>
        </w:rPr>
        <w:t>Sponsor Agreement</w:t>
      </w:r>
      <w:r>
        <w:rPr>
          <w:rFonts w:ascii="Times New Roman" w:cs="Times New Roman" w:eastAsia="Times New Roman" w:hAnsi="Times New Roman"/>
          <w:sz w:val="16"/>
          <w:szCs w:val="16"/>
          <w:color w:val="auto"/>
        </w:rPr>
        <w:t>”) is dated as of July 25, 2022, by and among Ventoux Acquisition Holdings LLC, a Delaware limited liability company (“</w:t>
      </w:r>
      <w:r>
        <w:rPr>
          <w:rFonts w:ascii="Times New Roman" w:cs="Times New Roman" w:eastAsia="Times New Roman" w:hAnsi="Times New Roman"/>
          <w:sz w:val="16"/>
          <w:szCs w:val="16"/>
          <w:u w:val="single" w:color="auto"/>
          <w:color w:val="auto"/>
        </w:rPr>
        <w:t>Ventoux Acquisition</w:t>
      </w:r>
      <w:r>
        <w:rPr>
          <w:rFonts w:ascii="Times New Roman" w:cs="Times New Roman" w:eastAsia="Times New Roman" w:hAnsi="Times New Roman"/>
          <w:sz w:val="16"/>
          <w:szCs w:val="16"/>
          <w:color w:val="auto"/>
        </w:rPr>
        <w:t>”), Chardan International Investments, LLC, a Delaware limited liability company (together with Ventoux Acquisition, each, a “</w:t>
      </w:r>
      <w:r>
        <w:rPr>
          <w:rFonts w:ascii="Times New Roman" w:cs="Times New Roman" w:eastAsia="Times New Roman" w:hAnsi="Times New Roman"/>
          <w:sz w:val="16"/>
          <w:szCs w:val="16"/>
          <w:u w:val="single" w:color="auto"/>
          <w:color w:val="auto"/>
        </w:rPr>
        <w:t>Sponsor</w:t>
      </w:r>
      <w:r>
        <w:rPr>
          <w:rFonts w:ascii="Times New Roman" w:cs="Times New Roman" w:eastAsia="Times New Roman" w:hAnsi="Times New Roman"/>
          <w:sz w:val="16"/>
          <w:szCs w:val="16"/>
          <w:color w:val="auto"/>
        </w:rPr>
        <w:t>” and, together, the “</w:t>
      </w:r>
      <w:r>
        <w:rPr>
          <w:rFonts w:ascii="Times New Roman" w:cs="Times New Roman" w:eastAsia="Times New Roman" w:hAnsi="Times New Roman"/>
          <w:sz w:val="16"/>
          <w:szCs w:val="16"/>
          <w:u w:val="single" w:color="auto"/>
          <w:color w:val="auto"/>
        </w:rPr>
        <w:t>Sponsors</w:t>
      </w:r>
      <w:r>
        <w:rPr>
          <w:rFonts w:ascii="Times New Roman" w:cs="Times New Roman" w:eastAsia="Times New Roman" w:hAnsi="Times New Roman"/>
          <w:sz w:val="16"/>
          <w:szCs w:val="16"/>
          <w:color w:val="auto"/>
        </w:rPr>
        <w:t>”), Ventoux CCM Acquisition Corp., a Delaware corporation (“</w:t>
      </w:r>
      <w:r>
        <w:rPr>
          <w:rFonts w:ascii="Times New Roman" w:cs="Times New Roman" w:eastAsia="Times New Roman" w:hAnsi="Times New Roman"/>
          <w:sz w:val="16"/>
          <w:szCs w:val="16"/>
          <w:u w:val="single" w:color="auto"/>
          <w:color w:val="auto"/>
        </w:rPr>
        <w:t>Acquiror</w:t>
      </w:r>
      <w:r>
        <w:rPr>
          <w:rFonts w:ascii="Times New Roman" w:cs="Times New Roman" w:eastAsia="Times New Roman" w:hAnsi="Times New Roman"/>
          <w:sz w:val="16"/>
          <w:szCs w:val="16"/>
          <w:color w:val="auto"/>
        </w:rPr>
        <w:t>”), E La Carte,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and the directors, executive officers and affiliates of the Sponsors whose names appear on the signature pages of this Sponsor Agreement (such stockholders and affiliates, the “</w:t>
      </w:r>
      <w:r>
        <w:rPr>
          <w:rFonts w:ascii="Times New Roman" w:cs="Times New Roman" w:eastAsia="Times New Roman" w:hAnsi="Times New Roman"/>
          <w:sz w:val="16"/>
          <w:szCs w:val="16"/>
          <w:u w:val="single" w:color="auto"/>
          <w:color w:val="auto"/>
        </w:rPr>
        <w:t>Insiders</w:t>
      </w:r>
      <w:r>
        <w:rPr>
          <w:rFonts w:ascii="Times New Roman" w:cs="Times New Roman" w:eastAsia="Times New Roman" w:hAnsi="Times New Roman"/>
          <w:sz w:val="16"/>
          <w:szCs w:val="16"/>
          <w:color w:val="auto"/>
        </w:rPr>
        <w:t>”, and together with the “</w:t>
      </w:r>
      <w:r>
        <w:rPr>
          <w:rFonts w:ascii="Times New Roman" w:cs="Times New Roman" w:eastAsia="Times New Roman" w:hAnsi="Times New Roman"/>
          <w:sz w:val="16"/>
          <w:szCs w:val="16"/>
          <w:u w:val="single" w:color="auto"/>
          <w:color w:val="auto"/>
        </w:rPr>
        <w:t>Sponsors</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u w:val="single" w:color="auto"/>
          <w:color w:val="auto"/>
        </w:rPr>
        <w:t>Sponsor Parties</w:t>
      </w:r>
      <w:r>
        <w:rPr>
          <w:rFonts w:ascii="Times New Roman" w:cs="Times New Roman" w:eastAsia="Times New Roman" w:hAnsi="Times New Roman"/>
          <w:sz w:val="16"/>
          <w:szCs w:val="16"/>
          <w:color w:val="auto"/>
        </w:rPr>
        <w:t>” and individually, a “</w:t>
      </w:r>
      <w:r>
        <w:rPr>
          <w:rFonts w:ascii="Times New Roman" w:cs="Times New Roman" w:eastAsia="Times New Roman" w:hAnsi="Times New Roman"/>
          <w:sz w:val="16"/>
          <w:szCs w:val="16"/>
          <w:u w:val="single" w:color="auto"/>
          <w:color w:val="auto"/>
        </w:rPr>
        <w:t>Sponsor Party</w:t>
      </w:r>
      <w:r>
        <w:rPr>
          <w:rFonts w:ascii="Times New Roman" w:cs="Times New Roman" w:eastAsia="Times New Roman" w:hAnsi="Times New Roman"/>
          <w:sz w:val="16"/>
          <w:szCs w:val="16"/>
          <w:color w:val="auto"/>
        </w:rPr>
        <w:t>”). Capitalized terms used but not defined herein shall have the respective meanings ascribed to such terms in the Merger Agreement (defined below).</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198" w:lineRule="exact"/>
        <w:rPr>
          <w:sz w:val="20"/>
          <w:szCs w:val="20"/>
          <w:color w:val="auto"/>
        </w:rPr>
      </w:pPr>
    </w:p>
    <w:p>
      <w:pPr>
        <w:jc w:val="both"/>
        <w:ind w:firstLine="574"/>
        <w:spacing w:after="0" w:line="266"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as of the date hereof, the Sponsor Parties are the holders of record and the “beneficial owners” (within the meaning of Rule 13d-3 under the Exchange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Act) of 4,312,500 shares of Acquiror Common Stock and 6,675,000 Acquiror Private Placement Warrants in the aggregate as set forth on </w:t>
      </w:r>
      <w:r>
        <w:rPr>
          <w:rFonts w:ascii="Times New Roman" w:cs="Times New Roman" w:eastAsia="Times New Roman" w:hAnsi="Times New Roman"/>
          <w:sz w:val="16"/>
          <w:szCs w:val="16"/>
          <w:u w:val="single" w:color="auto"/>
          <w:color w:val="auto"/>
        </w:rPr>
        <w:t>Schedule I</w:t>
      </w:r>
      <w:r>
        <w:rPr>
          <w:rFonts w:ascii="Times New Roman" w:cs="Times New Roman" w:eastAsia="Times New Roman" w:hAnsi="Times New Roman"/>
          <w:sz w:val="16"/>
          <w:szCs w:val="16"/>
          <w:color w:val="auto"/>
        </w:rPr>
        <w:t xml:space="preserve"> attached hereto (collectively, the “</w:t>
      </w:r>
      <w:r>
        <w:rPr>
          <w:rFonts w:ascii="Times New Roman" w:cs="Times New Roman" w:eastAsia="Times New Roman" w:hAnsi="Times New Roman"/>
          <w:sz w:val="16"/>
          <w:szCs w:val="16"/>
          <w:u w:val="single" w:color="auto"/>
          <w:color w:val="auto"/>
        </w:rPr>
        <w:t>Subject Securities</w:t>
      </w:r>
      <w:r>
        <w:rPr>
          <w:rFonts w:ascii="Times New Roman" w:cs="Times New Roman" w:eastAsia="Times New Roman" w:hAnsi="Times New Roman"/>
          <w:sz w:val="16"/>
          <w:szCs w:val="16"/>
          <w:color w:val="auto"/>
        </w:rPr>
        <w:t>”);</w:t>
      </w:r>
    </w:p>
    <w:p>
      <w:pPr>
        <w:spacing w:after="0" w:line="153" w:lineRule="exact"/>
        <w:rPr>
          <w:sz w:val="20"/>
          <w:szCs w:val="20"/>
          <w:color w:val="auto"/>
        </w:rPr>
      </w:pPr>
    </w:p>
    <w:p>
      <w:pPr>
        <w:jc w:val="both"/>
        <w:ind w:right="20" w:firstLine="574"/>
        <w:spacing w:after="0" w:line="283"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in connection with and contingent upon the Closing, the Sponsors will transfer an aggregate of 1,088,813 shares of Acquiror Common Stock to certain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investors for nominal consideration (the “</w:t>
      </w:r>
      <w:r>
        <w:rPr>
          <w:rFonts w:ascii="Times New Roman" w:cs="Times New Roman" w:eastAsia="Times New Roman" w:hAnsi="Times New Roman"/>
          <w:sz w:val="16"/>
          <w:szCs w:val="16"/>
          <w:u w:val="single" w:color="auto"/>
          <w:color w:val="auto"/>
        </w:rPr>
        <w:t>Founder Share Transfers</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Acquiror, the Company, Ventoux Merger Sub I Inc., a Delaware corporation and wholly-owned subsidiary of Acquiror (“</w:t>
      </w:r>
      <w:r>
        <w:rPr>
          <w:rFonts w:ascii="Times New Roman" w:cs="Times New Roman" w:eastAsia="Times New Roman" w:hAnsi="Times New Roman"/>
          <w:sz w:val="16"/>
          <w:szCs w:val="16"/>
          <w:u w:val="single" w:color="auto"/>
          <w:color w:val="auto"/>
        </w:rPr>
        <w:t>First Merger Sub</w:t>
      </w:r>
      <w:r>
        <w:rPr>
          <w:rFonts w:ascii="Times New Roman" w:cs="Times New Roman" w:eastAsia="Times New Roman" w:hAnsi="Times New Roman"/>
          <w:sz w:val="16"/>
          <w:szCs w:val="16"/>
          <w:color w:val="auto"/>
        </w:rPr>
        <w:t>”) and Ventoux</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Merger Sub II LLC, a Delaware limited liability company and wholly-owned subsidiary of Acquiror (“</w:t>
      </w:r>
      <w:r>
        <w:rPr>
          <w:rFonts w:ascii="Times New Roman" w:cs="Times New Roman" w:eastAsia="Times New Roman" w:hAnsi="Times New Roman"/>
          <w:sz w:val="16"/>
          <w:szCs w:val="16"/>
          <w:u w:val="single" w:color="auto"/>
          <w:color w:val="auto"/>
        </w:rPr>
        <w:t>Second Merger Sub</w:t>
      </w:r>
      <w:r>
        <w:rPr>
          <w:rFonts w:ascii="Times New Roman" w:cs="Times New Roman" w:eastAsia="Times New Roman" w:hAnsi="Times New Roman"/>
          <w:sz w:val="16"/>
          <w:szCs w:val="16"/>
          <w:color w:val="auto"/>
        </w:rPr>
        <w:t>”) have entered into that certain Agreement and Plan of Merger, dated November 10, 2021 (as amended, supplemented, restated or otherwise modified from time to time,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capitalized terms used but not otherwise defined in this Sponsor Agreement shall have the meanings ascribed to them in the Merger Agreement), pursuant to which (and subject to the terms and conditions set forth therein) First Merger Sub will merge with and into the Company (the “</w:t>
      </w:r>
      <w:r>
        <w:rPr>
          <w:rFonts w:ascii="Times New Roman" w:cs="Times New Roman" w:eastAsia="Times New Roman" w:hAnsi="Times New Roman"/>
          <w:sz w:val="16"/>
          <w:szCs w:val="16"/>
          <w:u w:val="single" w:color="auto"/>
          <w:color w:val="auto"/>
        </w:rPr>
        <w:t>First Merger</w:t>
      </w:r>
      <w:r>
        <w:rPr>
          <w:rFonts w:ascii="Times New Roman" w:cs="Times New Roman" w:eastAsia="Times New Roman" w:hAnsi="Times New Roman"/>
          <w:sz w:val="16"/>
          <w:szCs w:val="16"/>
          <w:color w:val="auto"/>
        </w:rPr>
        <w:t>”), and immediately following the First Merger, the Company will merge with and into Second Merger Sub, with Second Merger Sub continuing on as the surviving corporation and a wholly owned subsidiary of Acquiror (together with the First Merger, the “</w:t>
      </w:r>
      <w:r>
        <w:rPr>
          <w:rFonts w:ascii="Times New Roman" w:cs="Times New Roman" w:eastAsia="Times New Roman" w:hAnsi="Times New Roman"/>
          <w:sz w:val="16"/>
          <w:szCs w:val="16"/>
          <w:u w:val="single" w:color="auto"/>
          <w:color w:val="auto"/>
        </w:rPr>
        <w:t>Mergers</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jc w:val="both"/>
        <w:ind w:firstLine="574"/>
        <w:spacing w:after="0" w:line="283"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concurrently herewith, Acquiror, the Company, First Merger Sub, Second Merger Sub have entered into that certain second amendment to the Merger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w:t>
      </w:r>
      <w:r>
        <w:rPr>
          <w:rFonts w:ascii="Times New Roman" w:cs="Times New Roman" w:eastAsia="Times New Roman" w:hAnsi="Times New Roman"/>
          <w:sz w:val="16"/>
          <w:szCs w:val="16"/>
          <w:u w:val="single" w:color="auto"/>
          <w:color w:val="auto"/>
        </w:rPr>
        <w:t>Second Amendment to Merger Agreement</w:t>
      </w:r>
      <w:r>
        <w:rPr>
          <w:rFonts w:ascii="Times New Roman" w:cs="Times New Roman" w:eastAsia="Times New Roman" w:hAnsi="Times New Roman"/>
          <w:sz w:val="16"/>
          <w:szCs w:val="16"/>
          <w:color w:val="auto"/>
        </w:rPr>
        <w:t>”); and</w:t>
      </w:r>
    </w:p>
    <w:p>
      <w:pPr>
        <w:spacing w:after="0" w:line="140" w:lineRule="exact"/>
        <w:rPr>
          <w:sz w:val="20"/>
          <w:szCs w:val="20"/>
          <w:color w:val="auto"/>
        </w:rPr>
      </w:pPr>
    </w:p>
    <w:p>
      <w:pPr>
        <w:jc w:val="both"/>
        <w:ind w:right="20" w:firstLine="574"/>
        <w:spacing w:after="0" w:line="283"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as an inducement to Acquiror and the Company to enter the Second Amendment to Merger Agreement and to consummate the transactions contemplated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by the Merger Agreement, as so amended, the parties hereto desire to agree to certain matters as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358775</wp:posOffset>
            </wp:positionV>
            <wp:extent cx="7148195" cy="152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24" w:name="page225"/>
    <w:bookmarkEnd w:id="224"/>
    <w:p>
      <w:pPr>
        <w:jc w:val="center"/>
        <w:spacing w:after="0"/>
        <w:rPr>
          <w:sz w:val="20"/>
          <w:szCs w:val="20"/>
          <w:color w:val="auto"/>
        </w:rPr>
      </w:pPr>
      <w:r>
        <w:rPr>
          <w:rFonts w:ascii="Times New Roman" w:cs="Times New Roman" w:eastAsia="Times New Roman" w:hAnsi="Times New Roman"/>
          <w:sz w:val="16"/>
          <w:szCs w:val="16"/>
          <w:b w:val="1"/>
          <w:bCs w:val="1"/>
          <w:color w:val="auto"/>
        </w:rPr>
        <w:t>AGREEMENT</w:t>
      </w:r>
    </w:p>
    <w:p>
      <w:pPr>
        <w:spacing w:after="0" w:line="200" w:lineRule="exact"/>
        <w:rPr>
          <w:sz w:val="20"/>
          <w:szCs w:val="20"/>
          <w:color w:val="auto"/>
        </w:rPr>
      </w:pPr>
    </w:p>
    <w:p>
      <w:pPr>
        <w:jc w:val="both"/>
        <w:ind w:firstLine="1147"/>
        <w:spacing w:after="0" w:line="280" w:lineRule="auto"/>
        <w:rPr>
          <w:sz w:val="20"/>
          <w:szCs w:val="20"/>
          <w:color w:val="auto"/>
        </w:rPr>
      </w:pPr>
      <w:r>
        <w:rPr>
          <w:rFonts w:ascii="Times New Roman" w:cs="Times New Roman" w:eastAsia="Times New Roman" w:hAnsi="Times New Roman"/>
          <w:sz w:val="16"/>
          <w:szCs w:val="16"/>
          <w:color w:val="auto"/>
        </w:rPr>
        <w:t>NOW, THEREFORE, in consideration of the foregoing and the mutual agreements contained herein, and intending to be legally bound hereby, the parties hereto hereby agree as follows:</w:t>
      </w:r>
    </w:p>
    <w:p>
      <w:pPr>
        <w:spacing w:after="0" w:line="14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SPONSOR SUPPORT AGREEMENT; COVENANTS</w:t>
      </w:r>
    </w:p>
    <w:p>
      <w:pPr>
        <w:spacing w:after="0" w:line="182" w:lineRule="exact"/>
        <w:rPr>
          <w:sz w:val="20"/>
          <w:szCs w:val="20"/>
          <w:color w:val="auto"/>
        </w:rPr>
      </w:pPr>
    </w:p>
    <w:p>
      <w:pPr>
        <w:jc w:val="both"/>
        <w:ind w:right="20" w:firstLine="1721"/>
        <w:spacing w:after="0" w:line="259" w:lineRule="auto"/>
        <w:rPr>
          <w:sz w:val="20"/>
          <w:szCs w:val="20"/>
          <w:color w:val="auto"/>
        </w:rPr>
      </w:pPr>
      <w:r>
        <w:rPr>
          <w:rFonts w:ascii="Times New Roman" w:cs="Times New Roman" w:eastAsia="Times New Roman" w:hAnsi="Times New Roman"/>
          <w:sz w:val="16"/>
          <w:szCs w:val="16"/>
          <w:color w:val="auto"/>
        </w:rPr>
        <w:t xml:space="preserve">Section 1.1 </w:t>
      </w:r>
      <w:r>
        <w:rPr>
          <w:rFonts w:ascii="Times New Roman" w:cs="Times New Roman" w:eastAsia="Times New Roman" w:hAnsi="Times New Roman"/>
          <w:sz w:val="16"/>
          <w:szCs w:val="16"/>
          <w:u w:val="single" w:color="auto"/>
          <w:color w:val="auto"/>
        </w:rPr>
        <w:t>Binding Effect of Merger Agreement</w:t>
      </w:r>
      <w:r>
        <w:rPr>
          <w:rFonts w:ascii="Times New Roman" w:cs="Times New Roman" w:eastAsia="Times New Roman" w:hAnsi="Times New Roman"/>
          <w:sz w:val="16"/>
          <w:szCs w:val="16"/>
          <w:color w:val="auto"/>
        </w:rPr>
        <w:t>. Each Sponsor Party hereby acknowledges that it has read the Merger Agreement and this Sponsor Agreement and has had the opportunity to consult with its tax and legal advisors. Each Sponsor Party shall be bound by and comply with Sections 7.11 (</w:t>
      </w:r>
      <w:r>
        <w:rPr>
          <w:rFonts w:ascii="Times New Roman" w:cs="Times New Roman" w:eastAsia="Times New Roman" w:hAnsi="Times New Roman"/>
          <w:sz w:val="16"/>
          <w:szCs w:val="16"/>
          <w:i w:val="1"/>
          <w:iCs w:val="1"/>
          <w:color w:val="auto"/>
        </w:rPr>
        <w:t>No Solicitation</w:t>
      </w:r>
      <w:r>
        <w:rPr>
          <w:rFonts w:ascii="Times New Roman" w:cs="Times New Roman" w:eastAsia="Times New Roman" w:hAnsi="Times New Roman"/>
          <w:sz w:val="16"/>
          <w:szCs w:val="16"/>
          <w:color w:val="auto"/>
        </w:rPr>
        <w:t>) and 8.05 (</w:t>
      </w:r>
      <w:r>
        <w:rPr>
          <w:rFonts w:ascii="Times New Roman" w:cs="Times New Roman" w:eastAsia="Times New Roman" w:hAnsi="Times New Roman"/>
          <w:sz w:val="16"/>
          <w:szCs w:val="16"/>
          <w:i w:val="1"/>
          <w:iCs w:val="1"/>
          <w:color w:val="auto"/>
        </w:rPr>
        <w:t>Confidentiality; Publicity</w:t>
      </w:r>
      <w:r>
        <w:rPr>
          <w:rFonts w:ascii="Times New Roman" w:cs="Times New Roman" w:eastAsia="Times New Roman" w:hAnsi="Times New Roman"/>
          <w:sz w:val="16"/>
          <w:szCs w:val="16"/>
          <w:color w:val="auto"/>
        </w:rPr>
        <w:t>) of the Merger Agreement (and any relevant definitions contained in any such Sections) as if such Sponsor Party was an original signatory to the Merger Agreement solely with respect to such provisions.</w:t>
      </w:r>
    </w:p>
    <w:p>
      <w:pPr>
        <w:spacing w:after="0" w:line="162" w:lineRule="exact"/>
        <w:rPr>
          <w:sz w:val="20"/>
          <w:szCs w:val="20"/>
          <w:color w:val="auto"/>
        </w:rPr>
      </w:pPr>
    </w:p>
    <w:p>
      <w:pPr>
        <w:jc w:val="both"/>
        <w:ind w:firstLine="1721"/>
        <w:spacing w:after="0" w:line="252" w:lineRule="auto"/>
        <w:rPr>
          <w:sz w:val="20"/>
          <w:szCs w:val="20"/>
          <w:color w:val="auto"/>
        </w:rPr>
      </w:pPr>
      <w:r>
        <w:rPr>
          <w:rFonts w:ascii="Times New Roman" w:cs="Times New Roman" w:eastAsia="Times New Roman" w:hAnsi="Times New Roman"/>
          <w:sz w:val="16"/>
          <w:szCs w:val="16"/>
          <w:color w:val="auto"/>
        </w:rPr>
        <w:t xml:space="preserve">Section 1.2 </w:t>
      </w:r>
      <w:r>
        <w:rPr>
          <w:rFonts w:ascii="Times New Roman" w:cs="Times New Roman" w:eastAsia="Times New Roman" w:hAnsi="Times New Roman"/>
          <w:sz w:val="16"/>
          <w:szCs w:val="16"/>
          <w:u w:val="single" w:color="auto"/>
          <w:color w:val="auto"/>
        </w:rPr>
        <w:t>No Transfer</w:t>
      </w:r>
      <w:r>
        <w:rPr>
          <w:rFonts w:ascii="Times New Roman" w:cs="Times New Roman" w:eastAsia="Times New Roman" w:hAnsi="Times New Roman"/>
          <w:sz w:val="16"/>
          <w:szCs w:val="16"/>
          <w:color w:val="auto"/>
        </w:rPr>
        <w:t>. During the period commencing on the date hereof and ending on the earliest of (a) the Effective Time, (b) such date and time as the Merger Agreement shall be terminated in accordance with Section 10.01 thereof (the earlier of (a) and (b), the “</w:t>
      </w:r>
      <w:r>
        <w:rPr>
          <w:rFonts w:ascii="Times New Roman" w:cs="Times New Roman" w:eastAsia="Times New Roman" w:hAnsi="Times New Roman"/>
          <w:sz w:val="16"/>
          <w:szCs w:val="16"/>
          <w:u w:val="single" w:color="auto"/>
          <w:color w:val="auto"/>
        </w:rPr>
        <w:t>Expiration Time</w:t>
      </w:r>
      <w:r>
        <w:rPr>
          <w:rFonts w:ascii="Times New Roman" w:cs="Times New Roman" w:eastAsia="Times New Roman" w:hAnsi="Times New Roman"/>
          <w:sz w:val="16"/>
          <w:szCs w:val="16"/>
          <w:color w:val="auto"/>
        </w:rPr>
        <w:t>”) and (c) the liquidation of Acquiror, other than to effect the Founder Share Transfers, each Sponsor Party shall not, without the prior written consent of the Company, (i) sell, publicly offer to sell, enter into contract or agree to sell, hypothecate, pledge, grant any option to purchase or otherwise dispose of or agree to dispose of, directly or indirectly, file (or participate in the filing of) a registration statement with the SEC (other than the Proxy Statement/Registration Statement) or establish or increase a put equivalent position or liquidate or decrease a call equivalent position within the meaning of Section 16 of the Exchange Act, with respect to any Subject Securities owned by such Sponsor Party (unless the transferee agrees to be bound by this Sponsor Agreement), (ii) enter into any swap or other arrangement that transfers to another, in whole or in part, any of the economic consequences of ownership of any Subject Securities owned by such Sponsor Party or (iii) publicly announce any intention to effect any transaction specified in clause (i) or (ii). The preceding sentence does not apply to the exercise by Cindat USA LLC of its rights under that certain letter agreement, dated December 13, 2020, among Cindat USA LLC, Ventoux Acquisition, and (with respect to certain provisions) Edward Scheetz.</w:t>
      </w:r>
    </w:p>
    <w:p>
      <w:pPr>
        <w:spacing w:after="0" w:line="171" w:lineRule="exact"/>
        <w:rPr>
          <w:sz w:val="20"/>
          <w:szCs w:val="20"/>
          <w:color w:val="auto"/>
        </w:rPr>
      </w:pPr>
    </w:p>
    <w:p>
      <w:pPr>
        <w:jc w:val="both"/>
        <w:ind w:firstLine="1721"/>
        <w:spacing w:after="0" w:line="253" w:lineRule="auto"/>
        <w:rPr>
          <w:sz w:val="20"/>
          <w:szCs w:val="20"/>
          <w:color w:val="auto"/>
        </w:rPr>
      </w:pPr>
      <w:r>
        <w:rPr>
          <w:rFonts w:ascii="Times New Roman" w:cs="Times New Roman" w:eastAsia="Times New Roman" w:hAnsi="Times New Roman"/>
          <w:sz w:val="16"/>
          <w:szCs w:val="16"/>
          <w:color w:val="auto"/>
        </w:rPr>
        <w:t xml:space="preserve">Section 1.3 </w:t>
      </w:r>
      <w:r>
        <w:rPr>
          <w:rFonts w:ascii="Times New Roman" w:cs="Times New Roman" w:eastAsia="Times New Roman" w:hAnsi="Times New Roman"/>
          <w:sz w:val="16"/>
          <w:szCs w:val="16"/>
          <w:u w:val="single" w:color="auto"/>
          <w:color w:val="auto"/>
        </w:rPr>
        <w:t>New Shares</w:t>
      </w:r>
      <w:r>
        <w:rPr>
          <w:rFonts w:ascii="Times New Roman" w:cs="Times New Roman" w:eastAsia="Times New Roman" w:hAnsi="Times New Roman"/>
          <w:sz w:val="16"/>
          <w:szCs w:val="16"/>
          <w:color w:val="auto"/>
        </w:rPr>
        <w:t>. In the event that (a) any Acquiror Common Stock, Acquiror Warrants, Acquiror Private Placement Warrants, Acquiror Rights or other equity securities of Acquiror are issued to a Sponsor Party after the date of this Sponsor Agreement pursuant to any stock dividend, stock split, recapitalization, reclassification, combination or exchange of Acquiror Common Stock, Acquiror Warrants or Acquiror Rights of, on or affecting the Acquiror Common Stock, Acquiror Warrants or Acquiror Rights owned by such Sponsor Party or otherwise, (b) a Sponsor Party purchases or otherwise acquires beneficial ownership of any Acquiror Common Stock, Acquiror Warrants, Acquiror Rights or other equity securities of Acquiror after the date of this Sponsor Agreement, or (c) a Sponsor Party acquires the right to vote or share in the voting of any Acquiror Common Stock or other equity securities of Acquiror after the date of this Sponsor Agreement (such Acquiror Common Stock, Acquiror Warrants or other equity securities of Acquiror, collectively the “</w:t>
      </w:r>
      <w:r>
        <w:rPr>
          <w:rFonts w:ascii="Times New Roman" w:cs="Times New Roman" w:eastAsia="Times New Roman" w:hAnsi="Times New Roman"/>
          <w:sz w:val="16"/>
          <w:szCs w:val="16"/>
          <w:u w:val="single" w:color="auto"/>
          <w:color w:val="auto"/>
        </w:rPr>
        <w:t>New Securities</w:t>
      </w:r>
      <w:r>
        <w:rPr>
          <w:rFonts w:ascii="Times New Roman" w:cs="Times New Roman" w:eastAsia="Times New Roman" w:hAnsi="Times New Roman"/>
          <w:sz w:val="16"/>
          <w:szCs w:val="16"/>
          <w:color w:val="auto"/>
        </w:rPr>
        <w:t>”), then, to the extent of such Sponsor Party’s control of such New Securities, such New Securities acquired or purchased by such Sponsor Party shall be subject to the terms of this Sponsor Agreement to the same extent as if they constituted the Subject Securities owned by such Sponsor Party as of the date hereof.</w:t>
      </w:r>
    </w:p>
    <w:p>
      <w:pPr>
        <w:spacing w:after="0" w:line="166" w:lineRule="exact"/>
        <w:rPr>
          <w:sz w:val="20"/>
          <w:szCs w:val="20"/>
          <w:color w:val="auto"/>
        </w:rPr>
      </w:pPr>
    </w:p>
    <w:p>
      <w:pPr>
        <w:jc w:val="both"/>
        <w:ind w:firstLine="1721"/>
        <w:spacing w:after="0" w:line="259" w:lineRule="auto"/>
        <w:rPr>
          <w:sz w:val="20"/>
          <w:szCs w:val="20"/>
          <w:color w:val="auto"/>
        </w:rPr>
      </w:pPr>
      <w:r>
        <w:rPr>
          <w:rFonts w:ascii="Times New Roman" w:cs="Times New Roman" w:eastAsia="Times New Roman" w:hAnsi="Times New Roman"/>
          <w:sz w:val="16"/>
          <w:szCs w:val="16"/>
          <w:color w:val="auto"/>
        </w:rPr>
        <w:t xml:space="preserve">Section 1.4 </w:t>
      </w:r>
      <w:r>
        <w:rPr>
          <w:rFonts w:ascii="Times New Roman" w:cs="Times New Roman" w:eastAsia="Times New Roman" w:hAnsi="Times New Roman"/>
          <w:sz w:val="16"/>
          <w:szCs w:val="16"/>
          <w:u w:val="single" w:color="auto"/>
          <w:color w:val="auto"/>
        </w:rPr>
        <w:t>Closing Date Deliverables</w:t>
      </w:r>
      <w:r>
        <w:rPr>
          <w:rFonts w:ascii="Times New Roman" w:cs="Times New Roman" w:eastAsia="Times New Roman" w:hAnsi="Times New Roman"/>
          <w:sz w:val="16"/>
          <w:szCs w:val="16"/>
          <w:color w:val="auto"/>
        </w:rPr>
        <w:t>. On the Closing Date, (a) Ventoux Acquisition shall deliver to Acquiror and the Company a duly executed copy of that certain Amended and Restated Registration Rights Agreement, by and among Acquiror, the Company, the Sponsor Parties, certain Affiliates of the Sponsor Parties and certain of the Company’s stockholders or their respective affiliates, as applicable, in substantially the form attached as Exhibit F to the Merger Agreement (the “</w:t>
      </w:r>
      <w:r>
        <w:rPr>
          <w:rFonts w:ascii="Times New Roman" w:cs="Times New Roman" w:eastAsia="Times New Roman" w:hAnsi="Times New Roman"/>
          <w:sz w:val="16"/>
          <w:szCs w:val="16"/>
          <w:u w:val="single" w:color="auto"/>
          <w:color w:val="auto"/>
        </w:rPr>
        <w:t>Registration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Rights Agreement</w:t>
      </w:r>
      <w:r>
        <w:rPr>
          <w:rFonts w:ascii="Times New Roman" w:cs="Times New Roman" w:eastAsia="Times New Roman" w:hAnsi="Times New Roman"/>
          <w:sz w:val="16"/>
          <w:szCs w:val="16"/>
          <w:color w:val="auto"/>
        </w:rPr>
        <w:t>”) and (b) Acquiror shall deliver to the Sponsors (and the Insiders, as applicable) a duly executed copy of the Registration Rights Agreement.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25" w:name="page226"/>
    <w:bookmarkEnd w:id="225"/>
    <w:p>
      <w:pPr>
        <w:ind w:left="1720"/>
        <w:spacing w:after="0"/>
        <w:rPr>
          <w:sz w:val="20"/>
          <w:szCs w:val="20"/>
          <w:color w:val="auto"/>
        </w:rPr>
      </w:pPr>
      <w:r>
        <w:rPr>
          <w:rFonts w:ascii="Times New Roman" w:cs="Times New Roman" w:eastAsia="Times New Roman" w:hAnsi="Times New Roman"/>
          <w:sz w:val="16"/>
          <w:szCs w:val="16"/>
          <w:color w:val="auto"/>
        </w:rPr>
        <w:t xml:space="preserve">Section 1.5 </w:t>
      </w:r>
      <w:r>
        <w:rPr>
          <w:rFonts w:ascii="Times New Roman" w:cs="Times New Roman" w:eastAsia="Times New Roman" w:hAnsi="Times New Roman"/>
          <w:sz w:val="16"/>
          <w:szCs w:val="16"/>
          <w:u w:val="single" w:color="auto"/>
          <w:color w:val="auto"/>
        </w:rPr>
        <w:t>Sponsor Party Agreements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716"/>
        <w:spacing w:after="0" w:line="257" w:lineRule="auto"/>
        <w:tabs>
          <w:tab w:leader="none" w:pos="1949"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Expiration Time, at any meeting of the shareholders of Acquiror, however called, or at any adjournment thereof, or in any other circumstance in which the vote, consent or other approval of the shareholders of Acquiror is sought, each Sponsor Party shall, solely in its capacity as a record owner of common stock of Acquiror, (i) appear at each such meeting or otherwise cause all of its Acquiror Common Stock to be counted as present thereat for purposes of calculating a quorum and (ii) vote (or cause to be voted), or execute and deliver a written consent (or cause a written consent to be executed and delivered) covering, all of its Acquiror Common Stock:</w:t>
      </w:r>
    </w:p>
    <w:p>
      <w:pPr>
        <w:spacing w:after="0" w:line="162" w:lineRule="exact"/>
        <w:rPr>
          <w:rFonts w:ascii="Times New Roman" w:cs="Times New Roman" w:eastAsia="Times New Roman" w:hAnsi="Times New Roman"/>
          <w:sz w:val="16"/>
          <w:szCs w:val="16"/>
          <w:color w:val="auto"/>
        </w:rPr>
      </w:pPr>
    </w:p>
    <w:p>
      <w:pPr>
        <w:ind w:left="2760" w:hanging="183"/>
        <w:spacing w:after="0"/>
        <w:tabs>
          <w:tab w:leader="none" w:pos="2760" w:val="left"/>
        </w:tabs>
        <w:numPr>
          <w:ilvl w:val="1"/>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favor of each Proposal;</w:t>
      </w:r>
    </w:p>
    <w:p>
      <w:pPr>
        <w:spacing w:after="0" w:line="198" w:lineRule="exact"/>
        <w:rPr>
          <w:rFonts w:ascii="Times New Roman" w:cs="Times New Roman" w:eastAsia="Times New Roman" w:hAnsi="Times New Roman"/>
          <w:sz w:val="16"/>
          <w:szCs w:val="16"/>
          <w:color w:val="auto"/>
        </w:rPr>
      </w:pPr>
    </w:p>
    <w:p>
      <w:pPr>
        <w:ind w:left="2820" w:hanging="243"/>
        <w:spacing w:after="0"/>
        <w:tabs>
          <w:tab w:leader="none" w:pos="2820" w:val="left"/>
        </w:tabs>
        <w:numPr>
          <w:ilvl w:val="1"/>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against any Business Combination Proposal or any proposal relating to a Business Combination Proposal (in each case, other than</w:t>
      </w:r>
    </w:p>
    <w:p>
      <w:pPr>
        <w:spacing w:after="0" w:line="23" w:lineRule="exact"/>
        <w:rPr>
          <w:rFonts w:ascii="Times New Roman" w:cs="Times New Roman" w:eastAsia="Times New Roman" w:hAnsi="Times New Roman"/>
          <w:sz w:val="16"/>
          <w:szCs w:val="16"/>
          <w:color w:val="auto"/>
        </w:rPr>
      </w:pPr>
    </w:p>
    <w:p>
      <w:pPr>
        <w:ind w:left="5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Proposals);</w:t>
      </w:r>
    </w:p>
    <w:p>
      <w:pPr>
        <w:spacing w:after="0" w:line="181" w:lineRule="exact"/>
        <w:rPr>
          <w:rFonts w:ascii="Times New Roman" w:cs="Times New Roman" w:eastAsia="Times New Roman" w:hAnsi="Times New Roman"/>
          <w:sz w:val="16"/>
          <w:szCs w:val="16"/>
          <w:color w:val="auto"/>
        </w:rPr>
      </w:pPr>
    </w:p>
    <w:p>
      <w:pPr>
        <w:ind w:left="560" w:right="20" w:firstLine="2017"/>
        <w:spacing w:after="0" w:line="280" w:lineRule="auto"/>
        <w:tabs>
          <w:tab w:leader="none" w:pos="2846" w:val="left"/>
        </w:tabs>
        <w:numPr>
          <w:ilvl w:val="1"/>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against any merger agreement or merger (other than the Merger Agreement and the Mergers), consolidation, combination, sale of substantial assets, reorganization, recapitalization, dissolution, liquidation or winding up of or by Acquiror;</w:t>
      </w:r>
    </w:p>
    <w:p>
      <w:pPr>
        <w:spacing w:after="0" w:line="144" w:lineRule="exact"/>
        <w:rPr>
          <w:rFonts w:ascii="Times New Roman" w:cs="Times New Roman" w:eastAsia="Times New Roman" w:hAnsi="Times New Roman"/>
          <w:sz w:val="16"/>
          <w:szCs w:val="16"/>
          <w:color w:val="auto"/>
        </w:rPr>
      </w:pPr>
    </w:p>
    <w:p>
      <w:pPr>
        <w:ind w:left="2840" w:hanging="263"/>
        <w:spacing w:after="0"/>
        <w:tabs>
          <w:tab w:leader="none" w:pos="2840" w:val="left"/>
        </w:tabs>
        <w:numPr>
          <w:ilvl w:val="1"/>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against any change in the business, management or Board of Directors of Acquiror (other than in connection with the Proposals);</w:t>
      </w:r>
    </w:p>
    <w:p>
      <w:pPr>
        <w:spacing w:after="0" w:line="23" w:lineRule="exact"/>
        <w:rPr>
          <w:rFonts w:ascii="Times New Roman" w:cs="Times New Roman" w:eastAsia="Times New Roman" w:hAnsi="Times New Roman"/>
          <w:sz w:val="16"/>
          <w:szCs w:val="16"/>
          <w:color w:val="auto"/>
        </w:rPr>
      </w:pPr>
    </w:p>
    <w:p>
      <w:pPr>
        <w:ind w:left="5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and</w:t>
      </w:r>
    </w:p>
    <w:p>
      <w:pPr>
        <w:spacing w:after="0" w:line="181" w:lineRule="exact"/>
        <w:rPr>
          <w:rFonts w:ascii="Times New Roman" w:cs="Times New Roman" w:eastAsia="Times New Roman" w:hAnsi="Times New Roman"/>
          <w:sz w:val="16"/>
          <w:szCs w:val="16"/>
          <w:color w:val="auto"/>
        </w:rPr>
      </w:pPr>
    </w:p>
    <w:p>
      <w:pPr>
        <w:jc w:val="both"/>
        <w:ind w:left="560" w:right="20" w:firstLine="2017"/>
        <w:spacing w:after="0" w:line="259" w:lineRule="auto"/>
        <w:tabs>
          <w:tab w:leader="none" w:pos="2817" w:val="left"/>
        </w:tabs>
        <w:numPr>
          <w:ilvl w:val="1"/>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against any proposal, action or agreement that would (A) impede, frustrate, prevent or nullify any provision of this Sponsor Agreement, the Merger Agreement or the Mergers, (B) result in a breach in any respect of any covenant, representation, warranty or any other obligation or agreement of Acquiror, First Merger Sub or Second Merger Sub under the Merger Agreement, (C) result in any of the conditions set forth in Article IX of the Merger Agreement not being fulfilled or (D) change in any manner the dividend policy or capitalization of, including the voting rights of any class of capital stock of, Acquiror.</w:t>
      </w:r>
    </w:p>
    <w:p>
      <w:pPr>
        <w:spacing w:after="0" w:line="162" w:lineRule="exact"/>
        <w:rPr>
          <w:sz w:val="20"/>
          <w:szCs w:val="20"/>
          <w:color w:val="auto"/>
        </w:rPr>
      </w:pPr>
    </w:p>
    <w:p>
      <w:pPr>
        <w:ind w:firstLine="574"/>
        <w:spacing w:after="0" w:line="280" w:lineRule="auto"/>
        <w:rPr>
          <w:sz w:val="20"/>
          <w:szCs w:val="20"/>
          <w:color w:val="auto"/>
        </w:rPr>
      </w:pPr>
      <w:r>
        <w:rPr>
          <w:rFonts w:ascii="Times New Roman" w:cs="Times New Roman" w:eastAsia="Times New Roman" w:hAnsi="Times New Roman"/>
          <w:sz w:val="16"/>
          <w:szCs w:val="16"/>
          <w:color w:val="auto"/>
        </w:rPr>
        <w:t xml:space="preserve">Each Sponsor Party hereby agrees, in such Person’s capacity as a record owner of, or owner of interests representing the economic benefits of, common stock of Acquiror, that such Sponsor Party shall not commit or agree to take any action inconsistent with the foregoing obligation set forth in </w:t>
      </w:r>
      <w:r>
        <w:rPr>
          <w:rFonts w:ascii="Times New Roman" w:cs="Times New Roman" w:eastAsia="Times New Roman" w:hAnsi="Times New Roman"/>
          <w:sz w:val="16"/>
          <w:szCs w:val="16"/>
          <w:u w:val="single" w:color="auto"/>
          <w:color w:val="auto"/>
        </w:rPr>
        <w:t>Section 1.5(a)</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(b) Each Sponsor Party shall comply with, and fully perform all of its obligations, covenants and agreements set forth in, the Insider Letter (as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defined below).</w:t>
      </w:r>
    </w:p>
    <w:p>
      <w:pPr>
        <w:spacing w:after="0" w:line="182" w:lineRule="exact"/>
        <w:rPr>
          <w:sz w:val="20"/>
          <w:szCs w:val="20"/>
          <w:color w:val="auto"/>
        </w:rPr>
      </w:pPr>
    </w:p>
    <w:p>
      <w:pPr>
        <w:ind w:left="1940" w:hanging="224"/>
        <w:spacing w:after="0"/>
        <w:tabs>
          <w:tab w:leader="none" w:pos="1940"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Sponsor Party agrees not to redeem any of its, his or her shares of Acquiror Common Stock in connection with the Mergers.</w:t>
      </w:r>
    </w:p>
    <w:p>
      <w:pPr>
        <w:spacing w:after="0" w:line="198" w:lineRule="exact"/>
        <w:rPr>
          <w:rFonts w:ascii="Times New Roman" w:cs="Times New Roman" w:eastAsia="Times New Roman" w:hAnsi="Times New Roman"/>
          <w:sz w:val="16"/>
          <w:szCs w:val="16"/>
          <w:color w:val="auto"/>
        </w:rPr>
      </w:pPr>
    </w:p>
    <w:p>
      <w:pPr>
        <w:ind w:right="20" w:firstLine="1716"/>
        <w:spacing w:after="0" w:line="280" w:lineRule="auto"/>
        <w:tabs>
          <w:tab w:leader="none" w:pos="1954"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During the period commencing on the date hereof and ending on the earlier of the Effective Date and the termination of the Merger Agreement pursuant to Section 10.01 thereof, without the prior written consent of the Company, each Sponsor Party shall not modify or amend any Contract listed on </w:t>
      </w:r>
      <w:r>
        <w:rPr>
          <w:rFonts w:ascii="Times New Roman" w:cs="Times New Roman" w:eastAsia="Times New Roman" w:hAnsi="Times New Roman"/>
          <w:sz w:val="16"/>
          <w:szCs w:val="16"/>
          <w:u w:val="single" w:color="auto"/>
          <w:color w:val="auto"/>
        </w:rPr>
        <w:t>Schedule II</w:t>
      </w:r>
      <w:r>
        <w:rPr>
          <w:rFonts w:ascii="Times New Roman" w:cs="Times New Roman" w:eastAsia="Times New Roman" w:hAnsi="Times New Roman"/>
          <w:sz w:val="16"/>
          <w:szCs w:val="16"/>
          <w:color w:val="auto"/>
        </w:rPr>
        <w:t xml:space="preserve"> hereto.</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26" w:name="page227"/>
    <w:bookmarkEnd w:id="226"/>
    <w:p>
      <w:pPr>
        <w:ind w:left="1720"/>
        <w:spacing w:after="0"/>
        <w:rPr>
          <w:sz w:val="20"/>
          <w:szCs w:val="20"/>
          <w:color w:val="auto"/>
        </w:rPr>
      </w:pPr>
      <w:r>
        <w:rPr>
          <w:rFonts w:ascii="Times New Roman" w:cs="Times New Roman" w:eastAsia="Times New Roman" w:hAnsi="Times New Roman"/>
          <w:sz w:val="16"/>
          <w:szCs w:val="16"/>
          <w:color w:val="auto"/>
        </w:rPr>
        <w:t xml:space="preserve">Section 1.6 </w:t>
      </w:r>
      <w:r>
        <w:rPr>
          <w:rFonts w:ascii="Times New Roman" w:cs="Times New Roman" w:eastAsia="Times New Roman" w:hAnsi="Times New Roman"/>
          <w:sz w:val="16"/>
          <w:szCs w:val="16"/>
          <w:u w:val="single" w:color="auto"/>
          <w:color w:val="auto"/>
        </w:rPr>
        <w:t>Lock-up</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716"/>
        <w:spacing w:after="0" w:line="257" w:lineRule="auto"/>
        <w:tabs>
          <w:tab w:leader="none" w:pos="1937"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w:t>
      </w:r>
      <w:r>
        <w:rPr>
          <w:rFonts w:ascii="Times New Roman" w:cs="Times New Roman" w:eastAsia="Times New Roman" w:hAnsi="Times New Roman"/>
          <w:sz w:val="16"/>
          <w:szCs w:val="16"/>
          <w:u w:val="single" w:color="auto"/>
          <w:color w:val="auto"/>
        </w:rPr>
        <w:t>Section 1.6(c)</w:t>
      </w:r>
      <w:r>
        <w:rPr>
          <w:rFonts w:ascii="Times New Roman" w:cs="Times New Roman" w:eastAsia="Times New Roman" w:hAnsi="Times New Roman"/>
          <w:sz w:val="16"/>
          <w:szCs w:val="16"/>
          <w:color w:val="auto"/>
        </w:rPr>
        <w:t>, each Sponsor Party agrees that it shall not Transfer any of its, his or her shares of Acquiror Common Stock as set forth opposite such Sponsor Party’s name on Schedule I attached hereto (in respect of each Sponsor Party, the “</w:t>
      </w:r>
      <w:r>
        <w:rPr>
          <w:rFonts w:ascii="Times New Roman" w:cs="Times New Roman" w:eastAsia="Times New Roman" w:hAnsi="Times New Roman"/>
          <w:sz w:val="16"/>
          <w:szCs w:val="16"/>
          <w:u w:val="single" w:color="auto"/>
          <w:color w:val="auto"/>
        </w:rPr>
        <w:t>Founder Shares</w:t>
      </w:r>
      <w:r>
        <w:rPr>
          <w:rFonts w:ascii="Times New Roman" w:cs="Times New Roman" w:eastAsia="Times New Roman" w:hAnsi="Times New Roman"/>
          <w:sz w:val="16"/>
          <w:szCs w:val="16"/>
          <w:color w:val="auto"/>
        </w:rPr>
        <w:t>”) during the period beginning on the Closing Date until, in respect of all of its, his or her Founder Shares that are owned immediately after the Closing, the date that is eighteen (18) months from and after the Closing Date (such period, the “</w:t>
      </w:r>
      <w:r>
        <w:rPr>
          <w:rFonts w:ascii="Times New Roman" w:cs="Times New Roman" w:eastAsia="Times New Roman" w:hAnsi="Times New Roman"/>
          <w:sz w:val="16"/>
          <w:szCs w:val="16"/>
          <w:u w:val="single" w:color="auto"/>
          <w:color w:val="auto"/>
        </w:rPr>
        <w:t>Lock-Up Period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prohibition shall not apply to Transfers (x) permitted pursuant to </w:t>
      </w:r>
      <w:r>
        <w:rPr>
          <w:rFonts w:ascii="Times New Roman" w:cs="Times New Roman" w:eastAsia="Times New Roman" w:hAnsi="Times New Roman"/>
          <w:sz w:val="16"/>
          <w:szCs w:val="16"/>
          <w:u w:val="single" w:color="auto"/>
          <w:color w:val="auto"/>
        </w:rPr>
        <w:t>Section 1.6(c)</w:t>
      </w:r>
      <w:r>
        <w:rPr>
          <w:rFonts w:ascii="Times New Roman" w:cs="Times New Roman" w:eastAsia="Times New Roman" w:hAnsi="Times New Roman"/>
          <w:sz w:val="16"/>
          <w:szCs w:val="16"/>
          <w:color w:val="auto"/>
        </w:rPr>
        <w:t xml:space="preserve"> or (y) permitted pursuant to the organizational documents of Acquiror, as in effect on the Closing Date, as the same may be amended from time to time (the “</w:t>
      </w:r>
      <w:r>
        <w:rPr>
          <w:rFonts w:ascii="Times New Roman" w:cs="Times New Roman" w:eastAsia="Times New Roman" w:hAnsi="Times New Roman"/>
          <w:sz w:val="16"/>
          <w:szCs w:val="16"/>
          <w:u w:val="single" w:color="auto"/>
          <w:color w:val="auto"/>
        </w:rPr>
        <w:t>Governing Documents</w:t>
      </w:r>
      <w:r>
        <w:rPr>
          <w:rFonts w:ascii="Times New Roman" w:cs="Times New Roman" w:eastAsia="Times New Roman" w:hAnsi="Times New Roman"/>
          <w:sz w:val="16"/>
          <w:szCs w:val="16"/>
          <w:color w:val="auto"/>
        </w:rPr>
        <w:t>”).</w:t>
      </w:r>
    </w:p>
    <w:p>
      <w:pPr>
        <w:spacing w:after="0" w:line="162" w:lineRule="exact"/>
        <w:rPr>
          <w:rFonts w:ascii="Times New Roman" w:cs="Times New Roman" w:eastAsia="Times New Roman" w:hAnsi="Times New Roman"/>
          <w:sz w:val="16"/>
          <w:szCs w:val="16"/>
          <w:color w:val="auto"/>
        </w:rPr>
      </w:pPr>
    </w:p>
    <w:p>
      <w:pPr>
        <w:ind w:left="1940" w:hanging="224"/>
        <w:spacing w:after="0"/>
        <w:tabs>
          <w:tab w:leader="none" w:pos="1940"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Sponsor Party agrees that it shall not Transfer any Acquiror Warrants during the applicable Lock-Up Period.</w:t>
      </w:r>
    </w:p>
    <w:p>
      <w:pPr>
        <w:spacing w:after="0" w:line="198" w:lineRule="exact"/>
        <w:rPr>
          <w:rFonts w:ascii="Times New Roman" w:cs="Times New Roman" w:eastAsia="Times New Roman" w:hAnsi="Times New Roman"/>
          <w:sz w:val="16"/>
          <w:szCs w:val="16"/>
          <w:color w:val="auto"/>
        </w:rPr>
      </w:pPr>
    </w:p>
    <w:p>
      <w:pPr>
        <w:jc w:val="both"/>
        <w:ind w:right="20" w:firstLine="1716"/>
        <w:spacing w:after="0" w:line="257" w:lineRule="auto"/>
        <w:tabs>
          <w:tab w:leader="none" w:pos="1937"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the provisions set forth in </w:t>
      </w:r>
      <w:r>
        <w:rPr>
          <w:rFonts w:ascii="Times New Roman" w:cs="Times New Roman" w:eastAsia="Times New Roman" w:hAnsi="Times New Roman"/>
          <w:sz w:val="16"/>
          <w:szCs w:val="16"/>
          <w:u w:val="single" w:color="auto"/>
          <w:color w:val="auto"/>
        </w:rPr>
        <w:t>Section 1.6(a)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Transfers of the Founder Shares and Acquiror Warrants that are that are held by a Sponsor Party or any of their permitted transferees (that have complied with this </w:t>
      </w:r>
      <w:r>
        <w:rPr>
          <w:rFonts w:ascii="Times New Roman" w:cs="Times New Roman" w:eastAsia="Times New Roman" w:hAnsi="Times New Roman"/>
          <w:sz w:val="16"/>
          <w:szCs w:val="16"/>
          <w:u w:val="single" w:color="auto"/>
          <w:color w:val="auto"/>
        </w:rPr>
        <w:t>Section 1.6(c)</w:t>
      </w:r>
      <w:r>
        <w:rPr>
          <w:rFonts w:ascii="Times New Roman" w:cs="Times New Roman" w:eastAsia="Times New Roman" w:hAnsi="Times New Roman"/>
          <w:sz w:val="16"/>
          <w:szCs w:val="16"/>
          <w:color w:val="auto"/>
        </w:rPr>
        <w:t xml:space="preserve">) are permitted in accordance with the Governing Documents;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any such Transfer shall be permitted only if, as a precondition to such Transfer, the transferee agrees in a writing, reasonably satisfactory in form and substance to Acquiror, to assume all of the obligations of the Sponsor Party under, and be bound by all of the terms of, this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xml:space="preserve">, that any Transfer permitted under this </w:t>
      </w:r>
      <w:r>
        <w:rPr>
          <w:rFonts w:ascii="Times New Roman" w:cs="Times New Roman" w:eastAsia="Times New Roman" w:hAnsi="Times New Roman"/>
          <w:sz w:val="16"/>
          <w:szCs w:val="16"/>
          <w:u w:val="single" w:color="auto"/>
          <w:color w:val="auto"/>
        </w:rPr>
        <w:t>Section 1.6(c)</w:t>
      </w:r>
      <w:r>
        <w:rPr>
          <w:rFonts w:ascii="Times New Roman" w:cs="Times New Roman" w:eastAsia="Times New Roman" w:hAnsi="Times New Roman"/>
          <w:sz w:val="16"/>
          <w:szCs w:val="16"/>
          <w:color w:val="auto"/>
        </w:rPr>
        <w:t xml:space="preserve"> shall not relieve the Sponsor Party of its obligations under this Sponsor Agreement.</w:t>
      </w:r>
    </w:p>
    <w:p>
      <w:pPr>
        <w:spacing w:after="0" w:line="162" w:lineRule="exact"/>
        <w:rPr>
          <w:rFonts w:ascii="Times New Roman" w:cs="Times New Roman" w:eastAsia="Times New Roman" w:hAnsi="Times New Roman"/>
          <w:sz w:val="16"/>
          <w:szCs w:val="16"/>
          <w:color w:val="auto"/>
        </w:rPr>
      </w:pPr>
    </w:p>
    <w:p>
      <w:pPr>
        <w:ind w:firstLine="1716"/>
        <w:spacing w:after="0" w:line="280" w:lineRule="auto"/>
        <w:tabs>
          <w:tab w:leader="none" w:pos="1946"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applicable Lock-Up Period for the respective Sponsor Parties, any purported Transfer of applicable Founder Shares not in accordance with this Sponsor Agreement shall be null and void, and Acquiror shall refuse to recognize any such Transfer for any purpose.</w:t>
      </w:r>
    </w:p>
    <w:p>
      <w:pPr>
        <w:spacing w:after="0" w:line="144" w:lineRule="exact"/>
        <w:rPr>
          <w:rFonts w:ascii="Times New Roman" w:cs="Times New Roman" w:eastAsia="Times New Roman" w:hAnsi="Times New Roman"/>
          <w:sz w:val="16"/>
          <w:szCs w:val="16"/>
          <w:color w:val="auto"/>
        </w:rPr>
      </w:pPr>
    </w:p>
    <w:p>
      <w:pPr>
        <w:jc w:val="both"/>
        <w:ind w:firstLine="1716"/>
        <w:spacing w:after="0" w:line="265" w:lineRule="auto"/>
        <w:tabs>
          <w:tab w:leader="none" w:pos="1949"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Sponsor Parties acknowledge and agree that, notwithstanding anything to the contrary contained in this Agreement, the Founder Shares beneficially owned or otherwise held by such Person shall remain subject to any restrictions on Transfer under applicable securities Laws of any Governmental Authority, including all applicable holding periods under the Securities Act and other rules of the SEC.</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 xml:space="preserve">Section 1.7 </w:t>
      </w:r>
      <w:r>
        <w:rPr>
          <w:rFonts w:ascii="Times New Roman" w:cs="Times New Roman" w:eastAsia="Times New Roman" w:hAnsi="Times New Roman"/>
          <w:sz w:val="16"/>
          <w:szCs w:val="16"/>
          <w:u w:val="single" w:color="auto"/>
          <w:color w:val="auto"/>
        </w:rPr>
        <w:t>Vesting Provisions Applicable to Founder Shares.</w:t>
      </w:r>
    </w:p>
    <w:p>
      <w:pPr>
        <w:spacing w:after="0" w:line="198" w:lineRule="exact"/>
        <w:rPr>
          <w:sz w:val="20"/>
          <w:szCs w:val="20"/>
          <w:color w:val="auto"/>
        </w:rPr>
      </w:pPr>
    </w:p>
    <w:p>
      <w:pPr>
        <w:jc w:val="both"/>
        <w:ind w:firstLine="1716"/>
        <w:spacing w:after="0" w:line="265" w:lineRule="auto"/>
        <w:tabs>
          <w:tab w:leader="none" w:pos="1961"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Vested Founder Shares</w:t>
      </w:r>
      <w:r>
        <w:rPr>
          <w:rFonts w:ascii="Times New Roman" w:cs="Times New Roman" w:eastAsia="Times New Roman" w:hAnsi="Times New Roman"/>
          <w:sz w:val="16"/>
          <w:szCs w:val="16"/>
          <w:color w:val="auto"/>
        </w:rPr>
        <w:t>. Each Sponsor agrees that, as of and contingent upon the consummation of the Closing, an aggregate of 2,689,187 Founder Shares (apportioned pro-rata between the Sponsors) shall be vested (but, for the avoidance of doubt, shall be subject to the transfer restrictions in Section 1.6 and any restrictions on Transfer under applicable securities Laws).</w:t>
      </w:r>
    </w:p>
    <w:p>
      <w:pPr>
        <w:spacing w:after="0" w:line="155" w:lineRule="exact"/>
        <w:rPr>
          <w:rFonts w:ascii="Times New Roman" w:cs="Times New Roman" w:eastAsia="Times New Roman" w:hAnsi="Times New Roman"/>
          <w:sz w:val="16"/>
          <w:szCs w:val="16"/>
          <w:color w:val="auto"/>
        </w:rPr>
      </w:pPr>
    </w:p>
    <w:p>
      <w:pPr>
        <w:jc w:val="both"/>
        <w:ind w:right="20" w:firstLine="1716"/>
        <w:spacing w:after="0" w:line="259" w:lineRule="auto"/>
        <w:tabs>
          <w:tab w:leader="none" w:pos="1970"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Unvested Founders Shares; Vesting; Forfeiture.</w:t>
      </w:r>
      <w:r>
        <w:rPr>
          <w:rFonts w:ascii="Times New Roman" w:cs="Times New Roman" w:eastAsia="Times New Roman" w:hAnsi="Times New Roman"/>
          <w:sz w:val="16"/>
          <w:szCs w:val="16"/>
          <w:color w:val="auto"/>
        </w:rPr>
        <w:t xml:space="preserve"> Each Sponsor agrees that, as of and contingent upon the consummation of the Closing, an aggregate of 444,500 Founder Shares (“</w:t>
      </w:r>
      <w:r>
        <w:rPr>
          <w:rFonts w:ascii="Times New Roman" w:cs="Times New Roman" w:eastAsia="Times New Roman" w:hAnsi="Times New Roman"/>
          <w:sz w:val="16"/>
          <w:szCs w:val="16"/>
          <w:u w:val="single" w:color="auto"/>
          <w:color w:val="auto"/>
        </w:rPr>
        <w:t>Unvested Founder Shares</w:t>
      </w:r>
      <w:r>
        <w:rPr>
          <w:rFonts w:ascii="Times New Roman" w:cs="Times New Roman" w:eastAsia="Times New Roman" w:hAnsi="Times New Roman"/>
          <w:sz w:val="16"/>
          <w:szCs w:val="16"/>
          <w:color w:val="auto"/>
        </w:rPr>
        <w:t xml:space="preserve">”) (apportioned pro-rata between the Sponsors) shall be subject to the vesting and forfeiture provisions set forth in this </w:t>
      </w:r>
      <w:r>
        <w:rPr>
          <w:rFonts w:ascii="Times New Roman" w:cs="Times New Roman" w:eastAsia="Times New Roman" w:hAnsi="Times New Roman"/>
          <w:sz w:val="16"/>
          <w:szCs w:val="16"/>
          <w:u w:val="single" w:color="auto"/>
          <w:color w:val="auto"/>
        </w:rPr>
        <w:t>Section 1.7(b)</w:t>
      </w:r>
      <w:r>
        <w:rPr>
          <w:rFonts w:ascii="Times New Roman" w:cs="Times New Roman" w:eastAsia="Times New Roman" w:hAnsi="Times New Roman"/>
          <w:sz w:val="16"/>
          <w:szCs w:val="16"/>
          <w:color w:val="auto"/>
        </w:rPr>
        <w:t xml:space="preserve">. Each Sponsor agrees that it shall not Transfer any unvested Founder Shares prior to the date such Founder Shares become vested pursuant to this </w:t>
      </w:r>
      <w:r>
        <w:rPr>
          <w:rFonts w:ascii="Times New Roman" w:cs="Times New Roman" w:eastAsia="Times New Roman" w:hAnsi="Times New Roman"/>
          <w:sz w:val="16"/>
          <w:szCs w:val="16"/>
          <w:u w:val="single" w:color="auto"/>
          <w:color w:val="auto"/>
        </w:rPr>
        <w:t>Section 1.7(b)</w:t>
      </w:r>
      <w:r>
        <w:rPr>
          <w:rFonts w:ascii="Times New Roman" w:cs="Times New Roman" w:eastAsia="Times New Roman" w:hAnsi="Times New Roman"/>
          <w:sz w:val="16"/>
          <w:szCs w:val="16"/>
          <w:color w:val="auto"/>
        </w:rPr>
        <w:t xml:space="preserve"> and in any event prior to the expiration of the Lock-Up Period, except to the extent permitted by </w:t>
      </w:r>
      <w:r>
        <w:rPr>
          <w:rFonts w:ascii="Times New Roman" w:cs="Times New Roman" w:eastAsia="Times New Roman" w:hAnsi="Times New Roman"/>
          <w:sz w:val="16"/>
          <w:szCs w:val="16"/>
          <w:u w:val="single" w:color="auto"/>
          <w:color w:val="auto"/>
        </w:rPr>
        <w:t>Section 1.6(c)</w:t>
      </w:r>
      <w:r>
        <w:rPr>
          <w:rFonts w:ascii="Times New Roman" w:cs="Times New Roman" w:eastAsia="Times New Roman" w:hAnsi="Times New Roman"/>
          <w:sz w:val="16"/>
          <w:szCs w:val="16"/>
          <w:color w:val="auto"/>
        </w:rPr>
        <w:t>.</w:t>
      </w:r>
    </w:p>
    <w:p>
      <w:pPr>
        <w:spacing w:after="0" w:line="161" w:lineRule="exact"/>
        <w:rPr>
          <w:rFonts w:ascii="Times New Roman" w:cs="Times New Roman" w:eastAsia="Times New Roman" w:hAnsi="Times New Roman"/>
          <w:sz w:val="16"/>
          <w:szCs w:val="16"/>
          <w:color w:val="auto"/>
        </w:rPr>
      </w:pPr>
    </w:p>
    <w:p>
      <w:pPr>
        <w:ind w:left="560" w:right="20" w:firstLine="2017"/>
        <w:spacing w:after="0" w:line="280" w:lineRule="auto"/>
        <w:tabs>
          <w:tab w:leader="none" w:pos="2760" w:val="left"/>
        </w:tabs>
        <w:numPr>
          <w:ilvl w:val="1"/>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first 25% of the Unvested Founder Shares owned by the Sponsors (111,125 Founder Shares) shall vest at such time as a $12.00 Stock Price Level (as defined below) is achieved on or before the date that is five (5) years after the Closing Date.</w:t>
      </w:r>
    </w:p>
    <w:p>
      <w:pPr>
        <w:spacing w:after="0" w:line="144" w:lineRule="exact"/>
        <w:rPr>
          <w:rFonts w:ascii="Times New Roman" w:cs="Times New Roman" w:eastAsia="Times New Roman" w:hAnsi="Times New Roman"/>
          <w:sz w:val="16"/>
          <w:szCs w:val="16"/>
          <w:color w:val="auto"/>
        </w:rPr>
      </w:pPr>
    </w:p>
    <w:p>
      <w:pPr>
        <w:ind w:left="560" w:right="20" w:firstLine="2017"/>
        <w:spacing w:after="0" w:line="280" w:lineRule="auto"/>
        <w:tabs>
          <w:tab w:leader="none" w:pos="2803" w:val="left"/>
        </w:tabs>
        <w:numPr>
          <w:ilvl w:val="1"/>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next 25% of the unvested Founder Shares owned by the Sponsors (111,125 Founder Shares) shall vest at such time as a $15.00 Stock Price Level (as defined below) is achieved on or before the date that is five (5) years after the Closing Date.</w:t>
      </w:r>
    </w:p>
    <w:p>
      <w:pPr>
        <w:spacing w:after="0" w:line="144" w:lineRule="exact"/>
        <w:rPr>
          <w:rFonts w:ascii="Times New Roman" w:cs="Times New Roman" w:eastAsia="Times New Roman" w:hAnsi="Times New Roman"/>
          <w:sz w:val="16"/>
          <w:szCs w:val="16"/>
          <w:color w:val="auto"/>
        </w:rPr>
      </w:pPr>
    </w:p>
    <w:p>
      <w:pPr>
        <w:ind w:left="560" w:right="20" w:firstLine="2017"/>
        <w:spacing w:after="0" w:line="280" w:lineRule="auto"/>
        <w:tabs>
          <w:tab w:leader="none" w:pos="2845" w:val="left"/>
        </w:tabs>
        <w:numPr>
          <w:ilvl w:val="1"/>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next 25% of the unvested Founder Shares owned by the Sponsors (111,125 Founder Shares) shall vest at such time as a $20.00 Stock Price Level (as defined below) is achieved on or before the date that is five (5) years after the Closing Date.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27" w:name="page228"/>
    <w:bookmarkEnd w:id="227"/>
    <w:p>
      <w:pPr>
        <w:ind w:left="560" w:firstLine="2017"/>
        <w:spacing w:after="0" w:line="280" w:lineRule="auto"/>
        <w:tabs>
          <w:tab w:leader="none" w:pos="2842" w:val="left"/>
        </w:tabs>
        <w:numPr>
          <w:ilvl w:val="0"/>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remaining 25% of the unvested Founder Shares owned by the Sponsors (111,125 Founder Shares) shall vest at such time as a $25.00 Stock Price Level (as defined below) is achieved on or before the date that is five (5) years after the Closing Date.</w:t>
      </w:r>
    </w:p>
    <w:p>
      <w:pPr>
        <w:spacing w:after="0" w:line="144" w:lineRule="exact"/>
        <w:rPr>
          <w:rFonts w:ascii="Times New Roman" w:cs="Times New Roman" w:eastAsia="Times New Roman" w:hAnsi="Times New Roman"/>
          <w:sz w:val="16"/>
          <w:szCs w:val="16"/>
          <w:color w:val="auto"/>
        </w:rPr>
      </w:pPr>
    </w:p>
    <w:p>
      <w:pPr>
        <w:jc w:val="both"/>
        <w:ind w:left="560" w:firstLine="2017"/>
        <w:spacing w:after="0" w:line="265" w:lineRule="auto"/>
        <w:tabs>
          <w:tab w:leader="none" w:pos="2799" w:val="left"/>
        </w:tabs>
        <w:numPr>
          <w:ilvl w:val="0"/>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avoidance of doubt, if the applicable Stock Price Level is not achieved on or prior to the date that is five (5) years after the Closing Date, the applicable Unvested Founder Shares shall not vest and shall be automatically forfeited and cancelled for no consideration. For clarity, the applicable Trading Day period for such Stock Price Level shall commence on the date hereof.</w:t>
      </w:r>
    </w:p>
    <w:p>
      <w:pPr>
        <w:spacing w:after="0" w:line="155" w:lineRule="exact"/>
        <w:rPr>
          <w:rFonts w:ascii="Times New Roman" w:cs="Times New Roman" w:eastAsia="Times New Roman" w:hAnsi="Times New Roman"/>
          <w:sz w:val="16"/>
          <w:szCs w:val="16"/>
          <w:color w:val="auto"/>
        </w:rPr>
      </w:pPr>
    </w:p>
    <w:p>
      <w:pPr>
        <w:ind w:left="2880" w:hanging="303"/>
        <w:spacing w:after="0"/>
        <w:tabs>
          <w:tab w:leader="none" w:pos="2880" w:val="left"/>
        </w:tabs>
        <w:numPr>
          <w:ilvl w:val="0"/>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foregoing, in the event of a Fundamental Change (as defined below), any unvested Founder Shares shall</w:t>
      </w:r>
    </w:p>
    <w:p>
      <w:pPr>
        <w:spacing w:after="0" w:line="23" w:lineRule="exact"/>
        <w:rPr>
          <w:rFonts w:ascii="Times New Roman" w:cs="Times New Roman" w:eastAsia="Times New Roman" w:hAnsi="Times New Roman"/>
          <w:sz w:val="16"/>
          <w:szCs w:val="16"/>
          <w:color w:val="auto"/>
        </w:rPr>
      </w:pPr>
    </w:p>
    <w:p>
      <w:pPr>
        <w:ind w:left="5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automatically vest.</w:t>
      </w:r>
    </w:p>
    <w:p>
      <w:pPr>
        <w:spacing w:after="0" w:line="181" w:lineRule="exact"/>
        <w:rPr>
          <w:rFonts w:ascii="Times New Roman" w:cs="Times New Roman" w:eastAsia="Times New Roman" w:hAnsi="Times New Roman"/>
          <w:sz w:val="16"/>
          <w:szCs w:val="16"/>
          <w:color w:val="auto"/>
        </w:rPr>
      </w:pPr>
    </w:p>
    <w:p>
      <w:pPr>
        <w:ind w:left="2880" w:hanging="303"/>
        <w:spacing w:after="0"/>
        <w:tabs>
          <w:tab w:leader="none" w:pos="2880" w:val="left"/>
        </w:tabs>
        <w:numPr>
          <w:ilvl w:val="0"/>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“Fundamental Change” shall be deemed to have occurred at the time after the Closing if any of the following occurs</w:t>
      </w:r>
    </w:p>
    <w:p>
      <w:pPr>
        <w:spacing w:after="0" w:line="198" w:lineRule="exact"/>
        <w:rPr>
          <w:rFonts w:ascii="Times New Roman" w:cs="Times New Roman" w:eastAsia="Times New Roman" w:hAnsi="Times New Roman"/>
          <w:sz w:val="16"/>
          <w:szCs w:val="16"/>
          <w:color w:val="auto"/>
        </w:rPr>
      </w:pPr>
    </w:p>
    <w:p>
      <w:pPr>
        <w:jc w:val="both"/>
        <w:ind w:left="560" w:firstLine="2166"/>
        <w:spacing w:after="0" w:line="253" w:lineRule="auto"/>
        <w:tabs>
          <w:tab w:leader="none" w:pos="2954" w:val="left"/>
        </w:tabs>
        <w:numPr>
          <w:ilvl w:val="1"/>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“person” or “group” within the meaning of Section 13(d) of the Exchange Act, other than the Company, its direct or indirect wholly owned subsidiaries and the employee benefit plans of the Acquiror and its wholly owned subsidiaries, has become the direct or indirect “beneficial owner,” as defined in Rule 13d-3 under the Exchange Act, of Common Stock of the Acquiror representing more than 50% of the voting power of the Common Stock of the Acquiror and has filed a Schedule TO (or any successor schedule, form or report) or any schedule, form or report under the Exchange Act that discloses such fact, unless such beneficial ownership arises solely as a result of a revocable proxy delivered in response to a public proxy or consent solicitation made pursuant to the applicable rules and regulations under the Exchange Act and is not also then reportable on Schedule 13D or Schedule 13G (or any successor schedule) under the Exchange Act; provided that no person or group shall be deemed to be the beneficial owner of any securities tendered pursuant to a tender or exchange offer made by or on behalf of such person or group until such tendered securities are accepted for purchase or exchange under such offer;</w:t>
      </w:r>
    </w:p>
    <w:p>
      <w:pPr>
        <w:spacing w:after="0" w:line="169" w:lineRule="exact"/>
        <w:rPr>
          <w:rFonts w:ascii="Times New Roman" w:cs="Times New Roman" w:eastAsia="Times New Roman" w:hAnsi="Times New Roman"/>
          <w:sz w:val="16"/>
          <w:szCs w:val="16"/>
          <w:color w:val="auto"/>
        </w:rPr>
      </w:pPr>
    </w:p>
    <w:p>
      <w:pPr>
        <w:jc w:val="both"/>
        <w:ind w:left="560" w:firstLine="2166"/>
        <w:spacing w:after="0" w:line="252" w:lineRule="auto"/>
        <w:tabs>
          <w:tab w:leader="none" w:pos="2948" w:val="left"/>
        </w:tabs>
        <w:numPr>
          <w:ilvl w:val="1"/>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consummation of (A) any recapitalization, reclassification or change of the Common Stock (other than a change to par value or from par value to no par value or changes resulting from a subdivision or combination) as a result of which the Common Stock would be converted into, or exchanged for, stock, other securities, other property or assets; (B) any share exchange, consolidation or merger of the Acquiror pursuant to which the Common Stock will be converted into cash, securities or other property or assets; or (C) any sale, lease or other transfer in one transaction or a series of transactions of all or substantially all of the consolidated assets of the Acquiror and its subsidiaries, taken as a whole, to any person other than one or more of the Acquiror’s direct or indirect wholly owned subsidiaries; provided, however, that neither (i) a transaction described in clause (A) or clause (B) in which the holders of all classes of the Acquiror’s common equity immediately prior to such transaction own, directly or indirectly, more than 50% of all classes of common equity of the continuing or surviving corporation or transferee or the direct or indirect parent thereof immediately after such transaction in substantially the same proportions (relative to each other) as such ownership immediately prior to such transaction nor (ii) any merger of the Acquiror solely for the purpose of change its jurisdiction of incorporation that results in a reclassification, conversion or exchange of outstanding shares of Common Stock solely into shares of common stock of the surviving entity shall, in each case, be a Fundamental Change pursuant to this clause (b);</w:t>
      </w:r>
    </w:p>
    <w:p>
      <w:pPr>
        <w:spacing w:after="0" w:line="169" w:lineRule="exact"/>
        <w:rPr>
          <w:rFonts w:ascii="Times New Roman" w:cs="Times New Roman" w:eastAsia="Times New Roman" w:hAnsi="Times New Roman"/>
          <w:sz w:val="16"/>
          <w:szCs w:val="16"/>
          <w:color w:val="auto"/>
        </w:rPr>
      </w:pPr>
    </w:p>
    <w:p>
      <w:pPr>
        <w:ind w:left="2960" w:hanging="234"/>
        <w:spacing w:after="0"/>
        <w:tabs>
          <w:tab w:leader="none" w:pos="2960" w:val="left"/>
        </w:tabs>
        <w:numPr>
          <w:ilvl w:val="1"/>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stockholders of the Acquiror approve any plan or proposal for the liquidation or dissolution of the Acquiror; or</w:t>
      </w:r>
    </w:p>
    <w:p>
      <w:pPr>
        <w:spacing w:after="0" w:line="198" w:lineRule="exact"/>
        <w:rPr>
          <w:rFonts w:ascii="Times New Roman" w:cs="Times New Roman" w:eastAsia="Times New Roman" w:hAnsi="Times New Roman"/>
          <w:sz w:val="16"/>
          <w:szCs w:val="16"/>
          <w:color w:val="auto"/>
        </w:rPr>
      </w:pPr>
    </w:p>
    <w:p>
      <w:pPr>
        <w:ind w:left="2980" w:hanging="254"/>
        <w:spacing w:after="0"/>
        <w:tabs>
          <w:tab w:leader="none" w:pos="2980" w:val="left"/>
        </w:tabs>
        <w:numPr>
          <w:ilvl w:val="1"/>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avoidance of doubt, for purposes of the definition of “Fundamental Change,” the term “Acquiror” shall include its</w:t>
      </w:r>
    </w:p>
    <w:p>
      <w:pPr>
        <w:spacing w:after="0" w:line="23" w:lineRule="exact"/>
        <w:rPr>
          <w:rFonts w:ascii="Times New Roman" w:cs="Times New Roman" w:eastAsia="Times New Roman" w:hAnsi="Times New Roman"/>
          <w:sz w:val="16"/>
          <w:szCs w:val="16"/>
          <w:color w:val="auto"/>
        </w:rPr>
      </w:pPr>
    </w:p>
    <w:p>
      <w:pPr>
        <w:ind w:left="5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successors and assigns.</w:t>
      </w:r>
    </w:p>
    <w:p>
      <w:pPr>
        <w:spacing w:after="0" w:line="182" w:lineRule="exact"/>
        <w:rPr>
          <w:sz w:val="20"/>
          <w:szCs w:val="20"/>
          <w:color w:val="auto"/>
        </w:rPr>
      </w:pPr>
    </w:p>
    <w:p>
      <w:pPr>
        <w:jc w:val="both"/>
        <w:ind w:firstLine="1716"/>
        <w:spacing w:after="0" w:line="259" w:lineRule="auto"/>
        <w:tabs>
          <w:tab w:leader="none" w:pos="1937" w:val="left"/>
        </w:tabs>
        <w:numPr>
          <w:ilvl w:val="0"/>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Stock Price Level</w:t>
      </w:r>
      <w:r>
        <w:rPr>
          <w:rFonts w:ascii="Times New Roman" w:cs="Times New Roman" w:eastAsia="Times New Roman" w:hAnsi="Times New Roman"/>
          <w:sz w:val="16"/>
          <w:szCs w:val="16"/>
          <w:color w:val="auto"/>
        </w:rPr>
        <w:t>. For purposes of this Sponsor Agreement, the applicable “Stock Price Level” will be considered achieved only when the VWAP of Acquiror Common Stock quoted on the NASDAQ is greater than or equal to the applicable threshold for any forty (40) Trading Days within any sixty (60) Trading Day period. The Stock Price Levels will be equitably adjusted for any stock dividend, subdivision, reclassification, recapitalization, split, combination or exchange of shares, or any similar event affecting the Acquiror Common Stock after the date of the Merger Agreement.</w:t>
      </w:r>
    </w:p>
    <w:p>
      <w:pPr>
        <w:spacing w:after="0" w:line="162" w:lineRule="exact"/>
        <w:rPr>
          <w:sz w:val="20"/>
          <w:szCs w:val="20"/>
          <w:color w:val="auto"/>
        </w:rPr>
      </w:pPr>
    </w:p>
    <w:p>
      <w:pPr>
        <w:jc w:val="both"/>
        <w:ind w:firstLine="1721"/>
        <w:spacing w:after="0" w:line="257" w:lineRule="auto"/>
        <w:rPr>
          <w:sz w:val="20"/>
          <w:szCs w:val="20"/>
          <w:color w:val="auto"/>
        </w:rPr>
      </w:pPr>
      <w:r>
        <w:rPr>
          <w:rFonts w:ascii="Times New Roman" w:cs="Times New Roman" w:eastAsia="Times New Roman" w:hAnsi="Times New Roman"/>
          <w:sz w:val="16"/>
          <w:szCs w:val="16"/>
          <w:color w:val="auto"/>
        </w:rPr>
        <w:t xml:space="preserve">Section 1.8 </w:t>
      </w:r>
      <w:r>
        <w:rPr>
          <w:rFonts w:ascii="Times New Roman" w:cs="Times New Roman" w:eastAsia="Times New Roman" w:hAnsi="Times New Roman"/>
          <w:sz w:val="16"/>
          <w:szCs w:val="16"/>
          <w:u w:val="single" w:color="auto"/>
          <w:color w:val="auto"/>
        </w:rPr>
        <w:t>Outstanding Acquiror Expenses</w:t>
      </w:r>
      <w:r>
        <w:rPr>
          <w:rFonts w:ascii="Times New Roman" w:cs="Times New Roman" w:eastAsia="Times New Roman" w:hAnsi="Times New Roman"/>
          <w:sz w:val="16"/>
          <w:szCs w:val="16"/>
          <w:color w:val="auto"/>
        </w:rPr>
        <w:t>. In accordance with Section 3.09(b) of the Merger Agreement, on the Closing Date following the Closing, Acquiror shall pay or cause to paid by wire transfer of immediately available funds all such Outstanding Acquiror Expenses. If the Outstanding Acquiror Expenses exceed $12,000,000, the Acquiror shall provide the Sponsors with a written report setting forth the list of Outstanding Acquiror Expenses, and each of the Sponsors, severally and not jointly and on a pro rata basis (i.e. Ventoux Acquisition: 67%; Chardan International Investments, LLC: 33%), shall reimburse Acquiror for such excess amounts, by wire transfer of immediately available funds, within 10 Business Days following the Closing Date.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28" w:name="page229"/>
    <w:bookmarkEnd w:id="228"/>
    <w:p>
      <w:pPr>
        <w:jc w:val="both"/>
        <w:ind w:firstLine="1721"/>
        <w:spacing w:after="0" w:line="255" w:lineRule="auto"/>
        <w:rPr>
          <w:sz w:val="20"/>
          <w:szCs w:val="20"/>
          <w:color w:val="auto"/>
        </w:rPr>
      </w:pPr>
      <w:r>
        <w:rPr>
          <w:rFonts w:ascii="Times New Roman" w:cs="Times New Roman" w:eastAsia="Times New Roman" w:hAnsi="Times New Roman"/>
          <w:sz w:val="16"/>
          <w:szCs w:val="16"/>
          <w:color w:val="auto"/>
        </w:rPr>
        <w:t xml:space="preserve">Section 1.9 </w:t>
      </w:r>
      <w:r>
        <w:rPr>
          <w:rFonts w:ascii="Times New Roman" w:cs="Times New Roman" w:eastAsia="Times New Roman" w:hAnsi="Times New Roman"/>
          <w:sz w:val="16"/>
          <w:szCs w:val="16"/>
          <w:u w:val="single" w:color="auto"/>
          <w:color w:val="auto"/>
        </w:rPr>
        <w:t>Further Assurances</w:t>
      </w:r>
      <w:r>
        <w:rPr>
          <w:rFonts w:ascii="Times New Roman" w:cs="Times New Roman" w:eastAsia="Times New Roman" w:hAnsi="Times New Roman"/>
          <w:sz w:val="16"/>
          <w:szCs w:val="16"/>
          <w:color w:val="auto"/>
        </w:rPr>
        <w:t xml:space="preserve">. In addition to the obligations set forth in </w:t>
      </w:r>
      <w:r>
        <w:rPr>
          <w:rFonts w:ascii="Times New Roman" w:cs="Times New Roman" w:eastAsia="Times New Roman" w:hAnsi="Times New Roman"/>
          <w:sz w:val="16"/>
          <w:szCs w:val="16"/>
          <w:u w:val="single" w:color="auto"/>
          <w:color w:val="auto"/>
        </w:rPr>
        <w:t>Section 1.4</w:t>
      </w:r>
      <w:r>
        <w:rPr>
          <w:rFonts w:ascii="Times New Roman" w:cs="Times New Roman" w:eastAsia="Times New Roman" w:hAnsi="Times New Roman"/>
          <w:sz w:val="16"/>
          <w:szCs w:val="16"/>
          <w:color w:val="auto"/>
        </w:rPr>
        <w:t xml:space="preserve"> through </w:t>
      </w:r>
      <w:r>
        <w:rPr>
          <w:rFonts w:ascii="Times New Roman" w:cs="Times New Roman" w:eastAsia="Times New Roman" w:hAnsi="Times New Roman"/>
          <w:sz w:val="16"/>
          <w:szCs w:val="16"/>
          <w:u w:val="single" w:color="auto"/>
          <w:color w:val="auto"/>
        </w:rPr>
        <w:t>Section 1.7</w:t>
      </w:r>
      <w:r>
        <w:rPr>
          <w:rFonts w:ascii="Times New Roman" w:cs="Times New Roman" w:eastAsia="Times New Roman" w:hAnsi="Times New Roman"/>
          <w:sz w:val="16"/>
          <w:szCs w:val="16"/>
          <w:color w:val="auto"/>
        </w:rPr>
        <w:t xml:space="preserve"> of this Sponsor Agreement, each Sponsor Party shall use its reasonable best efforts to take, or cause to be taken, all actions and do, or cause to be done, all things reasonably necessary under applicable Laws to consummate the Mergers and the other transactions contemplated by the Merger Agreement on the terms and subject to the conditions set forth therein and herein. Notwithstanding anything to the contrary in this Sponsor Agreement, no Sponsor Party shall be obligated to bear any expense, pay any amount or grant any concession in connection with any action required to be taken by this Sponsor Agreement, except for cash expenses incurred incidental to actions required to be taken pursuant to </w:t>
      </w:r>
      <w:r>
        <w:rPr>
          <w:rFonts w:ascii="Times New Roman" w:cs="Times New Roman" w:eastAsia="Times New Roman" w:hAnsi="Times New Roman"/>
          <w:sz w:val="16"/>
          <w:szCs w:val="16"/>
          <w:u w:val="single" w:color="auto"/>
          <w:color w:val="auto"/>
        </w:rPr>
        <w:t>Section 1.4</w:t>
      </w:r>
      <w:r>
        <w:rPr>
          <w:rFonts w:ascii="Times New Roman" w:cs="Times New Roman" w:eastAsia="Times New Roman" w:hAnsi="Times New Roman"/>
          <w:sz w:val="16"/>
          <w:szCs w:val="16"/>
          <w:color w:val="auto"/>
        </w:rPr>
        <w:t xml:space="preserve"> through </w:t>
      </w:r>
      <w:r>
        <w:rPr>
          <w:rFonts w:ascii="Times New Roman" w:cs="Times New Roman" w:eastAsia="Times New Roman" w:hAnsi="Times New Roman"/>
          <w:sz w:val="16"/>
          <w:szCs w:val="16"/>
          <w:u w:val="single" w:color="auto"/>
          <w:color w:val="auto"/>
        </w:rPr>
        <w:t>Section 1.7</w:t>
      </w:r>
      <w:r>
        <w:rPr>
          <w:rFonts w:ascii="Times New Roman" w:cs="Times New Roman" w:eastAsia="Times New Roman" w:hAnsi="Times New Roman"/>
          <w:sz w:val="16"/>
          <w:szCs w:val="16"/>
          <w:color w:val="auto"/>
        </w:rPr>
        <w:t xml:space="preserve"> of this Sponsor Agreement.</w:t>
      </w:r>
    </w:p>
    <w:p>
      <w:pPr>
        <w:spacing w:after="0" w:line="165" w:lineRule="exact"/>
        <w:rPr>
          <w:sz w:val="20"/>
          <w:szCs w:val="20"/>
          <w:color w:val="auto"/>
        </w:rPr>
      </w:pPr>
    </w:p>
    <w:p>
      <w:pPr>
        <w:jc w:val="both"/>
        <w:ind w:right="20" w:firstLine="1721"/>
        <w:spacing w:after="0" w:line="280" w:lineRule="auto"/>
        <w:rPr>
          <w:sz w:val="20"/>
          <w:szCs w:val="20"/>
          <w:color w:val="auto"/>
        </w:rPr>
      </w:pPr>
      <w:r>
        <w:rPr>
          <w:rFonts w:ascii="Times New Roman" w:cs="Times New Roman" w:eastAsia="Times New Roman" w:hAnsi="Times New Roman"/>
          <w:sz w:val="16"/>
          <w:szCs w:val="16"/>
          <w:color w:val="auto"/>
        </w:rPr>
        <w:t xml:space="preserve">Section 1.10 </w:t>
      </w:r>
      <w:r>
        <w:rPr>
          <w:rFonts w:ascii="Times New Roman" w:cs="Times New Roman" w:eastAsia="Times New Roman" w:hAnsi="Times New Roman"/>
          <w:sz w:val="16"/>
          <w:szCs w:val="16"/>
          <w:u w:val="single" w:color="auto"/>
          <w:color w:val="auto"/>
        </w:rPr>
        <w:t>No Inconsistent Agreement</w:t>
      </w:r>
      <w:r>
        <w:rPr>
          <w:rFonts w:ascii="Times New Roman" w:cs="Times New Roman" w:eastAsia="Times New Roman" w:hAnsi="Times New Roman"/>
          <w:sz w:val="16"/>
          <w:szCs w:val="16"/>
          <w:color w:val="auto"/>
        </w:rPr>
        <w:t>. Each Sponsor Party hereby represents and covenants that such Sponsor Party has not entered into, and shall not enter into, any agreement that would restrict, limit or interfere with the performance of such Sponsor Party’s obligations hereunder.</w:t>
      </w:r>
    </w:p>
    <w:p>
      <w:pPr>
        <w:spacing w:after="0" w:line="144" w:lineRule="exact"/>
        <w:rPr>
          <w:sz w:val="20"/>
          <w:szCs w:val="20"/>
          <w:color w:val="auto"/>
        </w:rPr>
      </w:pPr>
    </w:p>
    <w:p>
      <w:pPr>
        <w:jc w:val="both"/>
        <w:ind w:right="20" w:firstLine="1721"/>
        <w:spacing w:after="0" w:line="280" w:lineRule="auto"/>
        <w:rPr>
          <w:sz w:val="20"/>
          <w:szCs w:val="20"/>
          <w:color w:val="auto"/>
        </w:rPr>
      </w:pPr>
      <w:r>
        <w:rPr>
          <w:rFonts w:ascii="Times New Roman" w:cs="Times New Roman" w:eastAsia="Times New Roman" w:hAnsi="Times New Roman"/>
          <w:sz w:val="16"/>
          <w:szCs w:val="16"/>
          <w:u w:val="single" w:color="auto"/>
          <w:color w:val="auto"/>
        </w:rPr>
        <w:t>Section 1.11 No Amendment to Insider Letter</w:t>
      </w:r>
      <w:r>
        <w:rPr>
          <w:rFonts w:ascii="Times New Roman" w:cs="Times New Roman" w:eastAsia="Times New Roman" w:hAnsi="Times New Roman"/>
          <w:sz w:val="16"/>
          <w:szCs w:val="16"/>
          <w:color w:val="auto"/>
        </w:rPr>
        <w:t>. Neither the Sponsor Parties nor Acquiror shall amend, terminate or otherwise modify that certain letter agreement, dated as of December 23, 2020, by and among the Acquiror and the Sponsor Parties (the “</w:t>
      </w:r>
      <w:r>
        <w:rPr>
          <w:rFonts w:ascii="Times New Roman" w:cs="Times New Roman" w:eastAsia="Times New Roman" w:hAnsi="Times New Roman"/>
          <w:sz w:val="16"/>
          <w:szCs w:val="16"/>
          <w:u w:val="single" w:color="auto"/>
          <w:color w:val="auto"/>
        </w:rPr>
        <w:t>Insider Letter</w:t>
      </w:r>
      <w:r>
        <w:rPr>
          <w:rFonts w:ascii="Times New Roman" w:cs="Times New Roman" w:eastAsia="Times New Roman" w:hAnsi="Times New Roman"/>
          <w:sz w:val="16"/>
          <w:szCs w:val="16"/>
          <w:color w:val="auto"/>
        </w:rPr>
        <w:t>”), without the Company’s prior written consent.</w:t>
      </w:r>
    </w:p>
    <w:p>
      <w:pPr>
        <w:spacing w:after="0" w:line="144" w:lineRule="exact"/>
        <w:rPr>
          <w:sz w:val="20"/>
          <w:szCs w:val="20"/>
          <w:color w:val="auto"/>
        </w:rPr>
      </w:pPr>
    </w:p>
    <w:p>
      <w:pPr>
        <w:jc w:val="both"/>
        <w:ind w:right="20" w:firstLine="1721"/>
        <w:spacing w:after="0" w:line="265" w:lineRule="auto"/>
        <w:rPr>
          <w:sz w:val="20"/>
          <w:szCs w:val="20"/>
          <w:color w:val="auto"/>
        </w:rPr>
      </w:pPr>
      <w:r>
        <w:rPr>
          <w:rFonts w:ascii="Times New Roman" w:cs="Times New Roman" w:eastAsia="Times New Roman" w:hAnsi="Times New Roman"/>
          <w:sz w:val="16"/>
          <w:szCs w:val="16"/>
          <w:color w:val="auto"/>
        </w:rPr>
        <w:t xml:space="preserve">Section 1.12 </w:t>
      </w:r>
      <w:r>
        <w:rPr>
          <w:rFonts w:ascii="Times New Roman" w:cs="Times New Roman" w:eastAsia="Times New Roman" w:hAnsi="Times New Roman"/>
          <w:sz w:val="16"/>
          <w:szCs w:val="16"/>
          <w:u w:val="single" w:color="auto"/>
          <w:color w:val="auto"/>
        </w:rPr>
        <w:t>Waiver of Crescent Provision</w:t>
      </w:r>
      <w:r>
        <w:rPr>
          <w:rFonts w:ascii="Times New Roman" w:cs="Times New Roman" w:eastAsia="Times New Roman" w:hAnsi="Times New Roman"/>
          <w:sz w:val="16"/>
          <w:szCs w:val="16"/>
          <w:color w:val="auto"/>
        </w:rPr>
        <w:t>. Each Sponsor Party hereby waives (for itself and for its successors, heirs and assigns), to the fullest extent permitted by law, the provisions of Section 4.4.2 of that certain Warrant Agreement, dated as of December 23, 2020 (as amended from time to time), between Acquiror and Continental Stock Transfer &amp; Trust Company, a New York corporation, as warrant agent.</w:t>
      </w:r>
    </w:p>
    <w:p>
      <w:pPr>
        <w:spacing w:after="0" w:line="15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ARTICLE 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REPRESENTATIONS AND WARRANTIES</w:t>
      </w:r>
    </w:p>
    <w:p>
      <w:pPr>
        <w:spacing w:after="0" w:line="182" w:lineRule="exact"/>
        <w:rPr>
          <w:sz w:val="20"/>
          <w:szCs w:val="20"/>
          <w:color w:val="auto"/>
        </w:rPr>
      </w:pPr>
    </w:p>
    <w:p>
      <w:pPr>
        <w:jc w:val="both"/>
        <w:ind w:right="20" w:firstLine="1721"/>
        <w:spacing w:after="0" w:line="280" w:lineRule="auto"/>
        <w:rPr>
          <w:sz w:val="20"/>
          <w:szCs w:val="20"/>
          <w:color w:val="auto"/>
        </w:rPr>
      </w:pPr>
      <w:r>
        <w:rPr>
          <w:rFonts w:ascii="Times New Roman" w:cs="Times New Roman" w:eastAsia="Times New Roman" w:hAnsi="Times New Roman"/>
          <w:sz w:val="16"/>
          <w:szCs w:val="16"/>
          <w:color w:val="auto"/>
        </w:rPr>
        <w:t xml:space="preserve">Section 2.1 </w:t>
      </w:r>
      <w:r>
        <w:rPr>
          <w:rFonts w:ascii="Times New Roman" w:cs="Times New Roman" w:eastAsia="Times New Roman" w:hAnsi="Times New Roman"/>
          <w:sz w:val="16"/>
          <w:szCs w:val="16"/>
          <w:u w:val="single" w:color="auto"/>
          <w:color w:val="auto"/>
        </w:rPr>
        <w:t>Representations and Warranties of each Sponsor Party</w:t>
      </w:r>
      <w:r>
        <w:rPr>
          <w:rFonts w:ascii="Times New Roman" w:cs="Times New Roman" w:eastAsia="Times New Roman" w:hAnsi="Times New Roman"/>
          <w:sz w:val="16"/>
          <w:szCs w:val="16"/>
          <w:color w:val="auto"/>
        </w:rPr>
        <w:t>. Each Sponsor Party represents and warrants as of the date hereof to Acquiror and the Company (solely with respect to itself, himself or herself and not with respect to any other Sponsor Party) as follows:</w:t>
      </w:r>
    </w:p>
    <w:p>
      <w:pPr>
        <w:spacing w:after="0" w:line="144" w:lineRule="exact"/>
        <w:rPr>
          <w:sz w:val="20"/>
          <w:szCs w:val="20"/>
          <w:color w:val="auto"/>
        </w:rPr>
      </w:pPr>
    </w:p>
    <w:p>
      <w:pPr>
        <w:jc w:val="both"/>
        <w:ind w:firstLine="1716"/>
        <w:spacing w:after="0" w:line="252" w:lineRule="auto"/>
        <w:tabs>
          <w:tab w:leader="none" w:pos="1937"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Organization; Due Authorization</w:t>
      </w:r>
      <w:r>
        <w:rPr>
          <w:rFonts w:ascii="Times New Roman" w:cs="Times New Roman" w:eastAsia="Times New Roman" w:hAnsi="Times New Roman"/>
          <w:sz w:val="16"/>
          <w:szCs w:val="16"/>
          <w:color w:val="auto"/>
        </w:rPr>
        <w:t>. If such Sponsor Party is not an individual, it is duly organized, validly existing and in good standing under the Laws of the jurisdiction in which it is incorporated, formed, organized or constituted, and the execution, delivery and performance of this Sponsor Agreement and the consummation of the transactions contemplated hereby are within such Sponsor Party’s corporate, limited liability company or organizational powers and have been duly authorized by all necessary corporate, limited liability company or organizational actions on the part of such Sponsor Party. If such Sponsor Party is an individual, such Sponsor Party has full legal capacity, right and authority to execute and deliver this Sponsor Agreement and to perform his or her obligations hereunder. This Sponsor Agreement has been duly executed and delivered by such Sponsor Party and, assuming due authorization, execution and delivery by the other parties to this Sponsor Agreement, this Sponsor Agreement constitutes a legally valid and binding obligation of such Sponsor Party, enforceable against such Sponsor Party in accordance with the terms hereof (except as enforceability may be limited by bankruptcy Laws, other similar Laws affecting creditors’ rights and general principles of equity affecting the availability of specific performance and other equitable remedies). If this Sponsor Agreement is being executed in a representative or fiduciary capacity, the Person signing this Sponsor Agreement has full power and authority to enter into this Sponsor Agreement on behalf of the applicable Sponsor Party.</w:t>
      </w:r>
    </w:p>
    <w:p>
      <w:pPr>
        <w:spacing w:after="0" w:line="171" w:lineRule="exact"/>
        <w:rPr>
          <w:rFonts w:ascii="Times New Roman" w:cs="Times New Roman" w:eastAsia="Times New Roman" w:hAnsi="Times New Roman"/>
          <w:sz w:val="16"/>
          <w:szCs w:val="16"/>
          <w:color w:val="auto"/>
        </w:rPr>
      </w:pPr>
    </w:p>
    <w:p>
      <w:pPr>
        <w:jc w:val="both"/>
        <w:ind w:firstLine="1716"/>
        <w:spacing w:after="0" w:line="253" w:lineRule="auto"/>
        <w:tabs>
          <w:tab w:leader="none" w:pos="1958"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Ownership</w:t>
      </w:r>
      <w:r>
        <w:rPr>
          <w:rFonts w:ascii="Times New Roman" w:cs="Times New Roman" w:eastAsia="Times New Roman" w:hAnsi="Times New Roman"/>
          <w:sz w:val="16"/>
          <w:szCs w:val="16"/>
          <w:color w:val="auto"/>
        </w:rPr>
        <w:t xml:space="preserve">. The Sponsor Party is the record and beneficial owner of, and has good title to, all of the Sponsor Party’s Subject Securities listed across from the Sponsor Party’s name on </w:t>
      </w:r>
      <w:r>
        <w:rPr>
          <w:rFonts w:ascii="Times New Roman" w:cs="Times New Roman" w:eastAsia="Times New Roman" w:hAnsi="Times New Roman"/>
          <w:sz w:val="16"/>
          <w:szCs w:val="16"/>
          <w:u w:val="single" w:color="auto"/>
          <w:color w:val="auto"/>
        </w:rPr>
        <w:t>Schedule I</w:t>
      </w:r>
      <w:r>
        <w:rPr>
          <w:rFonts w:ascii="Times New Roman" w:cs="Times New Roman" w:eastAsia="Times New Roman" w:hAnsi="Times New Roman"/>
          <w:sz w:val="16"/>
          <w:szCs w:val="16"/>
          <w:color w:val="auto"/>
        </w:rPr>
        <w:t xml:space="preserve"> hereto, and there exist no Liens or any other limitation or restriction (including any restriction on the right to vote, sell or otherwise dispose of such Subject Securities (other than transfer restrictions under the Securities Act)) affecting any such Subject Securities owned by the Sponsor Party, other than Liens pursuant to (i) this Sponsor Agreement, (ii) the Acquiror Organizational Documents, (iii) the Merger Agreement, (iv) the Insider Letter or (v) any applicable securities Laws. The Sponsor Party’s Subject Securities are the only equity securities in Acquiror owned of record or beneficially by the Sponsor Party on the date of this Sponsor Agreement, and none of the Sponsor Party’s Subject Securities are subject to any proxy, voting trust or other agreement or arrangement with respect to the voting of such Subject Securities, except as provided hereunder and under the Insider Letter. Other than the Acquiror Private Placement Warrants held by such Sponsor Party and the Subscription Agreement to which the Sponsor Party is a party, such Sponsor Party does not hold or own any rights to acquire (directly or indirectly) any equity securities of Acquiror or any equity securities convertible into, or which can be exchanged for, equity securities of Acquiror.</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29" w:name="page230"/>
    <w:bookmarkEnd w:id="229"/>
    <w:p>
      <w:pPr>
        <w:jc w:val="both"/>
        <w:ind w:right="20" w:firstLine="1716"/>
        <w:spacing w:after="0" w:line="257" w:lineRule="auto"/>
        <w:tabs>
          <w:tab w:leader="none" w:pos="1937"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Conflicts</w:t>
      </w:r>
      <w:r>
        <w:rPr>
          <w:rFonts w:ascii="Times New Roman" w:cs="Times New Roman" w:eastAsia="Times New Roman" w:hAnsi="Times New Roman"/>
          <w:sz w:val="16"/>
          <w:szCs w:val="16"/>
          <w:color w:val="auto"/>
        </w:rPr>
        <w:t>. The execution and delivery of this Sponsor Agreement by such Sponsor Party does not, and the performance by such Sponsor Party of his, her or its obligations hereunder will not, (i) if such Sponsor Party is not an individual, conflict with or result in a violation of the organizational documents of such Sponsor Party or (ii) require any consent or approval that has not been given or other action that has not been taken by any Person (including under any Contract binding upon such Sponsor Party or such Sponsor Party’s Subject Securities), in each case, to the extent such consent, approval or other action would prevent, enjoin or materially delay the performance by such Sponsor Party of its, his or her obligations under this Sponsor Agreement.</w:t>
      </w:r>
    </w:p>
    <w:p>
      <w:pPr>
        <w:spacing w:after="0" w:line="162" w:lineRule="exact"/>
        <w:rPr>
          <w:rFonts w:ascii="Times New Roman" w:cs="Times New Roman" w:eastAsia="Times New Roman" w:hAnsi="Times New Roman"/>
          <w:sz w:val="16"/>
          <w:szCs w:val="16"/>
          <w:color w:val="auto"/>
        </w:rPr>
      </w:pPr>
    </w:p>
    <w:p>
      <w:pPr>
        <w:jc w:val="both"/>
        <w:ind w:right="20" w:firstLine="1716"/>
        <w:spacing w:after="0" w:line="265" w:lineRule="auto"/>
        <w:tabs>
          <w:tab w:leader="none" w:pos="1946"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Litigation</w:t>
      </w:r>
      <w:r>
        <w:rPr>
          <w:rFonts w:ascii="Times New Roman" w:cs="Times New Roman" w:eastAsia="Times New Roman" w:hAnsi="Times New Roman"/>
          <w:sz w:val="16"/>
          <w:szCs w:val="16"/>
          <w:color w:val="auto"/>
        </w:rPr>
        <w:t>. There are no Actions pending against such Sponsor Party, or to the knowledge of such Sponsor Party threatened against such Sponsor Party, before (or, in the case of threatened Actions, that would be before) any arbitrator or any Governmental Authority, which in any manner challenges or seeks to prevent, enjoin or materially delay the performance by such Sponsor Party of its, his or her obligations under this Sponsor Agreement.</w:t>
      </w:r>
    </w:p>
    <w:p>
      <w:pPr>
        <w:spacing w:after="0" w:line="155" w:lineRule="exact"/>
        <w:rPr>
          <w:rFonts w:ascii="Times New Roman" w:cs="Times New Roman" w:eastAsia="Times New Roman" w:hAnsi="Times New Roman"/>
          <w:sz w:val="16"/>
          <w:szCs w:val="16"/>
          <w:color w:val="auto"/>
        </w:rPr>
      </w:pPr>
    </w:p>
    <w:p>
      <w:pPr>
        <w:jc w:val="both"/>
        <w:ind w:firstLine="1716"/>
        <w:spacing w:after="0" w:line="265" w:lineRule="auto"/>
        <w:tabs>
          <w:tab w:leader="none" w:pos="1949"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Brokerage Fees</w:t>
      </w:r>
      <w:r>
        <w:rPr>
          <w:rFonts w:ascii="Times New Roman" w:cs="Times New Roman" w:eastAsia="Times New Roman" w:hAnsi="Times New Roman"/>
          <w:sz w:val="16"/>
          <w:szCs w:val="16"/>
          <w:color w:val="auto"/>
        </w:rPr>
        <w:t>. Except as described in Section 5.09 of the Merger Agreement (or the corresponding section of the disclosure schedules), no broker, finder, investment banker or other Person is entitled to any brokerage fee, finders’ fee or other commission in connection with the transactions contemplated by the Merger Agreement based upon arrangements made by such Sponsor Party, for which Acquiror or any of its Subsidiaries may become liable.</w:t>
      </w:r>
    </w:p>
    <w:p>
      <w:pPr>
        <w:spacing w:after="0" w:line="155" w:lineRule="exact"/>
        <w:rPr>
          <w:rFonts w:ascii="Times New Roman" w:cs="Times New Roman" w:eastAsia="Times New Roman" w:hAnsi="Times New Roman"/>
          <w:sz w:val="16"/>
          <w:szCs w:val="16"/>
          <w:color w:val="auto"/>
        </w:rPr>
      </w:pPr>
    </w:p>
    <w:p>
      <w:pPr>
        <w:jc w:val="both"/>
        <w:ind w:firstLine="1716"/>
        <w:spacing w:after="0" w:line="255" w:lineRule="auto"/>
        <w:tabs>
          <w:tab w:leader="none" w:pos="1999"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Fees; Loan Repayments</w:t>
      </w:r>
      <w:r>
        <w:rPr>
          <w:rFonts w:ascii="Times New Roman" w:cs="Times New Roman" w:eastAsia="Times New Roman" w:hAnsi="Times New Roman"/>
          <w:sz w:val="16"/>
          <w:szCs w:val="16"/>
          <w:color w:val="auto"/>
        </w:rPr>
        <w:t>. Except as disclosed in the registration statement on Form S-1 and prospectus filed by Acquiror with the U.S. Securities and Exchange Commission in connection with the underwritten initial public offering of 15,000,000 of Acquiror’s units (plus 2,250,000 Acquiror’s units issued upon exercise of the over-allotment option), neither the Sponsor Parties nor any of their respective Affiliates, nor any of their respective directors or officers, shall receive from Acquiror any finder’s fee, reimbursement, consulting fee, non-cash payments, monies in respect of any repayment of a loan or other compensation prior to, or in connection with any services rendered in order to effectuate, the consummation of Acquiror’s initial Business Combination (regardless of the type of transaction that it is, but including, for the avoidance of doubt, the Mergers).</w:t>
      </w:r>
    </w:p>
    <w:p>
      <w:pPr>
        <w:spacing w:after="0" w:line="165" w:lineRule="exact"/>
        <w:rPr>
          <w:rFonts w:ascii="Times New Roman" w:cs="Times New Roman" w:eastAsia="Times New Roman" w:hAnsi="Times New Roman"/>
          <w:sz w:val="16"/>
          <w:szCs w:val="16"/>
          <w:color w:val="auto"/>
        </w:rPr>
      </w:pPr>
    </w:p>
    <w:p>
      <w:pPr>
        <w:jc w:val="both"/>
        <w:ind w:firstLine="1716"/>
        <w:spacing w:after="0" w:line="259" w:lineRule="auto"/>
        <w:tabs>
          <w:tab w:leader="none" w:pos="1958"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Affiliate Arrangements</w:t>
      </w:r>
      <w:r>
        <w:rPr>
          <w:rFonts w:ascii="Times New Roman" w:cs="Times New Roman" w:eastAsia="Times New Roman" w:hAnsi="Times New Roman"/>
          <w:sz w:val="16"/>
          <w:szCs w:val="16"/>
          <w:color w:val="auto"/>
        </w:rPr>
        <w:t xml:space="preserve">. Except as set forth on </w:t>
      </w:r>
      <w:r>
        <w:rPr>
          <w:rFonts w:ascii="Times New Roman" w:cs="Times New Roman" w:eastAsia="Times New Roman" w:hAnsi="Times New Roman"/>
          <w:sz w:val="16"/>
          <w:szCs w:val="16"/>
          <w:u w:val="single" w:color="auto"/>
          <w:color w:val="auto"/>
        </w:rPr>
        <w:t>Schedule II</w:t>
      </w:r>
      <w:r>
        <w:rPr>
          <w:rFonts w:ascii="Times New Roman" w:cs="Times New Roman" w:eastAsia="Times New Roman" w:hAnsi="Times New Roman"/>
          <w:sz w:val="16"/>
          <w:szCs w:val="16"/>
          <w:color w:val="auto"/>
        </w:rPr>
        <w:t xml:space="preserve"> attached hereto or any registration statements, reports, schedules, forms, statements and other documents filed or furnished with the SEC by Acquiror, neither such Sponsor Party nor any anyone related by blood, marriage or adoption to such Sponsor Party or, to the knowledge of such Sponsor Party, any Person in which such Sponsor Party has a direct or indirect legal, contractual or beneficial ownership of 5% or greater is party to, or has any rights with respect to or arising from, any Contract with Acquiror or its Subsidiaries.</w:t>
      </w:r>
    </w:p>
    <w:p>
      <w:pPr>
        <w:spacing w:after="0" w:line="161" w:lineRule="exact"/>
        <w:rPr>
          <w:rFonts w:ascii="Times New Roman" w:cs="Times New Roman" w:eastAsia="Times New Roman" w:hAnsi="Times New Roman"/>
          <w:sz w:val="16"/>
          <w:szCs w:val="16"/>
          <w:color w:val="auto"/>
        </w:rPr>
      </w:pPr>
    </w:p>
    <w:p>
      <w:pPr>
        <w:ind w:right="20" w:firstLine="1716"/>
        <w:spacing w:after="0" w:line="280" w:lineRule="auto"/>
        <w:tabs>
          <w:tab w:leader="none" w:pos="1970"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Acknowledgment</w:t>
      </w:r>
      <w:r>
        <w:rPr>
          <w:rFonts w:ascii="Times New Roman" w:cs="Times New Roman" w:eastAsia="Times New Roman" w:hAnsi="Times New Roman"/>
          <w:sz w:val="16"/>
          <w:szCs w:val="16"/>
          <w:color w:val="auto"/>
        </w:rPr>
        <w:t>. Such Sponsor Party understands and acknowledges that each of Acquiror and the Company is entering into the Merger Agreement in reliance upon such Sponsor Party’s execution and delivery of this Sponsor Agreement.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30" w:name="page231"/>
    <w:bookmarkEnd w:id="230"/>
    <w:p>
      <w:pPr>
        <w:ind w:left="5140"/>
        <w:spacing w:after="0"/>
        <w:rPr>
          <w:sz w:val="20"/>
          <w:szCs w:val="20"/>
          <w:color w:val="auto"/>
        </w:rPr>
      </w:pPr>
      <w:r>
        <w:rPr>
          <w:rFonts w:ascii="Times New Roman" w:cs="Times New Roman" w:eastAsia="Times New Roman" w:hAnsi="Times New Roman"/>
          <w:sz w:val="16"/>
          <w:szCs w:val="16"/>
          <w:b w:val="1"/>
          <w:bCs w:val="1"/>
          <w:color w:val="auto"/>
        </w:rPr>
        <w:t>ARTICLE III</w:t>
      </w:r>
    </w:p>
    <w:p>
      <w:pPr>
        <w:spacing w:after="0" w:line="2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6"/>
          <w:szCs w:val="16"/>
          <w:b w:val="1"/>
          <w:bCs w:val="1"/>
          <w:u w:val="single" w:color="auto"/>
          <w:color w:val="auto"/>
        </w:rPr>
        <w:t>MISCELLANEOUS</w:t>
      </w:r>
    </w:p>
    <w:p>
      <w:pPr>
        <w:spacing w:after="0" w:line="182" w:lineRule="exact"/>
        <w:rPr>
          <w:sz w:val="20"/>
          <w:szCs w:val="20"/>
          <w:color w:val="auto"/>
        </w:rPr>
      </w:pPr>
    </w:p>
    <w:p>
      <w:pPr>
        <w:jc w:val="both"/>
        <w:ind w:firstLine="1721"/>
        <w:spacing w:after="0" w:line="253" w:lineRule="auto"/>
        <w:rPr>
          <w:sz w:val="20"/>
          <w:szCs w:val="20"/>
          <w:color w:val="auto"/>
        </w:rPr>
      </w:pPr>
      <w:r>
        <w:rPr>
          <w:rFonts w:ascii="Times New Roman" w:cs="Times New Roman" w:eastAsia="Times New Roman" w:hAnsi="Times New Roman"/>
          <w:sz w:val="16"/>
          <w:szCs w:val="16"/>
          <w:color w:val="auto"/>
        </w:rPr>
        <w:t xml:space="preserve">Section 3.1 </w:t>
      </w: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xml:space="preserve">. This Sponsor Agreement and all of its provisions (except for </w:t>
      </w:r>
      <w:r>
        <w:rPr>
          <w:rFonts w:ascii="Times New Roman" w:cs="Times New Roman" w:eastAsia="Times New Roman" w:hAnsi="Times New Roman"/>
          <w:sz w:val="16"/>
          <w:szCs w:val="16"/>
          <w:u w:val="single" w:color="auto"/>
          <w:color w:val="auto"/>
        </w:rPr>
        <w:t>Section 1.6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1.7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1.8</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1.10</w:t>
      </w:r>
      <w:r>
        <w:rPr>
          <w:rFonts w:ascii="Times New Roman" w:cs="Times New Roman" w:eastAsia="Times New Roman" w:hAnsi="Times New Roman"/>
          <w:sz w:val="16"/>
          <w:szCs w:val="16"/>
          <w:color w:val="auto"/>
        </w:rPr>
        <w:t xml:space="preserve"> of this Sponsor Agreement) shall terminate and be of no further force or effect upon the earliest of (a) the Expiration Time, (b) the liquidation of Acquiror and (c) the written agreement of each Sponsor, Acquiror, and the Company. Upon such termination of this Sponsor Agreement, all obligations of the parties under this Sponsor Agreement will terminate, without any liability or other obligation on the part of any party hereto to any Person in respect hereof or the transactions contemplated hereby, and no party hereto shall have any claim against another (and no person shall have any rights against such party), whether under contract, tort or otherwise, with respect to the subject matter hereof;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the termination of this Sponsor Agreement shall not relieve any party hereto from liability arising from any actual fraud in respect of this Sponsor Agreement occurring prior to such termination. Notwithstanding the foregoing, </w:t>
      </w:r>
      <w:r>
        <w:rPr>
          <w:rFonts w:ascii="Times New Roman" w:cs="Times New Roman" w:eastAsia="Times New Roman" w:hAnsi="Times New Roman"/>
          <w:sz w:val="16"/>
          <w:szCs w:val="16"/>
          <w:u w:val="single" w:color="auto"/>
          <w:color w:val="auto"/>
        </w:rPr>
        <w:t>Section 1.6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1.7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1.8</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1.10</w:t>
      </w:r>
      <w:r>
        <w:rPr>
          <w:rFonts w:ascii="Times New Roman" w:cs="Times New Roman" w:eastAsia="Times New Roman" w:hAnsi="Times New Roman"/>
          <w:sz w:val="16"/>
          <w:szCs w:val="16"/>
          <w:color w:val="auto"/>
        </w:rPr>
        <w:t xml:space="preserve"> and this </w:t>
      </w:r>
      <w:r>
        <w:rPr>
          <w:rFonts w:ascii="Times New Roman" w:cs="Times New Roman" w:eastAsia="Times New Roman" w:hAnsi="Times New Roman"/>
          <w:sz w:val="16"/>
          <w:szCs w:val="16"/>
          <w:u w:val="single" w:color="auto"/>
          <w:color w:val="auto"/>
        </w:rPr>
        <w:t>Article III</w:t>
      </w:r>
      <w:r>
        <w:rPr>
          <w:rFonts w:ascii="Times New Roman" w:cs="Times New Roman" w:eastAsia="Times New Roman" w:hAnsi="Times New Roman"/>
          <w:sz w:val="16"/>
          <w:szCs w:val="16"/>
          <w:color w:val="auto"/>
        </w:rPr>
        <w:t xml:space="preserve"> shall survive the termination of this Sponsor Agreement.</w:t>
      </w:r>
    </w:p>
    <w:p>
      <w:pPr>
        <w:spacing w:after="0" w:line="169" w:lineRule="exact"/>
        <w:rPr>
          <w:sz w:val="20"/>
          <w:szCs w:val="20"/>
          <w:color w:val="auto"/>
        </w:rPr>
      </w:pPr>
    </w:p>
    <w:p>
      <w:pPr>
        <w:jc w:val="both"/>
        <w:ind w:firstLine="1721"/>
        <w:spacing w:after="0" w:line="253" w:lineRule="auto"/>
        <w:rPr>
          <w:sz w:val="20"/>
          <w:szCs w:val="20"/>
          <w:color w:val="auto"/>
        </w:rPr>
      </w:pPr>
      <w:r>
        <w:rPr>
          <w:rFonts w:ascii="Times New Roman" w:cs="Times New Roman" w:eastAsia="Times New Roman" w:hAnsi="Times New Roman"/>
          <w:sz w:val="16"/>
          <w:szCs w:val="16"/>
          <w:color w:val="auto"/>
        </w:rPr>
        <w:t xml:space="preserve">Section 3.2 </w:t>
      </w:r>
      <w:r>
        <w:rPr>
          <w:rFonts w:ascii="Times New Roman" w:cs="Times New Roman" w:eastAsia="Times New Roman" w:hAnsi="Times New Roman"/>
          <w:sz w:val="16"/>
          <w:szCs w:val="16"/>
          <w:u w:val="single" w:color="auto"/>
          <w:color w:val="auto"/>
        </w:rPr>
        <w:t>Governing Law; Jurisdiction; Jury Trial Waiver</w:t>
      </w:r>
      <w:r>
        <w:rPr>
          <w:rFonts w:ascii="Times New Roman" w:cs="Times New Roman" w:eastAsia="Times New Roman" w:hAnsi="Times New Roman"/>
          <w:sz w:val="16"/>
          <w:szCs w:val="16"/>
          <w:color w:val="auto"/>
        </w:rPr>
        <w:t>. Any Action based upon, arising out of or related to this Sponsor Agreement, or the transactions contemplated hereby, shall be brought in the Court of Chancery of the State of Delaware or, if such court declines to exercise jurisdiction, the District Courts located in the State of Delaware, and each of the parties irrevocably submits to the exclusive jurisdiction of each such court in any such Action, waives any objection it may now or hereafter have to personal jurisdiction, venue or to convenience of forum, agrees that all claims in respect of the Action shall be heard and determined only in any such court, and agrees not to bring any Action arising out of or relating to this Sponsor Agreement or the transactions contemplated hereby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Action brought pursuant to this Section 3.2. EACH OF THE PARTIES HERETO HEREBY IRREVOCABLY WAIVES ANY AND ALL RIGHT TO TRIAL BY JURY IN ANY ACTION BASED UPON, ARISING OUT OF OR RELATED TO THIS SPONSOR AGREEMENT OR THE TRANSACTIONS CONTEMPLATED HEREBY.</w:t>
      </w:r>
    </w:p>
    <w:p>
      <w:pPr>
        <w:spacing w:after="0" w:line="166" w:lineRule="exact"/>
        <w:rPr>
          <w:sz w:val="20"/>
          <w:szCs w:val="20"/>
          <w:color w:val="auto"/>
        </w:rPr>
      </w:pPr>
    </w:p>
    <w:p>
      <w:pPr>
        <w:jc w:val="both"/>
        <w:ind w:firstLine="1721"/>
        <w:spacing w:after="0" w:line="265" w:lineRule="auto"/>
        <w:rPr>
          <w:sz w:val="20"/>
          <w:szCs w:val="20"/>
          <w:color w:val="auto"/>
        </w:rPr>
      </w:pPr>
      <w:r>
        <w:rPr>
          <w:rFonts w:ascii="Times New Roman" w:cs="Times New Roman" w:eastAsia="Times New Roman" w:hAnsi="Times New Roman"/>
          <w:sz w:val="16"/>
          <w:szCs w:val="16"/>
          <w:color w:val="auto"/>
        </w:rPr>
        <w:t xml:space="preserve">Section 3.3 </w:t>
      </w:r>
      <w:r>
        <w:rPr>
          <w:rFonts w:ascii="Times New Roman" w:cs="Times New Roman" w:eastAsia="Times New Roman" w:hAnsi="Times New Roman"/>
          <w:sz w:val="16"/>
          <w:szCs w:val="16"/>
          <w:u w:val="single" w:color="auto"/>
          <w:color w:val="auto"/>
        </w:rPr>
        <w:t>Assignment</w:t>
      </w:r>
      <w:r>
        <w:rPr>
          <w:rFonts w:ascii="Times New Roman" w:cs="Times New Roman" w:eastAsia="Times New Roman" w:hAnsi="Times New Roman"/>
          <w:sz w:val="16"/>
          <w:szCs w:val="16"/>
          <w:color w:val="auto"/>
        </w:rPr>
        <w:t xml:space="preserve">. This Sponsor Agreement and all of the provisions hereof will be binding upon and inure to the benefit of the parties hereto and their respective heirs, successors and permitted assigns. Neither this Sponsor Agreement nor any of the rights, interests or obligations hereunder will be assigned (including by operation of law) without the prior written consent of the parties hereto. Any purported assignment or delegation not permitted under this </w:t>
      </w:r>
      <w:r>
        <w:rPr>
          <w:rFonts w:ascii="Times New Roman" w:cs="Times New Roman" w:eastAsia="Times New Roman" w:hAnsi="Times New Roman"/>
          <w:sz w:val="16"/>
          <w:szCs w:val="16"/>
          <w:u w:val="single" w:color="auto"/>
          <w:color w:val="auto"/>
        </w:rPr>
        <w:t>Section 3.3</w:t>
      </w:r>
      <w:r>
        <w:rPr>
          <w:rFonts w:ascii="Times New Roman" w:cs="Times New Roman" w:eastAsia="Times New Roman" w:hAnsi="Times New Roman"/>
          <w:sz w:val="16"/>
          <w:szCs w:val="16"/>
          <w:color w:val="auto"/>
        </w:rPr>
        <w:t xml:space="preserve"> shall be null and void.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31" w:name="page232"/>
    <w:bookmarkEnd w:id="231"/>
    <w:p>
      <w:pPr>
        <w:jc w:val="both"/>
        <w:ind w:left="4" w:firstLine="1721"/>
        <w:spacing w:after="0" w:line="259" w:lineRule="auto"/>
        <w:rPr>
          <w:sz w:val="20"/>
          <w:szCs w:val="20"/>
          <w:color w:val="auto"/>
        </w:rPr>
      </w:pPr>
      <w:r>
        <w:rPr>
          <w:rFonts w:ascii="Times New Roman" w:cs="Times New Roman" w:eastAsia="Times New Roman" w:hAnsi="Times New Roman"/>
          <w:sz w:val="16"/>
          <w:szCs w:val="16"/>
          <w:color w:val="auto"/>
        </w:rPr>
        <w:t xml:space="preserve">Section 3.4 </w:t>
      </w:r>
      <w:r>
        <w:rPr>
          <w:rFonts w:ascii="Times New Roman" w:cs="Times New Roman" w:eastAsia="Times New Roman" w:hAnsi="Times New Roman"/>
          <w:sz w:val="16"/>
          <w:szCs w:val="16"/>
          <w:u w:val="single" w:color="auto"/>
          <w:color w:val="auto"/>
        </w:rPr>
        <w:t>Specific Performance</w:t>
      </w:r>
      <w:r>
        <w:rPr>
          <w:rFonts w:ascii="Times New Roman" w:cs="Times New Roman" w:eastAsia="Times New Roman" w:hAnsi="Times New Roman"/>
          <w:sz w:val="16"/>
          <w:szCs w:val="16"/>
          <w:color w:val="auto"/>
        </w:rPr>
        <w:t>. The parties hereto agree that irreparable damage may occur in the event that any of the provisions of this Sponsor Agreement were not performed in accordance with their specific terms or were otherwise breached. It is accordingly agreed that the parties hereto shall be entitled to seek an injunction or injunctions to prevent breaches of this Sponsor Agreement and to enforce specifically the terms and provisions of this Sponsor Agreement in the chancery court or any other state or federal court within the State of Delaware, this being in addition to any other remedy to which such party is entitled at law or in equity.</w:t>
      </w:r>
    </w:p>
    <w:p>
      <w:pPr>
        <w:spacing w:after="0" w:line="162" w:lineRule="exact"/>
        <w:rPr>
          <w:sz w:val="20"/>
          <w:szCs w:val="20"/>
          <w:color w:val="auto"/>
        </w:rPr>
      </w:pPr>
    </w:p>
    <w:p>
      <w:pPr>
        <w:jc w:val="both"/>
        <w:ind w:left="4" w:firstLine="1721"/>
        <w:spacing w:after="0" w:line="280" w:lineRule="auto"/>
        <w:rPr>
          <w:sz w:val="20"/>
          <w:szCs w:val="20"/>
          <w:color w:val="auto"/>
        </w:rPr>
      </w:pPr>
      <w:r>
        <w:rPr>
          <w:rFonts w:ascii="Times New Roman" w:cs="Times New Roman" w:eastAsia="Times New Roman" w:hAnsi="Times New Roman"/>
          <w:sz w:val="16"/>
          <w:szCs w:val="16"/>
          <w:color w:val="auto"/>
        </w:rPr>
        <w:t xml:space="preserve">Section 3.5 </w:t>
      </w:r>
      <w:r>
        <w:rPr>
          <w:rFonts w:ascii="Times New Roman" w:cs="Times New Roman" w:eastAsia="Times New Roman" w:hAnsi="Times New Roman"/>
          <w:sz w:val="16"/>
          <w:szCs w:val="16"/>
          <w:u w:val="single" w:color="auto"/>
          <w:color w:val="auto"/>
        </w:rPr>
        <w:t>Amendment</w:t>
      </w:r>
      <w:r>
        <w:rPr>
          <w:rFonts w:ascii="Times New Roman" w:cs="Times New Roman" w:eastAsia="Times New Roman" w:hAnsi="Times New Roman"/>
          <w:sz w:val="16"/>
          <w:szCs w:val="16"/>
          <w:color w:val="auto"/>
        </w:rPr>
        <w:t>. This Sponsor Agreement may not be amended, changed, supplemented, waived or otherwise modified or terminated, except upon the execution and delivery of a written agreement executed by Acquiror, the Company and the Sponsors.</w:t>
      </w:r>
    </w:p>
    <w:p>
      <w:pPr>
        <w:spacing w:after="0" w:line="144" w:lineRule="exact"/>
        <w:rPr>
          <w:sz w:val="20"/>
          <w:szCs w:val="20"/>
          <w:color w:val="auto"/>
        </w:rPr>
      </w:pPr>
    </w:p>
    <w:p>
      <w:pPr>
        <w:jc w:val="both"/>
        <w:ind w:left="4" w:firstLine="1721"/>
        <w:spacing w:after="0" w:line="265" w:lineRule="auto"/>
        <w:rPr>
          <w:sz w:val="20"/>
          <w:szCs w:val="20"/>
          <w:color w:val="auto"/>
        </w:rPr>
      </w:pPr>
      <w:r>
        <w:rPr>
          <w:rFonts w:ascii="Times New Roman" w:cs="Times New Roman" w:eastAsia="Times New Roman" w:hAnsi="Times New Roman"/>
          <w:sz w:val="16"/>
          <w:szCs w:val="16"/>
          <w:color w:val="auto"/>
        </w:rPr>
        <w:t xml:space="preserve">Section 3.6 </w:t>
      </w: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If any provision of this Sponsor Agreement is held invalid or unenforceable by any court of competent jurisdiction, the other provisions of this Sponsor Agreement will remain in full force and effect. Any provision of this Sponsor Agreement held invalid or unenforceable only in part or degree will remain in full force and effect to the extent not held invalid or unenforceable.</w:t>
      </w:r>
    </w:p>
    <w:p>
      <w:pPr>
        <w:spacing w:after="0" w:line="1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 xml:space="preserve">Section 3.7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All notices and other communications among the parties hereto shall be in writing and shall be deemed to have been duly given</w:t>
      </w:r>
    </w:p>
    <w:p>
      <w:pPr>
        <w:spacing w:after="0" w:line="24" w:lineRule="exact"/>
        <w:rPr>
          <w:sz w:val="20"/>
          <w:szCs w:val="20"/>
          <w:color w:val="auto"/>
        </w:rPr>
      </w:pPr>
    </w:p>
    <w:p>
      <w:pPr>
        <w:ind w:left="224" w:hanging="224"/>
        <w:spacing w:after="0"/>
        <w:tabs>
          <w:tab w:leader="none" w:pos="224"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delivered in person, (b) when delivered after posting in the United States mail having been sent registered or certified mail return receipt requested, postage prepaid,</w:t>
      </w:r>
    </w:p>
    <w:p>
      <w:pPr>
        <w:spacing w:after="0" w:line="7" w:lineRule="exact"/>
        <w:rPr>
          <w:rFonts w:ascii="Times New Roman" w:cs="Times New Roman" w:eastAsia="Times New Roman" w:hAnsi="Times New Roman"/>
          <w:sz w:val="16"/>
          <w:szCs w:val="16"/>
          <w:color w:val="auto"/>
        </w:rPr>
      </w:pPr>
    </w:p>
    <w:p>
      <w:pPr>
        <w:ind w:left="4" w:hanging="4"/>
        <w:spacing w:after="0" w:line="258" w:lineRule="auto"/>
        <w:tabs>
          <w:tab w:leader="none" w:pos="223"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delivered by FedEx or other nationally recognized overnight delivery service or (d) when e-mailed during normal business hours (and otherwise as of the immediately following Business Day), addressed as follows:</w:t>
      </w:r>
    </w:p>
    <w:p>
      <w:pPr>
        <w:spacing w:after="0" w:line="161"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u w:val="single" w:color="auto"/>
          <w:color w:val="auto"/>
        </w:rPr>
        <w:t>If to Acquiror</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color w:val="auto"/>
        </w:rPr>
        <w:t>Ventoux CCM Acquisition Corp.</w:t>
      </w:r>
    </w:p>
    <w:p>
      <w:pPr>
        <w:spacing w:after="0" w:line="24"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color w:val="auto"/>
        </w:rPr>
        <w:t>1 East Putnam Avenue, Floor 4</w:t>
      </w:r>
    </w:p>
    <w:p>
      <w:pPr>
        <w:spacing w:after="0" w:line="7"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color w:val="auto"/>
        </w:rPr>
        <w:t>Greenwich, CT 06830</w:t>
      </w:r>
    </w:p>
    <w:p>
      <w:pPr>
        <w:spacing w:after="0" w:line="7"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color w:val="auto"/>
        </w:rPr>
        <w:t>Attention: Edward Scheetz</w:t>
      </w:r>
    </w:p>
    <w:p>
      <w:pPr>
        <w:spacing w:after="0" w:line="7"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color w:val="auto"/>
        </w:rPr>
        <w:t>Email: ed.scheetz@gmail.com</w:t>
      </w:r>
    </w:p>
    <w:p>
      <w:pPr>
        <w:spacing w:after="0" w:line="182"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color w:val="auto"/>
        </w:rPr>
        <w:t>with a copy to (which will not constitute notice):</w:t>
      </w:r>
    </w:p>
    <w:p>
      <w:pPr>
        <w:spacing w:after="0" w:line="198"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color w:val="auto"/>
        </w:rPr>
        <w:t>Woolery &amp; Co.</w:t>
      </w:r>
    </w:p>
    <w:p>
      <w:pPr>
        <w:spacing w:after="0" w:line="24"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color w:val="auto"/>
        </w:rPr>
        <w:t>1 Pier 76</w:t>
      </w:r>
    </w:p>
    <w:p>
      <w:pPr>
        <w:spacing w:after="0" w:line="7"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color w:val="auto"/>
        </w:rPr>
        <w:t>408 12th Ave</w:t>
      </w:r>
    </w:p>
    <w:p>
      <w:pPr>
        <w:spacing w:after="0" w:line="7"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color w:val="auto"/>
        </w:rPr>
        <w:t>New York, NY 10018</w:t>
      </w:r>
    </w:p>
    <w:p>
      <w:pPr>
        <w:spacing w:after="0" w:line="7"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color w:val="auto"/>
        </w:rPr>
        <w:t>Attn: Mathew J. Saur</w:t>
      </w:r>
    </w:p>
    <w:p>
      <w:pPr>
        <w:spacing w:after="0" w:line="7"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color w:val="auto"/>
        </w:rPr>
        <w:t>E-mail: Mathew@wooleryco.com</w:t>
      </w:r>
    </w:p>
    <w:p>
      <w:pPr>
        <w:spacing w:after="0" w:line="182"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color w:val="auto"/>
        </w:rPr>
        <w:t>and</w:t>
      </w:r>
    </w:p>
    <w:p>
      <w:pPr>
        <w:spacing w:after="0" w:line="198"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color w:val="auto"/>
        </w:rPr>
        <w:t>Dentons US LLP</w:t>
      </w:r>
    </w:p>
    <w:p>
      <w:pPr>
        <w:spacing w:after="0" w:line="24"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color w:val="auto"/>
        </w:rPr>
        <w:t>1221 Avenue of the Americas</w:t>
      </w:r>
    </w:p>
    <w:p>
      <w:pPr>
        <w:spacing w:after="0" w:line="7"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color w:val="auto"/>
        </w:rPr>
        <w:t>New York, NY 10020</w:t>
      </w:r>
    </w:p>
    <w:p>
      <w:pPr>
        <w:spacing w:after="0" w:line="7"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color w:val="auto"/>
        </w:rPr>
        <w:t>Attention: Ilan Katz and Brian Lee</w:t>
      </w:r>
    </w:p>
    <w:p>
      <w:pPr>
        <w:spacing w:after="0" w:line="7"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color w:val="auto"/>
        </w:rPr>
        <w:t>Email: ilan.katz@dentons.com and brian.lee@dentons.com</w:t>
      </w:r>
    </w:p>
    <w:p>
      <w:pPr>
        <w:spacing w:after="0" w:line="37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4"/>
          </w:cols>
          <w:pgMar w:left="316" w:top="816" w:right="339" w:bottom="1440" w:gutter="0" w:footer="0" w:header="0"/>
        </w:sectPr>
      </w:pPr>
    </w:p>
    <w:bookmarkStart w:id="232" w:name="page233"/>
    <w:bookmarkEnd w:id="232"/>
    <w:p>
      <w:pPr>
        <w:ind w:left="20"/>
        <w:spacing w:after="0"/>
        <w:rPr>
          <w:sz w:val="20"/>
          <w:szCs w:val="20"/>
          <w:color w:val="auto"/>
        </w:rPr>
      </w:pPr>
      <w:r>
        <w:rPr>
          <w:rFonts w:ascii="Times New Roman" w:cs="Times New Roman" w:eastAsia="Times New Roman" w:hAnsi="Times New Roman"/>
          <w:sz w:val="16"/>
          <w:szCs w:val="16"/>
          <w:u w:val="single" w:color="auto"/>
          <w:color w:val="auto"/>
        </w:rPr>
        <w:t>If to the Company</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 La Carte, Inc.</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985 Industrial Road</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San Carlos, CA 94070</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Attn: Rajat Suri and Ashish Gupta</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E-mail: raj@presto.com and ashish@presto.com</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White &amp; Case LLP</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1221 Avenue of the Americas</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New York, NY 10020-1095</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Attn: Colin Diamond</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E-mail: colin.diamond@whitecase.com</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and</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White &amp; Case LLP</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3000 El Camino Real</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2 Palo Alto Square, Suite 900</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Palo Alto, California 94306-2109</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Attn: Tali Sealman</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E-mail: tali.sealman@whitecase.com</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and</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White &amp; Case LLP</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609 Main Street Suite 2900</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Houston, Tezas 77007</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Attn: Emery Choi</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E-mail: emery.choi@whitecase.com</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u w:val="single" w:color="auto"/>
          <w:color w:val="auto"/>
        </w:rPr>
        <w:t>If to a Sponsor Party</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To such Sponsor Party’s address set forth in </w:t>
      </w:r>
      <w:r>
        <w:rPr>
          <w:rFonts w:ascii="Times New Roman" w:cs="Times New Roman" w:eastAsia="Times New Roman" w:hAnsi="Times New Roman"/>
          <w:sz w:val="16"/>
          <w:szCs w:val="16"/>
          <w:u w:val="single" w:color="auto"/>
          <w:color w:val="auto"/>
        </w:rPr>
        <w:t>Schedule I</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with a copy to (which will not constitute notice):</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Woolery &amp; Co.</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 Pier 76</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408 12th Ave</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New York, NY 10018</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Attn: Mathew J. Saur</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E-mail: Mathew@wooleryco.com</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and</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Dentons US LLP</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1221 Avenue of the Americas</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New York, NY 10020</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Attention: Ilan Katz and Brian Lee</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Email: ilan.katz@dentons.com and brian.lee@dentons.com</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816" w:right="1440" w:bottom="1440" w:gutter="0" w:footer="0" w:header="0"/>
        </w:sectPr>
      </w:pPr>
    </w:p>
    <w:bookmarkStart w:id="233" w:name="page234"/>
    <w:bookmarkEnd w:id="233"/>
    <w:p>
      <w:pPr>
        <w:jc w:val="both"/>
        <w:ind w:right="20" w:firstLine="1721"/>
        <w:spacing w:after="0" w:line="280" w:lineRule="auto"/>
        <w:rPr>
          <w:sz w:val="20"/>
          <w:szCs w:val="20"/>
          <w:color w:val="auto"/>
        </w:rPr>
      </w:pPr>
      <w:r>
        <w:rPr>
          <w:rFonts w:ascii="Times New Roman" w:cs="Times New Roman" w:eastAsia="Times New Roman" w:hAnsi="Times New Roman"/>
          <w:sz w:val="16"/>
          <w:szCs w:val="16"/>
          <w:color w:val="auto"/>
        </w:rPr>
        <w:t xml:space="preserve">Section 3.8 </w:t>
      </w: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Sponsor Agreement may be executed in two or more counterparts (any of which may be delivered by electronic transmission), each of which shall constitute an original, and all of which taken together shall constitute one and the same instrument.</w:t>
      </w:r>
    </w:p>
    <w:p>
      <w:pPr>
        <w:spacing w:after="0" w:line="14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u w:val="single" w:color="auto"/>
          <w:color w:val="auto"/>
        </w:rPr>
        <w:t>Section 3.9 Trust Account Waiver</w:t>
      </w:r>
      <w:r>
        <w:rPr>
          <w:rFonts w:ascii="Times New Roman" w:cs="Times New Roman" w:eastAsia="Times New Roman" w:hAnsi="Times New Roman"/>
          <w:sz w:val="16"/>
          <w:szCs w:val="16"/>
          <w:color w:val="auto"/>
        </w:rPr>
        <w:t xml:space="preserve">. Section 6.05 of the Merger Agreement is hereby incorporated into this Sponsor Agreement, </w:t>
      </w:r>
      <w:r>
        <w:rPr>
          <w:rFonts w:ascii="Times New Roman" w:cs="Times New Roman" w:eastAsia="Times New Roman" w:hAnsi="Times New Roman"/>
          <w:sz w:val="16"/>
          <w:szCs w:val="16"/>
          <w:i w:val="1"/>
          <w:iCs w:val="1"/>
          <w:color w:val="auto"/>
        </w:rPr>
        <w:t>mutatis mutandis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jc w:val="both"/>
        <w:ind w:firstLine="1721"/>
        <w:spacing w:after="0" w:line="265" w:lineRule="auto"/>
        <w:rPr>
          <w:sz w:val="20"/>
          <w:szCs w:val="20"/>
          <w:color w:val="auto"/>
        </w:rPr>
      </w:pPr>
      <w:r>
        <w:rPr>
          <w:rFonts w:ascii="Times New Roman" w:cs="Times New Roman" w:eastAsia="Times New Roman" w:hAnsi="Times New Roman"/>
          <w:sz w:val="16"/>
          <w:szCs w:val="16"/>
          <w:color w:val="auto"/>
        </w:rPr>
        <w:t xml:space="preserve">Section 3.10 </w:t>
      </w: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Sponsor Agreement and the agreements referenced herein constitute the entire agreement and understanding of the parties hereto in respect of the subject matter hereof and supersede all prior understandings, agreements or representations by or among the parties hereto to the extent they relate in any way to the subject matter hereof.</w:t>
      </w:r>
    </w:p>
    <w:p>
      <w:pPr>
        <w:spacing w:after="0" w:line="155" w:lineRule="exact"/>
        <w:rPr>
          <w:sz w:val="20"/>
          <w:szCs w:val="20"/>
          <w:color w:val="auto"/>
        </w:rPr>
      </w:pPr>
    </w:p>
    <w:p>
      <w:pPr>
        <w:jc w:val="both"/>
        <w:ind w:right="20" w:firstLine="1721"/>
        <w:spacing w:after="0" w:line="265" w:lineRule="auto"/>
        <w:rPr>
          <w:sz w:val="20"/>
          <w:szCs w:val="20"/>
          <w:color w:val="auto"/>
        </w:rPr>
      </w:pPr>
      <w:r>
        <w:rPr>
          <w:rFonts w:ascii="Times New Roman" w:cs="Times New Roman" w:eastAsia="Times New Roman" w:hAnsi="Times New Roman"/>
          <w:sz w:val="16"/>
          <w:szCs w:val="16"/>
          <w:u w:val="single" w:color="auto"/>
          <w:color w:val="auto"/>
        </w:rPr>
        <w:t>Section 3.11 Publicity</w:t>
      </w:r>
      <w:r>
        <w:rPr>
          <w:rFonts w:ascii="Times New Roman" w:cs="Times New Roman" w:eastAsia="Times New Roman" w:hAnsi="Times New Roman"/>
          <w:sz w:val="16"/>
          <w:szCs w:val="16"/>
          <w:color w:val="auto"/>
        </w:rPr>
        <w:t>. Except to the extent required by applicable Law or legal process, neither Acquiror nor the Company may disclose the identities of any direct or indirect members or investors of the Sponsor Parties or their direct or indirect interests in the Sponsor Parties without the relevant Sponsor Party’s prior written consent.</w:t>
      </w:r>
    </w:p>
    <w:p>
      <w:pPr>
        <w:spacing w:after="0" w:line="155" w:lineRule="exact"/>
        <w:rPr>
          <w:sz w:val="20"/>
          <w:szCs w:val="20"/>
          <w:color w:val="auto"/>
        </w:rPr>
      </w:pPr>
    </w:p>
    <w:p>
      <w:pPr>
        <w:jc w:val="both"/>
        <w:ind w:firstLine="1721"/>
        <w:spacing w:after="0" w:line="255" w:lineRule="auto"/>
        <w:rPr>
          <w:sz w:val="20"/>
          <w:szCs w:val="20"/>
          <w:color w:val="auto"/>
        </w:rPr>
      </w:pPr>
      <w:r>
        <w:rPr>
          <w:rFonts w:ascii="Times New Roman" w:cs="Times New Roman" w:eastAsia="Times New Roman" w:hAnsi="Times New Roman"/>
          <w:sz w:val="16"/>
          <w:szCs w:val="16"/>
          <w:u w:val="single" w:color="auto"/>
          <w:color w:val="auto"/>
        </w:rPr>
        <w:t>Section 3.12 Capacity as a Stockholder</w:t>
      </w:r>
      <w:r>
        <w:rPr>
          <w:rFonts w:ascii="Times New Roman" w:cs="Times New Roman" w:eastAsia="Times New Roman" w:hAnsi="Times New Roman"/>
          <w:sz w:val="16"/>
          <w:szCs w:val="16"/>
          <w:color w:val="auto"/>
        </w:rPr>
        <w:t>. Notwithstanding anything herein to the contrary, each Sponsor Party signs this Sponsor Agreement solely in such Person’s capacity as a record owner of, common stock of Acquiror, and not in any other capacity and this Sponsor Agreement shall not limit, prevent or otherwise affect the actions of any Sponsor Party or any Affiliate, employee or designee of the Sponsor Party, or any of their respective Affiliates in his or her capacity, if applicable, as an officer or director of Acquiror, First Merger Sub, Second Merger Sub or any other Person, including in the exercise of his or her fiduciary duties as a director or officer of Acquiror. No Sponsor Party shall be liable or responsible for any breach, default, or violation of any representation, warranty, covenant or agreement by any other Sponsor Party that is also a party hereto and each Sponsor Party shall solely be required to perform its obligations hereunder in its individual capacity.</w:t>
      </w:r>
    </w:p>
    <w:p>
      <w:pPr>
        <w:spacing w:after="0" w:line="16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[THE REMAINDER OF THIS PAGE IS INTENTIONALLY BLANK]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34" w:name="page235"/>
    <w:bookmarkEnd w:id="234"/>
    <w:p>
      <w:pPr>
        <w:ind w:firstLine="574"/>
        <w:spacing w:after="0" w:line="280" w:lineRule="auto"/>
        <w:rPr>
          <w:sz w:val="20"/>
          <w:szCs w:val="20"/>
          <w:color w:val="auto"/>
        </w:rPr>
      </w:pPr>
      <w:r>
        <w:rPr>
          <w:rFonts w:ascii="Times New Roman" w:cs="Times New Roman" w:eastAsia="Times New Roman" w:hAnsi="Times New Roman"/>
          <w:sz w:val="16"/>
          <w:szCs w:val="16"/>
          <w:color w:val="auto"/>
        </w:rPr>
        <w:t>IN WITNESS WHEREOF, the Sponsor Parties, Acquiror, and the Company have each caused this Sponsor Support Agreement to be duly executed as of the date first written above.</w:t>
      </w:r>
    </w:p>
    <w:p>
      <w:pPr>
        <w:spacing w:after="0" w:line="14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SPONSORS:</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VENTOUX ACQUISITION HOLDINGS LLC</w:t>
      </w:r>
    </w:p>
    <w:p>
      <w:pPr>
        <w:spacing w:after="0" w:line="200"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6"/>
          <w:szCs w:val="16"/>
          <w:color w:val="auto"/>
        </w:rPr>
        <w:t>By:</w:t>
        <w:tab/>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15240</wp:posOffset>
            </wp:positionV>
            <wp:extent cx="2572385" cy="152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Name:</w:t>
        <w:tab/>
        <w:t>Edward Scheetz</w:t>
      </w:r>
    </w:p>
    <w:p>
      <w:pPr>
        <w:spacing w:after="0" w:line="24"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Title:</w:t>
        <w:tab/>
        <w:t>Chief Executive Officer</w:t>
      </w:r>
    </w:p>
    <w:p>
      <w:pPr>
        <w:spacing w:after="0" w:line="18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CHARDAN INTERNATIONAL INVESTMENTS LLC</w:t>
      </w:r>
    </w:p>
    <w:p>
      <w:pPr>
        <w:spacing w:after="0" w:line="200"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6"/>
          <w:szCs w:val="16"/>
          <w:color w:val="auto"/>
        </w:rPr>
        <w:t>By:</w:t>
        <w:tab/>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15240</wp:posOffset>
            </wp:positionV>
            <wp:extent cx="2572385" cy="152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Jonas Grossman</w:t>
      </w:r>
    </w:p>
    <w:p>
      <w:pPr>
        <w:spacing w:after="0" w:line="24"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Title:</w:t>
        <w:tab/>
        <w:t>Managing Member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Sponsor Support Agreement]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35" w:name="page236"/>
    <w:bookmarkEnd w:id="235"/>
    <w:p>
      <w:pPr>
        <w:ind w:left="5640"/>
        <w:spacing w:after="0"/>
        <w:rPr>
          <w:sz w:val="20"/>
          <w:szCs w:val="20"/>
          <w:color w:val="auto"/>
        </w:rPr>
      </w:pPr>
      <w:r>
        <w:rPr>
          <w:rFonts w:ascii="Times New Roman" w:cs="Times New Roman" w:eastAsia="Times New Roman" w:hAnsi="Times New Roman"/>
          <w:sz w:val="16"/>
          <w:szCs w:val="16"/>
          <w:b w:val="1"/>
          <w:bCs w:val="1"/>
          <w:color w:val="auto"/>
        </w:rPr>
        <w:t>INSIDERS:</w:t>
      </w:r>
    </w:p>
    <w:p>
      <w:pPr>
        <w:spacing w:after="0" w:line="200"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6"/>
          <w:szCs w:val="16"/>
          <w:color w:val="auto"/>
        </w:rPr>
        <w:t>By:</w:t>
        <w:tab/>
        <w:t>/s/ Christian Ahrens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15240</wp:posOffset>
            </wp:positionV>
            <wp:extent cx="2572385" cy="152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Christian Ahrens</w:t>
      </w:r>
    </w:p>
    <w:p>
      <w:pPr>
        <w:spacing w:after="0" w:line="198"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6"/>
          <w:szCs w:val="16"/>
          <w:color w:val="auto"/>
        </w:rPr>
        <w:t>By:</w:t>
        <w:tab/>
        <w:t>/s/ Woodrow H.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15240</wp:posOffset>
            </wp:positionV>
            <wp:extent cx="2572385" cy="152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Woodrow H. Levin</w:t>
      </w:r>
    </w:p>
    <w:p>
      <w:pPr>
        <w:spacing w:after="0" w:line="198"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6"/>
          <w:szCs w:val="16"/>
          <w:color w:val="auto"/>
        </w:rPr>
        <w:t>By:</w:t>
        <w:tab/>
        <w:t>/s/ Julie Atkinson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15240</wp:posOffset>
            </wp:positionV>
            <wp:extent cx="2572385" cy="152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Julie Atkinson</w:t>
      </w:r>
    </w:p>
    <w:p>
      <w:pPr>
        <w:spacing w:after="0" w:line="198"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6"/>
          <w:szCs w:val="16"/>
          <w:color w:val="auto"/>
        </w:rPr>
        <w:t>By:</w:t>
        <w:tab/>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15240</wp:posOffset>
            </wp:positionV>
            <wp:extent cx="2572385" cy="152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6"/>
          <w:szCs w:val="16"/>
          <w:color w:val="auto"/>
        </w:rPr>
        <w:t>Name:</w:t>
        <w:tab/>
        <w:t>Edward Scheetz</w:t>
      </w:r>
    </w:p>
    <w:p>
      <w:pPr>
        <w:spacing w:after="0" w:line="19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Cindat USA LLC</w:t>
      </w:r>
    </w:p>
    <w:p>
      <w:pPr>
        <w:spacing w:after="0" w:line="200"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6"/>
          <w:szCs w:val="16"/>
          <w:color w:val="auto"/>
        </w:rPr>
        <w:t>By:</w:t>
        <w:tab/>
        <w:t>/s/ Bernard Van der Lande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15240</wp:posOffset>
            </wp:positionV>
            <wp:extent cx="2572385" cy="152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jc w:val="right"/>
        <w:ind w:right="899"/>
        <w:spacing w:after="0"/>
        <w:tabs>
          <w:tab w:leader="none" w:pos="146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Bernard Van der Lande</w:t>
      </w:r>
    </w:p>
    <w:p>
      <w:pPr>
        <w:spacing w:after="0" w:line="24"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6"/>
          <w:szCs w:val="16"/>
          <w:color w:val="auto"/>
        </w:rPr>
        <w:t>Title:</w:t>
        <w:tab/>
        <w:t>Managing Member</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[Signature Page to Sponsor Support Agreement]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814" w:right="1440" w:bottom="1440" w:gutter="0" w:footer="0" w:header="0"/>
        </w:sectPr>
      </w:pPr>
    </w:p>
    <w:bookmarkStart w:id="236" w:name="page237"/>
    <w:bookmarkEnd w:id="236"/>
    <w:p>
      <w:pPr>
        <w:ind w:left="5640"/>
        <w:spacing w:after="0"/>
        <w:rPr>
          <w:sz w:val="20"/>
          <w:szCs w:val="20"/>
          <w:color w:val="auto"/>
        </w:rPr>
      </w:pPr>
      <w:r>
        <w:rPr>
          <w:rFonts w:ascii="Times New Roman" w:cs="Times New Roman" w:eastAsia="Times New Roman" w:hAnsi="Times New Roman"/>
          <w:sz w:val="16"/>
          <w:szCs w:val="16"/>
          <w:b w:val="1"/>
          <w:bCs w:val="1"/>
          <w:color w:val="auto"/>
        </w:rPr>
        <w:t>ACQUIROR:</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b w:val="1"/>
          <w:bCs w:val="1"/>
          <w:color w:val="auto"/>
        </w:rPr>
        <w:t>VENTOUX CCM ACQUISITION CORP.</w:t>
      </w:r>
    </w:p>
    <w:p>
      <w:pPr>
        <w:spacing w:after="0" w:line="212"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6"/>
          <w:szCs w:val="16"/>
          <w:color w:val="auto"/>
        </w:rPr>
        <w:t>By:</w:t>
        <w:tab/>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15240</wp:posOffset>
            </wp:positionV>
            <wp:extent cx="2572385" cy="152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6"/>
          <w:szCs w:val="16"/>
          <w:color w:val="auto"/>
        </w:rPr>
        <w:t>Name:</w:t>
        <w:tab/>
        <w:t>Edward Scheetz</w:t>
      </w:r>
    </w:p>
    <w:p>
      <w:pPr>
        <w:spacing w:after="0" w:line="24"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6"/>
          <w:szCs w:val="16"/>
          <w:color w:val="auto"/>
        </w:rPr>
        <w:t>Title:</w:t>
        <w:tab/>
        <w:t>Chief Executive Officer</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[Signature Page to Sponsor Support Agreement]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814" w:right="1440" w:bottom="1440" w:gutter="0" w:footer="0" w:header="0"/>
        </w:sectPr>
      </w:pPr>
    </w:p>
    <w:bookmarkStart w:id="237" w:name="page238"/>
    <w:bookmarkEnd w:id="237"/>
    <w:p>
      <w:pPr>
        <w:ind w:left="5640"/>
        <w:spacing w:after="0"/>
        <w:rPr>
          <w:sz w:val="20"/>
          <w:szCs w:val="20"/>
          <w:color w:val="auto"/>
        </w:rPr>
      </w:pPr>
      <w:r>
        <w:rPr>
          <w:rFonts w:ascii="Times New Roman" w:cs="Times New Roman" w:eastAsia="Times New Roman" w:hAnsi="Times New Roman"/>
          <w:sz w:val="16"/>
          <w:szCs w:val="16"/>
          <w:b w:val="1"/>
          <w:bCs w:val="1"/>
          <w:color w:val="auto"/>
        </w:rPr>
        <w:t>COMPANY:</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E LA CARTE, INC.</w:t>
      </w:r>
    </w:p>
    <w:p>
      <w:pPr>
        <w:spacing w:after="0" w:line="200"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6"/>
          <w:szCs w:val="16"/>
          <w:color w:val="auto"/>
        </w:rPr>
        <w:t>By:</w:t>
        <w:tab/>
        <w:t>/s/ Rajat Suri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15240</wp:posOffset>
            </wp:positionV>
            <wp:extent cx="2572385" cy="152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Rajat Suri</w:t>
      </w:r>
    </w:p>
    <w:p>
      <w:pPr>
        <w:spacing w:after="0" w:line="24" w:lineRule="exact"/>
        <w:rPr>
          <w:sz w:val="20"/>
          <w:szCs w:val="20"/>
          <w:color w:val="auto"/>
        </w:rPr>
      </w:pPr>
    </w:p>
    <w:p>
      <w:pPr>
        <w:jc w:val="both"/>
        <w:ind w:left="6080"/>
        <w:spacing w:after="0"/>
        <w:tabs>
          <w:tab w:leader="none" w:pos="6620" w:val="left"/>
        </w:tabs>
        <w:rPr>
          <w:sz w:val="20"/>
          <w:szCs w:val="20"/>
          <w:color w:val="auto"/>
        </w:rPr>
      </w:pPr>
      <w:r>
        <w:rPr>
          <w:rFonts w:ascii="Times New Roman" w:cs="Times New Roman" w:eastAsia="Times New Roman" w:hAnsi="Times New Roman"/>
          <w:sz w:val="16"/>
          <w:szCs w:val="16"/>
          <w:color w:val="auto"/>
        </w:rPr>
        <w:t>Title:</w:t>
        <w:tab/>
        <w:t>Chief Executive Officer</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[Signature Page to Sponsor Support Agreement]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814" w:right="1440"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16"/>
          <w:szCs w:val="16"/>
          <w:b w:val="1"/>
          <w:bCs w:val="1"/>
          <w:color w:val="auto"/>
        </w:rPr>
        <w:t>Exhibit 10.7</w:t>
      </w:r>
    </w:p>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u w:val="single" w:color="auto"/>
          <w:color w:val="auto"/>
        </w:rPr>
        <w:t>FORM OF GOVERNANCE AGREEMENT</w:t>
      </w:r>
    </w:p>
    <w:p>
      <w:pPr>
        <w:spacing w:after="0" w:line="19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b w:val="1"/>
          <w:bCs w:val="1"/>
          <w:color w:val="auto"/>
        </w:rPr>
        <w:t>THIS GOVERNANCE AGREEMENT</w:t>
      </w:r>
      <w:r>
        <w:rPr>
          <w:rFonts w:ascii="Times New Roman" w:cs="Times New Roman" w:eastAsia="Times New Roman" w:hAnsi="Times New Roman"/>
          <w:sz w:val="16"/>
          <w:szCs w:val="16"/>
          <w:color w:val="auto"/>
        </w:rPr>
        <w:t>, dated as of [●], 2022, is entered into by and among (i) Presto Automation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w:t>
      </w:r>
    </w:p>
    <w:p>
      <w:pPr>
        <w:spacing w:after="0" w:line="26" w:lineRule="exact"/>
        <w:rPr>
          <w:sz w:val="20"/>
          <w:szCs w:val="20"/>
          <w:color w:val="auto"/>
        </w:rPr>
      </w:pPr>
    </w:p>
    <w:p>
      <w:pPr>
        <w:jc w:val="both"/>
        <w:ind w:left="4" w:right="20" w:hanging="4"/>
        <w:spacing w:after="0" w:line="252" w:lineRule="auto"/>
        <w:tabs>
          <w:tab w:leader="none" w:pos="246"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REMUS Stockholders (as defined herein), (iii) Rajat Suri (“</w:t>
      </w:r>
      <w:r>
        <w:rPr>
          <w:rFonts w:ascii="Times New Roman" w:cs="Times New Roman" w:eastAsia="Times New Roman" w:hAnsi="Times New Roman"/>
          <w:sz w:val="16"/>
          <w:szCs w:val="16"/>
          <w:u w:val="single" w:color="auto"/>
          <w:color w:val="auto"/>
        </w:rPr>
        <w:t>Chief Executive Officer</w:t>
      </w:r>
      <w:r>
        <w:rPr>
          <w:rFonts w:ascii="Times New Roman" w:cs="Times New Roman" w:eastAsia="Times New Roman" w:hAnsi="Times New Roman"/>
          <w:sz w:val="16"/>
          <w:szCs w:val="16"/>
          <w:color w:val="auto"/>
        </w:rPr>
        <w:t>”), (iv) Presto CA LLC, a Delaware limited liability company (“CA,” and together with the REMUS Stockholders and the Chief Executive Officer, collectively, the “</w:t>
      </w:r>
      <w:r>
        <w:rPr>
          <w:rFonts w:ascii="Times New Roman" w:cs="Times New Roman" w:eastAsia="Times New Roman" w:hAnsi="Times New Roman"/>
          <w:sz w:val="16"/>
          <w:szCs w:val="16"/>
          <w:u w:val="single" w:color="auto"/>
          <w:color w:val="auto"/>
        </w:rPr>
        <w:t>Principal Stockholders</w:t>
      </w:r>
      <w:r>
        <w:rPr>
          <w:rFonts w:ascii="Times New Roman" w:cs="Times New Roman" w:eastAsia="Times New Roman" w:hAnsi="Times New Roman"/>
          <w:sz w:val="16"/>
          <w:szCs w:val="16"/>
          <w:color w:val="auto"/>
        </w:rPr>
        <w:t>” and each a “</w:t>
      </w:r>
      <w:r>
        <w:rPr>
          <w:rFonts w:ascii="Times New Roman" w:cs="Times New Roman" w:eastAsia="Times New Roman" w:hAnsi="Times New Roman"/>
          <w:sz w:val="16"/>
          <w:szCs w:val="16"/>
          <w:u w:val="single" w:color="auto"/>
          <w:color w:val="auto"/>
        </w:rPr>
        <w:t>Principal Stockholder</w:t>
      </w:r>
      <w:r>
        <w:rPr>
          <w:rFonts w:ascii="Times New Roman" w:cs="Times New Roman" w:eastAsia="Times New Roman" w:hAnsi="Times New Roman"/>
          <w:sz w:val="16"/>
          <w:szCs w:val="16"/>
          <w:color w:val="auto"/>
        </w:rPr>
        <w:t xml:space="preserve">”) and (v) solely for purposes </w:t>
      </w:r>
      <w:r>
        <w:rPr>
          <w:rFonts w:ascii="Times New Roman" w:cs="Times New Roman" w:eastAsia="Times New Roman" w:hAnsi="Times New Roman"/>
          <w:sz w:val="16"/>
          <w:szCs w:val="16"/>
          <w:u w:val="single" w:color="auto"/>
          <w:color w:val="auto"/>
        </w:rPr>
        <w:t>Section 2.3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2.5</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 III</w:t>
      </w:r>
      <w:r>
        <w:rPr>
          <w:rFonts w:ascii="Times New Roman" w:cs="Times New Roman" w:eastAsia="Times New Roman" w:hAnsi="Times New Roman"/>
          <w:sz w:val="16"/>
          <w:szCs w:val="16"/>
          <w:color w:val="auto"/>
        </w:rPr>
        <w:t>, I2BF Global Investments Ltd., a Cayman Islands exempted company (“</w:t>
      </w:r>
      <w:r>
        <w:rPr>
          <w:rFonts w:ascii="Times New Roman" w:cs="Times New Roman" w:eastAsia="Times New Roman" w:hAnsi="Times New Roman"/>
          <w:sz w:val="16"/>
          <w:szCs w:val="16"/>
          <w:u w:val="single" w:color="auto"/>
          <w:color w:val="auto"/>
        </w:rPr>
        <w:t>I2BF</w:t>
      </w:r>
      <w:r>
        <w:rPr>
          <w:rFonts w:ascii="Times New Roman" w:cs="Times New Roman" w:eastAsia="Times New Roman" w:hAnsi="Times New Roman"/>
          <w:sz w:val="16"/>
          <w:szCs w:val="16"/>
          <w:color w:val="auto"/>
        </w:rPr>
        <w:t xml:space="preserve">”). Capitalized terms used herein without definition shall have the meanings set forth in </w:t>
      </w: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WITNESSETH:</w:t>
      </w:r>
    </w:p>
    <w:p>
      <w:pPr>
        <w:spacing w:after="0" w:line="200" w:lineRule="exact"/>
        <w:rPr>
          <w:sz w:val="20"/>
          <w:szCs w:val="20"/>
          <w:color w:val="auto"/>
        </w:rPr>
      </w:pPr>
    </w:p>
    <w:p>
      <w:pPr>
        <w:jc w:val="both"/>
        <w:ind w:left="4" w:right="20" w:firstLine="574"/>
        <w:spacing w:after="0" w:line="265" w:lineRule="auto"/>
        <w:rPr>
          <w:sz w:val="20"/>
          <w:szCs w:val="20"/>
          <w:color w:val="auto"/>
        </w:rPr>
      </w:pPr>
      <w:r>
        <w:rPr>
          <w:rFonts w:ascii="Times New Roman" w:cs="Times New Roman" w:eastAsia="Times New Roman" w:hAnsi="Times New Roman"/>
          <w:sz w:val="16"/>
          <w:szCs w:val="16"/>
          <w:color w:val="auto"/>
        </w:rPr>
        <w:t>WHEREAS, E La Carte, Inc. entered into that certain Agreement and Plan of Merger, dated as of November 10, 2021 (as amended or supplemented from time to time,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with Ventoux CCM Acquisition Corp. (“</w:t>
      </w:r>
      <w:r>
        <w:rPr>
          <w:rFonts w:ascii="Times New Roman" w:cs="Times New Roman" w:eastAsia="Times New Roman" w:hAnsi="Times New Roman"/>
          <w:sz w:val="16"/>
          <w:szCs w:val="16"/>
          <w:u w:val="single" w:color="auto"/>
          <w:color w:val="auto"/>
        </w:rPr>
        <w:t>Ventoux</w:t>
      </w:r>
      <w:r>
        <w:rPr>
          <w:rFonts w:ascii="Times New Roman" w:cs="Times New Roman" w:eastAsia="Times New Roman" w:hAnsi="Times New Roman"/>
          <w:sz w:val="16"/>
          <w:szCs w:val="16"/>
          <w:color w:val="auto"/>
        </w:rPr>
        <w:t>”), Ventoux Merger Sub Inc., a Delaware corporation and a direct, wholly-owned subsidiary of Ventoux, and Ventoux Merger Sub II LLC, a Delaware limited liability company and a direct, wholly-owned subsidiary of Ventoux;</w:t>
      </w:r>
    </w:p>
    <w:p>
      <w:pPr>
        <w:spacing w:after="0" w:line="155" w:lineRule="exact"/>
        <w:rPr>
          <w:sz w:val="20"/>
          <w:szCs w:val="20"/>
          <w:color w:val="auto"/>
        </w:rPr>
      </w:pPr>
    </w:p>
    <w:p>
      <w:pPr>
        <w:jc w:val="both"/>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WHEREAS, on the date hereof, the parties to the Merger Agreement consummated the transactions contemplated by the Merger Agreement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and the Principal Stockholders received shares of common stock, par value $0.0001 per share, of the Company (“</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WHEREAS, immediately after the completion of the Merger, the Principal Stockholders will own approximately [●]% of the issued and outstanding Company Shares (as defined below); and</w:t>
      </w:r>
    </w:p>
    <w:p>
      <w:pPr>
        <w:spacing w:after="0" w:line="144"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WHEREAS, the parties hereto desire to provide for certain governance rights and other matters for the period on and after the effective time of the Merger.</w:t>
      </w:r>
    </w:p>
    <w:p>
      <w:pPr>
        <w:spacing w:after="0" w:line="19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NOW, THEREFORE, in consideration of the mutual agreements and understandings set forth herein, the parties hereto hereby agree as follows:</w:t>
      </w:r>
    </w:p>
    <w:p>
      <w:pPr>
        <w:spacing w:after="0" w:line="19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CERTAIN DEFINITIONS</w:t>
      </w:r>
    </w:p>
    <w:p>
      <w:pPr>
        <w:spacing w:after="0" w:line="182"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 xml:space="preserve">Section 1.1 </w:t>
      </w:r>
      <w:r>
        <w:rPr>
          <w:rFonts w:ascii="Times New Roman" w:cs="Times New Roman" w:eastAsia="Times New Roman" w:hAnsi="Times New Roman"/>
          <w:sz w:val="16"/>
          <w:szCs w:val="16"/>
          <w:u w:val="single" w:color="auto"/>
          <w:color w:val="auto"/>
        </w:rPr>
        <w:t>Definitions</w:t>
      </w:r>
      <w:r>
        <w:rPr>
          <w:rFonts w:ascii="Times New Roman" w:cs="Times New Roman" w:eastAsia="Times New Roman" w:hAnsi="Times New Roman"/>
          <w:sz w:val="16"/>
          <w:szCs w:val="16"/>
          <w:color w:val="auto"/>
        </w:rPr>
        <w:t>. As used in this Agreement, the following terms shall have the following respective meanings:</w:t>
      </w:r>
    </w:p>
    <w:p>
      <w:pPr>
        <w:spacing w:after="0" w:line="198" w:lineRule="exact"/>
        <w:rPr>
          <w:sz w:val="20"/>
          <w:szCs w:val="20"/>
          <w:color w:val="auto"/>
        </w:rPr>
      </w:pPr>
    </w:p>
    <w:p>
      <w:pPr>
        <w:jc w:val="both"/>
        <w:ind w:left="4" w:firstLine="574"/>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Affiliate</w:t>
      </w:r>
      <w:r>
        <w:rPr>
          <w:rFonts w:ascii="Times New Roman" w:cs="Times New Roman" w:eastAsia="Times New Roman" w:hAnsi="Times New Roman"/>
          <w:sz w:val="16"/>
          <w:szCs w:val="16"/>
          <w:color w:val="auto"/>
        </w:rPr>
        <w:t>” shall mean, with respect to any Person, any Person directly or indirectly controlling, controlled by or under common control with such first Person. For these purposes, (i) “control” means the possession, direct or indirect, of the power to direct or cause the direction of the management and policies of such Person, whether through ownership of voting securities, by contract or otherwise, and (ii) a Person shall be deemed to be an Affiliate of another Person if such Person has formed a “group” (within the meaning of Section 13(d) of the Securities Exchange Act of 1934, as amended) for the purpose of acquiring, holding, voting or disposing of voting securities of the Company.</w:t>
      </w:r>
    </w:p>
    <w:p>
      <w:pPr>
        <w:spacing w:after="0" w:line="162" w:lineRule="exact"/>
        <w:rPr>
          <w:sz w:val="20"/>
          <w:szCs w:val="20"/>
          <w:color w:val="auto"/>
        </w:rPr>
      </w:pPr>
    </w:p>
    <w:p>
      <w:pPr>
        <w:jc w:val="both"/>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shall mean this Governance Agreement as in effect on the date hereof and as hereafter from time to time amended, modified or supplemented in accordance with the terms hereof.</w:t>
      </w:r>
    </w:p>
    <w:p>
      <w:pPr>
        <w:spacing w:after="0" w:line="144"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Board Designees</w:t>
      </w:r>
      <w:r>
        <w:rPr>
          <w:rFonts w:ascii="Times New Roman" w:cs="Times New Roman" w:eastAsia="Times New Roman" w:hAnsi="Times New Roman"/>
          <w:sz w:val="16"/>
          <w:szCs w:val="16"/>
          <w:color w:val="auto"/>
        </w:rPr>
        <w:t xml:space="preserve">” shall mean the directors designated by the Principal Stockholders pursuant to </w:t>
      </w:r>
      <w:r>
        <w:rPr>
          <w:rFonts w:ascii="Times New Roman" w:cs="Times New Roman" w:eastAsia="Times New Roman" w:hAnsi="Times New Roman"/>
          <w:sz w:val="16"/>
          <w:szCs w:val="16"/>
          <w:u w:val="single" w:color="auto"/>
          <w:color w:val="auto"/>
        </w:rPr>
        <w:t>Section 2.1</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Board of Directors</w:t>
      </w:r>
      <w:r>
        <w:rPr>
          <w:rFonts w:ascii="Times New Roman" w:cs="Times New Roman" w:eastAsia="Times New Roman" w:hAnsi="Times New Roman"/>
          <w:sz w:val="16"/>
          <w:szCs w:val="16"/>
          <w:color w:val="auto"/>
        </w:rPr>
        <w:t>” shall mean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394335</wp:posOffset>
            </wp:positionV>
            <wp:extent cx="7148195" cy="152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1" w:right="319" w:bottom="1440" w:gutter="0" w:footer="0" w:header="0"/>
        </w:sectPr>
      </w:pPr>
    </w:p>
    <w:bookmarkStart w:id="239" w:name="page240"/>
    <w:bookmarkEnd w:id="239"/>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Bylaws</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2.2(a)</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Chief Executive Officer</w:t>
      </w:r>
      <w:r>
        <w:rPr>
          <w:rFonts w:ascii="Times New Roman" w:cs="Times New Roman" w:eastAsia="Times New Roman" w:hAnsi="Times New Roman"/>
          <w:sz w:val="16"/>
          <w:szCs w:val="16"/>
          <w:color w:val="auto"/>
        </w:rPr>
        <w:t>” shall have the meaning set forth in the preamble.</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Chief Executive Officer Designee</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2.1(f)</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CA</w:t>
      </w:r>
      <w:r>
        <w:rPr>
          <w:rFonts w:ascii="Times New Roman" w:cs="Times New Roman" w:eastAsia="Times New Roman" w:hAnsi="Times New Roman"/>
          <w:sz w:val="16"/>
          <w:szCs w:val="16"/>
          <w:color w:val="auto"/>
        </w:rPr>
        <w:t>” shall have the meaning set forth in the preamble.</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CA Designee</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2.1(e)</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shall have the meaning set forth in the recitals.</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shall have the meaning set forth in the preamble.</w:t>
      </w:r>
    </w:p>
    <w:p>
      <w:pPr>
        <w:spacing w:after="0" w:line="198"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Shares</w:t>
      </w:r>
      <w:r>
        <w:rPr>
          <w:rFonts w:ascii="Times New Roman" w:cs="Times New Roman" w:eastAsia="Times New Roman" w:hAnsi="Times New Roman"/>
          <w:sz w:val="16"/>
          <w:szCs w:val="16"/>
          <w:color w:val="auto"/>
        </w:rPr>
        <w:t>” means (i) all shares of Common Stock that are not then subject to vesting (including shares that were at one time subject to vesting to the extent they have vested), (ii) all shares of Common Stock issuable upon exercise, conversion or exchange of any option, warrant or convertible security that are not then subject to vesting (including shares that were at one time subject to vesting to the extent they have vested) and (iii) all shares of Common Stock directly or indirectly issued or issuable with respect to the securities referred to in clauses (i) or (ii) above by way of unit or stock dividend or unit or stock split, or in connection with a combination of units or shares, recapitalization, merger, consolidation or other reorganization.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shall have the meaning set forth in the preamble.</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shall have the meaning set forth in the preamble.</w:t>
      </w:r>
    </w:p>
    <w:p>
      <w:pPr>
        <w:spacing w:after="0" w:line="198"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Necessary Action</w:t>
      </w:r>
      <w:r>
        <w:rPr>
          <w:rFonts w:ascii="Times New Roman" w:cs="Times New Roman" w:eastAsia="Times New Roman" w:hAnsi="Times New Roman"/>
          <w:sz w:val="16"/>
          <w:szCs w:val="16"/>
          <w:color w:val="auto"/>
        </w:rPr>
        <w:t xml:space="preserve">” means, with respect to a specified result, all commercially reasonable actions required to cause such result that are within the power of a specified Person, including (i) voting or providing a written consent or proxy with respect to the Company Shares, (ii) causing the adoption of stockholders’ resolutions and amendments to the organizational documents of the Company, (iii) executing agreements and instruments, (iv) making, or causing to be made, with governmental, administrative or regulatory authorities, all filings, registrations or similar actions that are required to achieve such result and (v) causing members of the Board of Directors, subject to any fiduciary duties that such members may have as directors of the Company (including pursuant to </w:t>
      </w:r>
      <w:r>
        <w:rPr>
          <w:rFonts w:ascii="Times New Roman" w:cs="Times New Roman" w:eastAsia="Times New Roman" w:hAnsi="Times New Roman"/>
          <w:sz w:val="16"/>
          <w:szCs w:val="16"/>
          <w:u w:val="single" w:color="auto"/>
          <w:color w:val="auto"/>
        </w:rPr>
        <w:t>Section 2.1(e)</w:t>
      </w:r>
      <w:r>
        <w:rPr>
          <w:rFonts w:ascii="Times New Roman" w:cs="Times New Roman" w:eastAsia="Times New Roman" w:hAnsi="Times New Roman"/>
          <w:sz w:val="16"/>
          <w:szCs w:val="16"/>
          <w:color w:val="auto"/>
        </w:rPr>
        <w:t>), to act in a certain manner, including causing members of the Board of Directors or any nominating or similar committee of the Board of Directors to recommend the appointment or nomination of any Board Designees as provided by this Agreement.</w:t>
      </w:r>
    </w:p>
    <w:p>
      <w:pPr>
        <w:spacing w:after="0" w:line="167"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Person</w:t>
      </w:r>
      <w:r>
        <w:rPr>
          <w:rFonts w:ascii="Times New Roman" w:cs="Times New Roman" w:eastAsia="Times New Roman" w:hAnsi="Times New Roman"/>
          <w:sz w:val="16"/>
          <w:szCs w:val="16"/>
          <w:color w:val="auto"/>
        </w:rPr>
        <w:t>” shall mean an individual, corporation, company, limited liability company, association, partnership, joint venture, organization, business, trust or any other entity or organization, including a government or any subdivision or agency thereof.</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Principal Stockholders</w:t>
      </w:r>
      <w:r>
        <w:rPr>
          <w:rFonts w:ascii="Times New Roman" w:cs="Times New Roman" w:eastAsia="Times New Roman" w:hAnsi="Times New Roman"/>
          <w:sz w:val="16"/>
          <w:szCs w:val="16"/>
          <w:color w:val="auto"/>
        </w:rPr>
        <w:t>” shall have the meaning set forth in the preamble.</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REMUS Designee</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2.1(d)</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REMUS Stockholders</w:t>
      </w:r>
      <w:r>
        <w:rPr>
          <w:rFonts w:ascii="Times New Roman" w:cs="Times New Roman" w:eastAsia="Times New Roman" w:hAnsi="Times New Roman"/>
          <w:sz w:val="16"/>
          <w:szCs w:val="16"/>
          <w:color w:val="auto"/>
        </w:rPr>
        <w:t>” means, collectively, those entities set forth under the heading “REMUS Stockholders” on the signature pages hereto.</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40" w:name="page241"/>
    <w:bookmarkEnd w:id="240"/>
    <w:p>
      <w:pPr>
        <w:jc w:val="center"/>
        <w:spacing w:after="0"/>
        <w:rPr>
          <w:sz w:val="20"/>
          <w:szCs w:val="20"/>
          <w:color w:val="auto"/>
        </w:rPr>
      </w:pPr>
      <w:r>
        <w:rPr>
          <w:rFonts w:ascii="Times New Roman" w:cs="Times New Roman" w:eastAsia="Times New Roman" w:hAnsi="Times New Roman"/>
          <w:sz w:val="16"/>
          <w:szCs w:val="16"/>
          <w:b w:val="1"/>
          <w:bCs w:val="1"/>
          <w:color w:val="auto"/>
        </w:rPr>
        <w:t>ARTICLE 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CORPORATE GOVERNANCE</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Section 2.1 </w:t>
      </w:r>
      <w:r>
        <w:rPr>
          <w:rFonts w:ascii="Times New Roman" w:cs="Times New Roman" w:eastAsia="Times New Roman" w:hAnsi="Times New Roman"/>
          <w:sz w:val="16"/>
          <w:szCs w:val="16"/>
          <w:u w:val="single" w:color="auto"/>
          <w:color w:val="auto"/>
        </w:rPr>
        <w:t>Board of Directors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3" w:lineRule="auto"/>
        <w:tabs>
          <w:tab w:leader="none" w:pos="1387" w:val="left"/>
        </w:tabs>
        <w:numPr>
          <w:ilvl w:val="0"/>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Composition of Initial Board</w:t>
      </w:r>
      <w:r>
        <w:rPr>
          <w:rFonts w:ascii="Times New Roman" w:cs="Times New Roman" w:eastAsia="Times New Roman" w:hAnsi="Times New Roman"/>
          <w:sz w:val="16"/>
          <w:szCs w:val="16"/>
          <w:color w:val="auto"/>
        </w:rPr>
        <w:t>. The Company and the Principal Stockholders shall take all Necessary Action to cause the Board of Directors to be comprised of eight directors. The initial seven members of the Board of Directors shall be (i) Krishna Gupta, whom shall be deemed to have been designated by the REMUS Stockholders, (ii) Rajat Suri, whom shall be deemed to have been designated by the Chief Executive Officer, and (iii) Keith Kravcik, Ed Scheetz, Gail Zauder, Ilya Golubovich, and Kim Axel Lopdrup, with the vacancy to be filled after the date of this Agreement by an individual proposed by the Company’s Nominating and Governance Committee and approved by the Board of Directors. Krishna Gupta shall initially serve as the Chairperson of the Board of Directors and shall continue in such role after the 2023 annual meeting of stockholders until the earlier of (1) such time as he is no longer a director of the Company, and (2) the succeeding annual meeting of stockholders of the Company at which the class of directors of which he is a member is subject to reelection. The foregoing directors shall be divided into three classes of directors, each of whose members shall serve for staggered three-year terms as follows:</w:t>
      </w:r>
    </w:p>
    <w:p>
      <w:pPr>
        <w:spacing w:after="0" w:line="169" w:lineRule="exact"/>
        <w:rPr>
          <w:rFonts w:ascii="Times New Roman" w:cs="Times New Roman" w:eastAsia="Times New Roman" w:hAnsi="Times New Roman"/>
          <w:sz w:val="16"/>
          <w:szCs w:val="16"/>
          <w:color w:val="auto"/>
        </w:rPr>
      </w:pPr>
    </w:p>
    <w:p>
      <w:pPr>
        <w:ind w:left="1940" w:hanging="224"/>
        <w:spacing w:after="0"/>
        <w:tabs>
          <w:tab w:leader="none" w:pos="1940" w:val="left"/>
        </w:tabs>
        <w:numPr>
          <w:ilvl w:val="1"/>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 I directors shall initially be Krishna Gupta, Keith Kravcik and Ed Scheetz;</w:t>
      </w:r>
    </w:p>
    <w:p>
      <w:pPr>
        <w:spacing w:after="0" w:line="198" w:lineRule="exact"/>
        <w:rPr>
          <w:rFonts w:ascii="Times New Roman" w:cs="Times New Roman" w:eastAsia="Times New Roman" w:hAnsi="Times New Roman"/>
          <w:sz w:val="16"/>
          <w:szCs w:val="16"/>
          <w:color w:val="auto"/>
        </w:rPr>
      </w:pPr>
    </w:p>
    <w:p>
      <w:pPr>
        <w:ind w:left="2000" w:hanging="284"/>
        <w:spacing w:after="0"/>
        <w:tabs>
          <w:tab w:leader="none" w:pos="2000" w:val="left"/>
        </w:tabs>
        <w:numPr>
          <w:ilvl w:val="1"/>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 II directors shall initially be Ilya Golubovich and the Chief Executive Officer; and</w:t>
      </w:r>
    </w:p>
    <w:p>
      <w:pPr>
        <w:spacing w:after="0" w:line="198" w:lineRule="exact"/>
        <w:rPr>
          <w:rFonts w:ascii="Times New Roman" w:cs="Times New Roman" w:eastAsia="Times New Roman" w:hAnsi="Times New Roman"/>
          <w:sz w:val="16"/>
          <w:szCs w:val="16"/>
          <w:color w:val="auto"/>
        </w:rPr>
      </w:pPr>
    </w:p>
    <w:p>
      <w:pPr>
        <w:ind w:left="2040" w:hanging="324"/>
        <w:spacing w:after="0"/>
        <w:tabs>
          <w:tab w:leader="none" w:pos="2040" w:val="left"/>
        </w:tabs>
        <w:numPr>
          <w:ilvl w:val="1"/>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 III directors shall initially be Kim Axel Lopdrup and Gail Zauder.</w:t>
      </w:r>
    </w:p>
    <w:p>
      <w:pPr>
        <w:spacing w:after="0" w:line="198" w:lineRule="exact"/>
        <w:rPr>
          <w:rFonts w:ascii="Times New Roman" w:cs="Times New Roman" w:eastAsia="Times New Roman" w:hAnsi="Times New Roman"/>
          <w:sz w:val="16"/>
          <w:szCs w:val="16"/>
          <w:color w:val="auto"/>
        </w:rPr>
      </w:pPr>
    </w:p>
    <w:p>
      <w:pPr>
        <w:ind w:left="1400" w:hanging="257"/>
        <w:spacing w:after="0"/>
        <w:tabs>
          <w:tab w:leader="none" w:pos="1400" w:val="left"/>
        </w:tabs>
        <w:numPr>
          <w:ilvl w:val="0"/>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Board Size</w:t>
      </w:r>
      <w:r>
        <w:rPr>
          <w:rFonts w:ascii="Times New Roman" w:cs="Times New Roman" w:eastAsia="Times New Roman" w:hAnsi="Times New Roman"/>
          <w:sz w:val="16"/>
          <w:szCs w:val="16"/>
          <w:color w:val="auto"/>
        </w:rPr>
        <w:t>. Any change to the size of the Board of Directors must be authorized by the affirmative vote of a majority of the entire Board of Directors.</w:t>
      </w:r>
    </w:p>
    <w:p>
      <w:pPr>
        <w:spacing w:after="0" w:line="198" w:lineRule="exact"/>
        <w:rPr>
          <w:rFonts w:ascii="Times New Roman" w:cs="Times New Roman" w:eastAsia="Times New Roman" w:hAnsi="Times New Roman"/>
          <w:sz w:val="16"/>
          <w:szCs w:val="16"/>
          <w:color w:val="auto"/>
        </w:rPr>
      </w:pPr>
    </w:p>
    <w:p>
      <w:pPr>
        <w:jc w:val="both"/>
        <w:ind w:firstLine="1143"/>
        <w:spacing w:after="0" w:line="257" w:lineRule="auto"/>
        <w:tabs>
          <w:tab w:leader="none" w:pos="1403" w:val="left"/>
        </w:tabs>
        <w:numPr>
          <w:ilvl w:val="0"/>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initial Class I directors, other than Mr. Scheetz, shall be nominated for reelection by stockholders at the 2023 annual meeting of stockholders and, subject to Section 2.1(e), shall hold office until the annual meeting of stockholders in 2026 or until their earlier resignation, removal or death. Class II directors shall be nominated for reelection by the stockholders at the 2024 annual meeting of stockholders and shall hold office until the annual meeting of stockholders in 2027 or until their earlier resignation, removal or death. Class III directors shall be nominated for reelection by the stockholders at the 2025 annual meeting of stockholders and shall and shall hold office until the annual meeting of stockholders in 2028 or until their earlier resignation, removal or death.</w:t>
      </w:r>
    </w:p>
    <w:p>
      <w:pPr>
        <w:spacing w:after="0" w:line="162" w:lineRule="exact"/>
        <w:rPr>
          <w:rFonts w:ascii="Times New Roman" w:cs="Times New Roman" w:eastAsia="Times New Roman" w:hAnsi="Times New Roman"/>
          <w:sz w:val="16"/>
          <w:szCs w:val="16"/>
          <w:color w:val="auto"/>
        </w:rPr>
      </w:pPr>
    </w:p>
    <w:p>
      <w:pPr>
        <w:ind w:left="1400" w:hanging="257"/>
        <w:spacing w:after="0"/>
        <w:tabs>
          <w:tab w:leader="none" w:pos="1400" w:val="left"/>
        </w:tabs>
        <w:numPr>
          <w:ilvl w:val="0"/>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REMUS Representation</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jc w:val="both"/>
        <w:ind w:firstLine="1716"/>
        <w:spacing w:after="0" w:line="257" w:lineRule="auto"/>
        <w:tabs>
          <w:tab w:leader="none" w:pos="1963" w:val="left"/>
        </w:tabs>
        <w:numPr>
          <w:ilvl w:val="1"/>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that Gail Zauder resigns or is removed within the 12 months following the consummation of the Merger, the REMUS Stockholders shall have the exclusive right to designate a successor for appointment. Thereafter, any successor to Ms. Zauder shall be determined and designated for election or appointment by the Company’s Nominating and Governance Committee with approval by the Board of Directors. For the avoidance of doubt, any successor director designated by the REMUS Stockholders pursuant to this </w:t>
      </w:r>
      <w:r>
        <w:rPr>
          <w:rFonts w:ascii="Times New Roman" w:cs="Times New Roman" w:eastAsia="Times New Roman" w:hAnsi="Times New Roman"/>
          <w:sz w:val="16"/>
          <w:szCs w:val="16"/>
          <w:u w:val="single" w:color="auto"/>
          <w:color w:val="auto"/>
        </w:rPr>
        <w:t>Section 2.1(d)(i)</w:t>
      </w:r>
      <w:r>
        <w:rPr>
          <w:rFonts w:ascii="Times New Roman" w:cs="Times New Roman" w:eastAsia="Times New Roman" w:hAnsi="Times New Roman"/>
          <w:sz w:val="16"/>
          <w:szCs w:val="16"/>
          <w:color w:val="auto"/>
        </w:rPr>
        <w:t xml:space="preserve"> shall not be considered a REMUS Designee for purposes of the REMUS Stockholders’ right to nominate a Class I director pursuant to Section 2.1(d)(ii).</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241" w:name="page242"/>
    <w:bookmarkEnd w:id="241"/>
    <w:p>
      <w:pPr>
        <w:jc w:val="both"/>
        <w:ind w:firstLine="1716"/>
        <w:spacing w:after="0" w:line="259" w:lineRule="auto"/>
        <w:tabs>
          <w:tab w:leader="none" w:pos="1995" w:val="left"/>
        </w:tabs>
        <w:numPr>
          <w:ilvl w:val="1"/>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so long as the REMUS Stockholders and any of their respective Affiliates hold, in the aggregate, not less than five percent of the Company’s outstanding voting securities, the REMUS Stockholders shall be entitled (but not obligated) to nominate for election and require the Company and the Principal Stockholders to take Necessary Action to include a single Class I director (a “</w:t>
      </w:r>
      <w:r>
        <w:rPr>
          <w:rFonts w:ascii="Times New Roman" w:cs="Times New Roman" w:eastAsia="Times New Roman" w:hAnsi="Times New Roman"/>
          <w:sz w:val="16"/>
          <w:szCs w:val="16"/>
          <w:u w:val="single" w:color="auto"/>
          <w:color w:val="auto"/>
        </w:rPr>
        <w:t>REMUS Designee</w:t>
      </w:r>
      <w:r>
        <w:rPr>
          <w:rFonts w:ascii="Times New Roman" w:cs="Times New Roman" w:eastAsia="Times New Roman" w:hAnsi="Times New Roman"/>
          <w:sz w:val="16"/>
          <w:szCs w:val="16"/>
          <w:color w:val="auto"/>
        </w:rPr>
        <w:t>”) in the slate of nominees recommended by the Board of Directors for election as directors at each applicable annual or special meeting of stockholders at which directors are to be elected.</w:t>
      </w:r>
    </w:p>
    <w:p>
      <w:pPr>
        <w:spacing w:after="0" w:line="161" w:lineRule="exact"/>
        <w:rPr>
          <w:rFonts w:ascii="Times New Roman" w:cs="Times New Roman" w:eastAsia="Times New Roman" w:hAnsi="Times New Roman"/>
          <w:sz w:val="16"/>
          <w:szCs w:val="16"/>
          <w:color w:val="auto"/>
        </w:rPr>
      </w:pPr>
    </w:p>
    <w:p>
      <w:pPr>
        <w:jc w:val="both"/>
        <w:ind w:firstLine="1143"/>
        <w:spacing w:after="0" w:line="253" w:lineRule="auto"/>
        <w:tabs>
          <w:tab w:leader="none" w:pos="1403"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CA Representation</w:t>
      </w:r>
      <w:r>
        <w:rPr>
          <w:rFonts w:ascii="Times New Roman" w:cs="Times New Roman" w:eastAsia="Times New Roman" w:hAnsi="Times New Roman"/>
          <w:sz w:val="16"/>
          <w:szCs w:val="16"/>
          <w:color w:val="auto"/>
        </w:rPr>
        <w:t>. For so long as CA and its Affiliates hold, in the aggregate, not less than 75.0%, collectively, of the shares of Common Stock they hold immediately following the consummation of the transactions contemplated by the Merger Agreement, CA shall be entitled (but not obligated) to nominate for election and require the Company and the Principal Stockholders to take Necessary Action to include a single Class I director (a “</w:t>
      </w:r>
      <w:r>
        <w:rPr>
          <w:rFonts w:ascii="Times New Roman" w:cs="Times New Roman" w:eastAsia="Times New Roman" w:hAnsi="Times New Roman"/>
          <w:sz w:val="16"/>
          <w:szCs w:val="16"/>
          <w:u w:val="single" w:color="auto"/>
          <w:color w:val="auto"/>
        </w:rPr>
        <w:t>CA Designee</w:t>
      </w:r>
      <w:r>
        <w:rPr>
          <w:rFonts w:ascii="Times New Roman" w:cs="Times New Roman" w:eastAsia="Times New Roman" w:hAnsi="Times New Roman"/>
          <w:sz w:val="16"/>
          <w:szCs w:val="16"/>
          <w:color w:val="auto"/>
        </w:rPr>
        <w:t xml:space="preserve">”) in the slate of nominees recommended by the Board of Directors for election as directors at each applicable annual or special meeting of stockholders at which directors are to be elected;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any provision of this Agreement to the contrary notwithstanding, within three business days of the date on which CA and its Affiliates hold, in the aggregate, less than 75.0%, collectively, of the shares of Common Stock they hold immediately following the consummation of the transactions contemplated by the Merger Agreement, CA shall notify the Company and, promptly following the written request of the Nominating and Governance Committee of the Board of Directors, shall cause the CA Designee to execute and deliver an irrevocable written resignation from the Board of Directors and any committees on which he or she then sits.</w:t>
      </w:r>
    </w:p>
    <w:p>
      <w:pPr>
        <w:spacing w:after="0" w:line="169"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98"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Chief Executive Officer Representation</w:t>
      </w:r>
      <w:r>
        <w:rPr>
          <w:rFonts w:ascii="Times New Roman" w:cs="Times New Roman" w:eastAsia="Times New Roman" w:hAnsi="Times New Roman"/>
          <w:sz w:val="16"/>
          <w:szCs w:val="16"/>
          <w:color w:val="auto"/>
        </w:rPr>
        <w:t>. For so long as the Chief Executive Officer and his Affiliates hold, in the aggregate, not less than five percent of the Company’s outstanding voting securities, the Chief Executive Officer shall be entitled (but not obligated) to nominate for election and require the Company and the Principal Stockholders to take Necessary Action to include a single Class II director (a “</w:t>
      </w:r>
      <w:r>
        <w:rPr>
          <w:rFonts w:ascii="Times New Roman" w:cs="Times New Roman" w:eastAsia="Times New Roman" w:hAnsi="Times New Roman"/>
          <w:sz w:val="16"/>
          <w:szCs w:val="16"/>
          <w:u w:val="single" w:color="auto"/>
          <w:color w:val="auto"/>
        </w:rPr>
        <w:t>Chief Executive Officer Designee</w:t>
      </w:r>
      <w:r>
        <w:rPr>
          <w:rFonts w:ascii="Times New Roman" w:cs="Times New Roman" w:eastAsia="Times New Roman" w:hAnsi="Times New Roman"/>
          <w:sz w:val="16"/>
          <w:szCs w:val="16"/>
          <w:color w:val="auto"/>
        </w:rPr>
        <w:t>”) in the slate of nominees recommended by the Board of Directors for election as directors at each applicable annual or special meeting of stockholders at which directors are to be elected.</w:t>
      </w:r>
    </w:p>
    <w:p>
      <w:pPr>
        <w:spacing w:after="0" w:line="161" w:lineRule="exact"/>
        <w:rPr>
          <w:rFonts w:ascii="Times New Roman" w:cs="Times New Roman" w:eastAsia="Times New Roman" w:hAnsi="Times New Roman"/>
          <w:sz w:val="16"/>
          <w:szCs w:val="16"/>
          <w:color w:val="auto"/>
        </w:rPr>
      </w:pPr>
    </w:p>
    <w:p>
      <w:pPr>
        <w:jc w:val="both"/>
        <w:ind w:right="20" w:firstLine="1143"/>
        <w:spacing w:after="0" w:line="252" w:lineRule="auto"/>
        <w:tabs>
          <w:tab w:leader="none" w:pos="1424"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Additional Obligations</w:t>
      </w:r>
      <w:r>
        <w:rPr>
          <w:rFonts w:ascii="Times New Roman" w:cs="Times New Roman" w:eastAsia="Times New Roman" w:hAnsi="Times New Roman"/>
          <w:sz w:val="16"/>
          <w:szCs w:val="16"/>
          <w:color w:val="auto"/>
        </w:rPr>
        <w:t xml:space="preserve">. An individual designated by a Principal Stockholder for election (including pursuant to </w:t>
      </w:r>
      <w:r>
        <w:rPr>
          <w:rFonts w:ascii="Times New Roman" w:cs="Times New Roman" w:eastAsia="Times New Roman" w:hAnsi="Times New Roman"/>
          <w:sz w:val="16"/>
          <w:szCs w:val="16"/>
          <w:u w:val="single" w:color="auto"/>
          <w:color w:val="auto"/>
        </w:rPr>
        <w:t>Sections 2.1(d)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(e)</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(f)</w:t>
      </w:r>
      <w:r>
        <w:rPr>
          <w:rFonts w:ascii="Times New Roman" w:cs="Times New Roman" w:eastAsia="Times New Roman" w:hAnsi="Times New Roman"/>
          <w:sz w:val="16"/>
          <w:szCs w:val="16"/>
          <w:color w:val="auto"/>
        </w:rPr>
        <w:t xml:space="preserve">) as a director shall comply with the requirements of the charter for, and related guidelines of, the Company’s Nominating and Governance Committee. Notwithstanding anything to the contrary in this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 xml:space="preserve">, in the event that the Board of Directors determines in good faith, after consultation with outside legal counsel, that its nomination, appointment or election of a particular Board Designee pursuant to this </w:t>
      </w:r>
      <w:r>
        <w:rPr>
          <w:rFonts w:ascii="Times New Roman" w:cs="Times New Roman" w:eastAsia="Times New Roman" w:hAnsi="Times New Roman"/>
          <w:sz w:val="16"/>
          <w:szCs w:val="16"/>
          <w:u w:val="single" w:color="auto"/>
          <w:color w:val="auto"/>
        </w:rPr>
        <w:t>Section 2.1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xml:space="preserve"> would constitute a breach of its fiduciary duties to the Company’s stockholders or does not otherwise comply with any requirements of the charter for, or related guidelines of, the Nominating and Governance Committee, then the Board of Directors shall inform such Principal Stockholder of such determination in writing and explain in reasonable detail the basis for such determination and shall designate another individual designated for nomination, election or appointment to the Board of Directors by such Principal Stockholder, and the Board of Directors and the Company shall take all of the actions required by this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 xml:space="preserve"> with respect to the election of such substitute Board Designee. It is hereby acknowledged and agreed that the fact that a particular Board Designee is an Affiliate, director, professional, partner, member, manager, employee or agent of a Principal Stockholder or is not an independent director shall not in and of itself constitute an acceptable basis for such determination by the Board of Directors.</w:t>
      </w:r>
    </w:p>
    <w:p>
      <w:pPr>
        <w:spacing w:after="0" w:line="171" w:lineRule="exact"/>
        <w:rPr>
          <w:rFonts w:ascii="Times New Roman" w:cs="Times New Roman" w:eastAsia="Times New Roman" w:hAnsi="Times New Roman"/>
          <w:sz w:val="16"/>
          <w:szCs w:val="16"/>
          <w:color w:val="auto"/>
        </w:rPr>
      </w:pPr>
    </w:p>
    <w:p>
      <w:pPr>
        <w:jc w:val="both"/>
        <w:ind w:firstLine="1143"/>
        <w:spacing w:after="0" w:line="257" w:lineRule="auto"/>
        <w:tabs>
          <w:tab w:leader="none" w:pos="1412"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Replacement of Board Designees</w:t>
      </w:r>
      <w:r>
        <w:rPr>
          <w:rFonts w:ascii="Times New Roman" w:cs="Times New Roman" w:eastAsia="Times New Roman" w:hAnsi="Times New Roman"/>
          <w:sz w:val="16"/>
          <w:szCs w:val="16"/>
          <w:color w:val="auto"/>
        </w:rPr>
        <w:t xml:space="preserve">. Except as provided in </w:t>
      </w:r>
      <w:r>
        <w:rPr>
          <w:rFonts w:ascii="Times New Roman" w:cs="Times New Roman" w:eastAsia="Times New Roman" w:hAnsi="Times New Roman"/>
          <w:sz w:val="16"/>
          <w:szCs w:val="16"/>
          <w:u w:val="single" w:color="auto"/>
          <w:color w:val="auto"/>
        </w:rPr>
        <w:t>Sections 2.1(d)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(e)</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(f)</w:t>
      </w:r>
      <w:r>
        <w:rPr>
          <w:rFonts w:ascii="Times New Roman" w:cs="Times New Roman" w:eastAsia="Times New Roman" w:hAnsi="Times New Roman"/>
          <w:sz w:val="16"/>
          <w:szCs w:val="16"/>
          <w:color w:val="auto"/>
        </w:rPr>
        <w:t xml:space="preserve">, as applicable, with respect to decreases in ownership of the Principal Stockholders, (i) each Principal Stockholder shall have the exclusive right to request the resignation of its Board Designee from the Board of Directors and (ii) each Principal Stockholder shall have the exclusive right to designate a replacement director to fill the vacancy (for the remainder of the then current term) created by reason of death, disability, removal or resignation of its Board Designee, and, subject to the provisions of </w:t>
      </w:r>
      <w:r>
        <w:rPr>
          <w:rFonts w:ascii="Times New Roman" w:cs="Times New Roman" w:eastAsia="Times New Roman" w:hAnsi="Times New Roman"/>
          <w:sz w:val="16"/>
          <w:szCs w:val="16"/>
          <w:u w:val="single" w:color="auto"/>
          <w:color w:val="auto"/>
        </w:rPr>
        <w:t>Section 2.1(g)</w:t>
      </w:r>
      <w:r>
        <w:rPr>
          <w:rFonts w:ascii="Times New Roman" w:cs="Times New Roman" w:eastAsia="Times New Roman" w:hAnsi="Times New Roman"/>
          <w:sz w:val="16"/>
          <w:szCs w:val="16"/>
          <w:color w:val="auto"/>
        </w:rPr>
        <w:t>, the Company and the Principal Stockholders shall take all Necessary Action to cause any such vacancies to be filled by the replacement director designated by such designating Principal Stockholder as promptly as reasonably practicable.</w:t>
      </w:r>
    </w:p>
    <w:p>
      <w:pPr>
        <w:spacing w:after="0" w:line="162"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89"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Other Nominations; Vacancies</w:t>
      </w:r>
      <w:r>
        <w:rPr>
          <w:rFonts w:ascii="Times New Roman" w:cs="Times New Roman" w:eastAsia="Times New Roman" w:hAnsi="Times New Roman"/>
          <w:sz w:val="16"/>
          <w:szCs w:val="16"/>
          <w:color w:val="auto"/>
        </w:rPr>
        <w:t xml:space="preserve">. Notwithstanding anything contained in this Agreement to the contrary, other than the Principal Stockholders’ rights to (i) nominate individuals for election as specifically set forth in </w:t>
      </w:r>
      <w:r>
        <w:rPr>
          <w:rFonts w:ascii="Times New Roman" w:cs="Times New Roman" w:eastAsia="Times New Roman" w:hAnsi="Times New Roman"/>
          <w:sz w:val="16"/>
          <w:szCs w:val="16"/>
          <w:u w:val="single" w:color="auto"/>
          <w:color w:val="auto"/>
        </w:rPr>
        <w:t>Sections 2.1(d)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(e)</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(f)</w:t>
      </w:r>
      <w:r>
        <w:rPr>
          <w:rFonts w:ascii="Times New Roman" w:cs="Times New Roman" w:eastAsia="Times New Roman" w:hAnsi="Times New Roman"/>
          <w:sz w:val="16"/>
          <w:szCs w:val="16"/>
          <w:color w:val="auto"/>
        </w:rPr>
        <w:t xml:space="preserve"> and (ii) designate replacement directors in accordance with </w:t>
      </w:r>
      <w:r>
        <w:rPr>
          <w:rFonts w:ascii="Times New Roman" w:cs="Times New Roman" w:eastAsia="Times New Roman" w:hAnsi="Times New Roman"/>
          <w:sz w:val="16"/>
          <w:szCs w:val="16"/>
          <w:u w:val="single" w:color="auto"/>
          <w:color w:val="auto"/>
        </w:rPr>
        <w:t>Section 2.1(h)</w:t>
      </w:r>
      <w:r>
        <w:rPr>
          <w:rFonts w:ascii="Times New Roman" w:cs="Times New Roman" w:eastAsia="Times New Roman" w:hAnsi="Times New Roman"/>
          <w:sz w:val="16"/>
          <w:szCs w:val="16"/>
          <w:color w:val="auto"/>
        </w:rPr>
        <w:t>, no Principal Stockholder shall have any right nominate or designate any individual for election or appointment to the Board of Directors, or to fill any vacancy on the Board of Directors, whether such vacancy is caused by a change to the size of the Board of Directors or by the resignation, removal or death of a director.</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42" w:name="page243"/>
    <w:bookmarkEnd w:id="242"/>
    <w:p>
      <w:pPr>
        <w:ind w:left="560"/>
        <w:spacing w:after="0"/>
        <w:rPr>
          <w:sz w:val="20"/>
          <w:szCs w:val="20"/>
          <w:color w:val="auto"/>
        </w:rPr>
      </w:pPr>
      <w:r>
        <w:rPr>
          <w:rFonts w:ascii="Times New Roman" w:cs="Times New Roman" w:eastAsia="Times New Roman" w:hAnsi="Times New Roman"/>
          <w:sz w:val="16"/>
          <w:szCs w:val="16"/>
          <w:color w:val="auto"/>
        </w:rPr>
        <w:t xml:space="preserve">Section 2.2 </w:t>
      </w:r>
      <w:r>
        <w:rPr>
          <w:rFonts w:ascii="Times New Roman" w:cs="Times New Roman" w:eastAsia="Times New Roman" w:hAnsi="Times New Roman"/>
          <w:sz w:val="16"/>
          <w:szCs w:val="16"/>
          <w:u w:val="single" w:color="auto"/>
          <w:color w:val="auto"/>
        </w:rPr>
        <w:t>Committees of the Board of Directors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9" w:lineRule="auto"/>
        <w:tabs>
          <w:tab w:leader="none" w:pos="1403" w:val="left"/>
        </w:tabs>
        <w:numPr>
          <w:ilvl w:val="0"/>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the Principal Stockholders acknowledge and agree that the Board of Directors may, by resolution, designate from among the directors one or more committees, each of which shall be comprised of one or more directors. Any such committee, to the extent provided in the resolution forming such committee, shall have and may exercise the authority of the Board of Directors, subject to the limitations set forth in the charter, bylaws (as they may be amended from time to time, the “</w:t>
      </w:r>
      <w:r>
        <w:rPr>
          <w:rFonts w:ascii="Times New Roman" w:cs="Times New Roman" w:eastAsia="Times New Roman" w:hAnsi="Times New Roman"/>
          <w:sz w:val="16"/>
          <w:szCs w:val="16"/>
          <w:u w:val="single" w:color="auto"/>
          <w:color w:val="auto"/>
        </w:rPr>
        <w:t>Bylaws</w:t>
      </w:r>
      <w:r>
        <w:rPr>
          <w:rFonts w:ascii="Times New Roman" w:cs="Times New Roman" w:eastAsia="Times New Roman" w:hAnsi="Times New Roman"/>
          <w:sz w:val="16"/>
          <w:szCs w:val="16"/>
          <w:color w:val="auto"/>
        </w:rPr>
        <w:t>”) and applicable law. The Board of Directors may dissolve any committee or remove any member of a committee at any time.</w:t>
      </w:r>
    </w:p>
    <w:p>
      <w:pPr>
        <w:spacing w:after="0" w:line="161" w:lineRule="exact"/>
        <w:rPr>
          <w:rFonts w:ascii="Times New Roman" w:cs="Times New Roman" w:eastAsia="Times New Roman" w:hAnsi="Times New Roman"/>
          <w:sz w:val="16"/>
          <w:szCs w:val="16"/>
          <w:color w:val="auto"/>
        </w:rPr>
      </w:pPr>
    </w:p>
    <w:p>
      <w:pPr>
        <w:ind w:right="20" w:firstLine="1143"/>
        <w:spacing w:after="0" w:line="280" w:lineRule="auto"/>
        <w:tabs>
          <w:tab w:leader="none" w:pos="1436" w:val="left"/>
        </w:tabs>
        <w:numPr>
          <w:ilvl w:val="0"/>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Directors shall constitute and charter an Audit Committee, a Compensation Committee and a Nominating and Governance Committee, comprised solely of independent directors and with an initial constitution as follows:</w:t>
      </w:r>
    </w:p>
    <w:p>
      <w:pPr>
        <w:spacing w:after="0" w:line="144" w:lineRule="exact"/>
        <w:rPr>
          <w:rFonts w:ascii="Times New Roman" w:cs="Times New Roman" w:eastAsia="Times New Roman" w:hAnsi="Times New Roman"/>
          <w:sz w:val="16"/>
          <w:szCs w:val="16"/>
          <w:color w:val="auto"/>
        </w:rPr>
      </w:pPr>
    </w:p>
    <w:p>
      <w:pPr>
        <w:ind w:left="1940" w:hanging="224"/>
        <w:spacing w:after="0"/>
        <w:tabs>
          <w:tab w:leader="none" w:pos="1940" w:val="left"/>
        </w:tabs>
        <w:numPr>
          <w:ilvl w:val="1"/>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members of the Audit Committee shall initially be Gail Zauder (Chair), Ilya Golubovich and Keith Kravcik;</w:t>
      </w:r>
    </w:p>
    <w:p>
      <w:pPr>
        <w:spacing w:after="0" w:line="198" w:lineRule="exact"/>
        <w:rPr>
          <w:rFonts w:ascii="Times New Roman" w:cs="Times New Roman" w:eastAsia="Times New Roman" w:hAnsi="Times New Roman"/>
          <w:sz w:val="16"/>
          <w:szCs w:val="16"/>
          <w:color w:val="auto"/>
        </w:rPr>
      </w:pPr>
    </w:p>
    <w:p>
      <w:pPr>
        <w:ind w:left="2000" w:hanging="284"/>
        <w:spacing w:after="0"/>
        <w:tabs>
          <w:tab w:leader="none" w:pos="2000" w:val="left"/>
        </w:tabs>
        <w:numPr>
          <w:ilvl w:val="1"/>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members of the Compensation Committee shall initially be Kim Axel Lopdrup (Chair), Ilya Golubovich and Gail Zauder; and</w:t>
      </w:r>
    </w:p>
    <w:p>
      <w:pPr>
        <w:spacing w:after="0" w:line="198" w:lineRule="exact"/>
        <w:rPr>
          <w:rFonts w:ascii="Times New Roman" w:cs="Times New Roman" w:eastAsia="Times New Roman" w:hAnsi="Times New Roman"/>
          <w:sz w:val="16"/>
          <w:szCs w:val="16"/>
          <w:color w:val="auto"/>
        </w:rPr>
      </w:pPr>
    </w:p>
    <w:p>
      <w:pPr>
        <w:ind w:left="2040" w:hanging="324"/>
        <w:spacing w:after="0"/>
        <w:tabs>
          <w:tab w:leader="none" w:pos="2040" w:val="left"/>
        </w:tabs>
        <w:numPr>
          <w:ilvl w:val="1"/>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members of the Nominating and Governance Committee shall initially be Ilya Golubovich (Chair), Krishna Gupta and Keith Kravcik.</w:t>
      </w:r>
    </w:p>
    <w:p>
      <w:pPr>
        <w:spacing w:after="0" w:line="198" w:lineRule="exact"/>
        <w:rPr>
          <w:rFonts w:ascii="Times New Roman" w:cs="Times New Roman" w:eastAsia="Times New Roman" w:hAnsi="Times New Roman"/>
          <w:sz w:val="16"/>
          <w:szCs w:val="16"/>
          <w:color w:val="auto"/>
        </w:rPr>
      </w:pPr>
    </w:p>
    <w:p>
      <w:pPr>
        <w:jc w:val="both"/>
        <w:ind w:right="20" w:firstLine="1143"/>
        <w:spacing w:after="0" w:line="257" w:lineRule="auto"/>
        <w:tabs>
          <w:tab w:leader="none" w:pos="1439" w:val="left"/>
        </w:tabs>
        <w:numPr>
          <w:ilvl w:val="0"/>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members of each committee shall be appointed by the Board of Directors in accordance with the Bylaws based on recommendations from the Nominating and Governance Committee of the Board of Directors, and shall serve at the discretion of the Board of Directors. The Board of Directors may remove any member of any committee at any time with or without cause, and vacancies occurring on the committee shall be filled by the Board of Directors. The Board of Directors shall appoint a Chairperson of each committee to preside at all meetings of such committee. If a Chairperson is not designated or present at a meeting of a committee, the members of the committee may designate a Chairperson by majority vote of the committee membership.</w:t>
      </w:r>
    </w:p>
    <w:p>
      <w:pPr>
        <w:spacing w:after="0" w:line="162"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 xml:space="preserve">Section 2.3 </w:t>
      </w:r>
      <w:r>
        <w:rPr>
          <w:rFonts w:ascii="Times New Roman" w:cs="Times New Roman" w:eastAsia="Times New Roman" w:hAnsi="Times New Roman"/>
          <w:sz w:val="16"/>
          <w:szCs w:val="16"/>
          <w:u w:val="single" w:color="auto"/>
          <w:color w:val="auto"/>
        </w:rPr>
        <w:t>Voting Agreement</w:t>
      </w:r>
      <w:r>
        <w:rPr>
          <w:rFonts w:ascii="Times New Roman" w:cs="Times New Roman" w:eastAsia="Times New Roman" w:hAnsi="Times New Roman"/>
          <w:sz w:val="16"/>
          <w:szCs w:val="16"/>
          <w:color w:val="auto"/>
        </w:rPr>
        <w:t>. Each Principal Stockholder agrees, in person or by proxy, to cast all votes to which such Principal Stockholder is entitled in respect of its Company Shares, whether at any annual or special meeting, by written consent or otherwise, so as to cause to be elected to the Board of Directors those individuals designated in accordance with Section 2.1 and 2.2 and to otherwise effect the intent of this Article II.</w:t>
      </w:r>
    </w:p>
    <w:p>
      <w:pPr>
        <w:spacing w:after="0" w:line="155"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 xml:space="preserve">Section 2.4 </w:t>
      </w:r>
      <w:r>
        <w:rPr>
          <w:rFonts w:ascii="Times New Roman" w:cs="Times New Roman" w:eastAsia="Times New Roman" w:hAnsi="Times New Roman"/>
          <w:sz w:val="16"/>
          <w:szCs w:val="16"/>
          <w:u w:val="single" w:color="auto"/>
          <w:color w:val="auto"/>
        </w:rPr>
        <w:t>Agreement of Company</w:t>
      </w:r>
      <w:r>
        <w:rPr>
          <w:rFonts w:ascii="Times New Roman" w:cs="Times New Roman" w:eastAsia="Times New Roman" w:hAnsi="Times New Roman"/>
          <w:sz w:val="16"/>
          <w:szCs w:val="16"/>
          <w:color w:val="auto"/>
        </w:rPr>
        <w:t xml:space="preserve">. The Company hereby agrees that it will take all Necessary Actions to cause the matters addressed by this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 xml:space="preserve"> to be carried out in accordance with the provisions thereof. Without limiting the foregoing, the Secretary of the Company or such other officer or employee of the Company who may be fulfilling the duties of the Secretary, shall not record any vote or consent or other action contrary to the terms of this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 xml:space="preserve">Section 2.5 </w:t>
      </w:r>
      <w:r>
        <w:rPr>
          <w:rFonts w:ascii="Times New Roman" w:cs="Times New Roman" w:eastAsia="Times New Roman" w:hAnsi="Times New Roman"/>
          <w:sz w:val="16"/>
          <w:szCs w:val="16"/>
          <w:u w:val="single" w:color="auto"/>
          <w:color w:val="auto"/>
        </w:rPr>
        <w:t>Restrictions on Other Agreements</w:t>
      </w:r>
      <w:r>
        <w:rPr>
          <w:rFonts w:ascii="Times New Roman" w:cs="Times New Roman" w:eastAsia="Times New Roman" w:hAnsi="Times New Roman"/>
          <w:sz w:val="16"/>
          <w:szCs w:val="16"/>
          <w:color w:val="auto"/>
        </w:rPr>
        <w:t>. No Principal Stockholder shall grant any proxy or enter into or agree to be bound by any voting trust, agreement or arrangement of any kind with any Person with respect to its Company Shares if and to the extent the terms thereof conflict with the provisions of this Agreement (whether or not such proxy, voting trust, agreements or arrangements are with other Principal Stockholders, I2BF, holders of Company Shares that are not parties to this Agreement or otherwise).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43" w:name="page244"/>
    <w:bookmarkEnd w:id="243"/>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ARTICLE III</w:t>
      </w:r>
    </w:p>
    <w:p>
      <w:pPr>
        <w:spacing w:after="0" w:line="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REPRESENTATIONS AND WARRANTIES</w:t>
      </w:r>
    </w:p>
    <w:p>
      <w:pPr>
        <w:spacing w:after="0" w:line="182" w:lineRule="exact"/>
        <w:rPr>
          <w:sz w:val="20"/>
          <w:szCs w:val="20"/>
          <w:color w:val="auto"/>
        </w:rPr>
      </w:pPr>
    </w:p>
    <w:p>
      <w:pPr>
        <w:jc w:val="both"/>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Each of the parties to this Agreement hereby represents and warrants to each other party to this Agreement, severally on behalf of itself and not jointly, that as of the date such party executes this Agreement:</w:t>
      </w:r>
    </w:p>
    <w:p>
      <w:pPr>
        <w:spacing w:after="0" w:line="144" w:lineRule="exact"/>
        <w:rPr>
          <w:sz w:val="20"/>
          <w:szCs w:val="20"/>
          <w:color w:val="auto"/>
        </w:rPr>
      </w:pPr>
    </w:p>
    <w:p>
      <w:pPr>
        <w:jc w:val="both"/>
        <w:ind w:left="4" w:firstLine="574"/>
        <w:spacing w:after="0" w:line="253" w:lineRule="auto"/>
        <w:rPr>
          <w:sz w:val="20"/>
          <w:szCs w:val="20"/>
          <w:color w:val="auto"/>
        </w:rPr>
      </w:pPr>
      <w:r>
        <w:rPr>
          <w:rFonts w:ascii="Times New Roman" w:cs="Times New Roman" w:eastAsia="Times New Roman" w:hAnsi="Times New Roman"/>
          <w:sz w:val="16"/>
          <w:szCs w:val="16"/>
          <w:color w:val="auto"/>
        </w:rPr>
        <w:t xml:space="preserve">Section 3.1 </w:t>
      </w:r>
      <w:r>
        <w:rPr>
          <w:rFonts w:ascii="Times New Roman" w:cs="Times New Roman" w:eastAsia="Times New Roman" w:hAnsi="Times New Roman"/>
          <w:sz w:val="16"/>
          <w:szCs w:val="16"/>
          <w:u w:val="single" w:color="auto"/>
          <w:color w:val="auto"/>
        </w:rPr>
        <w:t>Existence; Authority; Enforceability</w:t>
      </w:r>
      <w:r>
        <w:rPr>
          <w:rFonts w:ascii="Times New Roman" w:cs="Times New Roman" w:eastAsia="Times New Roman" w:hAnsi="Times New Roman"/>
          <w:sz w:val="16"/>
          <w:szCs w:val="16"/>
          <w:color w:val="auto"/>
        </w:rPr>
        <w:t>. Such party has the power and authority to enter into this Agreement and to carry out its obligations hereunder. If such party is an entity, it is duly organized and validly existing under the laws of its jurisdiction of organization, and the execution of this Agreement, and the consummation of the transactions contemplated herein, have been authorized by all necessary action, and no other act or proceeding on its part is necessary to authorize the execution of this Agreement or the consummation of any of the transactions contemplated hereby. If such party is a natural person, such person has full capacity to contract. This Agreement has been duly executed by each of the parties hereto and constitutes his or its legal, valid and binding obligation, enforceable against him or it in accordance with its terms, except as enforcement may be limited by applicable bankruptcy, insolvency, reorganization, moratorium, fraudulent transfer and similar laws relating to or affecting creditors’ rights generally, or by the general principles of equity. No representation is made by any party with respect to the regulatory effect of this Agreement, and each of the parties has had an opportunity to consult with counsel as to his or its rights and responsibilities under this Agreement. No party makes any representation to any other party as to future law or regulation or the future interpretation of existing laws or regulations by any governmental authority or self-regulatory organization.</w:t>
      </w:r>
    </w:p>
    <w:p>
      <w:pPr>
        <w:spacing w:after="0" w:line="166"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 xml:space="preserve">Section 3.2 </w:t>
      </w:r>
      <w:r>
        <w:rPr>
          <w:rFonts w:ascii="Times New Roman" w:cs="Times New Roman" w:eastAsia="Times New Roman" w:hAnsi="Times New Roman"/>
          <w:sz w:val="16"/>
          <w:szCs w:val="16"/>
          <w:u w:val="single" w:color="auto"/>
          <w:color w:val="auto"/>
        </w:rPr>
        <w:t>Absence of Conflicts</w:t>
      </w:r>
      <w:r>
        <w:rPr>
          <w:rFonts w:ascii="Times New Roman" w:cs="Times New Roman" w:eastAsia="Times New Roman" w:hAnsi="Times New Roman"/>
          <w:sz w:val="16"/>
          <w:szCs w:val="16"/>
          <w:color w:val="auto"/>
        </w:rPr>
        <w:t>. The execution and delivery by such party of this Agreement and the performance of its obligations hereunder does not and will not</w:t>
      </w:r>
    </w:p>
    <w:p>
      <w:pPr>
        <w:spacing w:after="0" w:line="24" w:lineRule="exact"/>
        <w:rPr>
          <w:sz w:val="20"/>
          <w:szCs w:val="20"/>
          <w:color w:val="auto"/>
        </w:rPr>
      </w:pPr>
    </w:p>
    <w:p>
      <w:pPr>
        <w:jc w:val="both"/>
        <w:ind w:left="4" w:right="20" w:hanging="4"/>
        <w:spacing w:after="0" w:line="252" w:lineRule="auto"/>
        <w:tabs>
          <w:tab w:leader="none" w:pos="208"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conflict with, or result in the breach of, any provision of the constitutive documents of such party, if any; (ii) result in any violation, breach, conflict, default or event of default (or an event which with notice, lapse of time, or both, would constitute a default or event of default), or give rise to any right of acceleration or termination or any additional payment obligation, under the terms of any contract, agreement or permit to which such party is a party or by which such party’s assets or operations are bound or affected; or (iii) violate any law applicable to such party.</w:t>
      </w:r>
    </w:p>
    <w:p>
      <w:pPr>
        <w:spacing w:after="0" w:line="167" w:lineRule="exact"/>
        <w:rPr>
          <w:sz w:val="20"/>
          <w:szCs w:val="20"/>
          <w:color w:val="auto"/>
        </w:rPr>
      </w:pPr>
    </w:p>
    <w:p>
      <w:pPr>
        <w:jc w:val="both"/>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Section 3.3 </w:t>
      </w:r>
      <w:r>
        <w:rPr>
          <w:rFonts w:ascii="Times New Roman" w:cs="Times New Roman" w:eastAsia="Times New Roman" w:hAnsi="Times New Roman"/>
          <w:sz w:val="16"/>
          <w:szCs w:val="16"/>
          <w:u w:val="single" w:color="auto"/>
          <w:color w:val="auto"/>
        </w:rPr>
        <w:t>Consents</w:t>
      </w:r>
      <w:r>
        <w:rPr>
          <w:rFonts w:ascii="Times New Roman" w:cs="Times New Roman" w:eastAsia="Times New Roman" w:hAnsi="Times New Roman"/>
          <w:sz w:val="16"/>
          <w:szCs w:val="16"/>
          <w:color w:val="auto"/>
        </w:rPr>
        <w:t>. Other than any consents which have already been obtained, no consent, waiver, approval, authorization, exemption, registration, license or declaration is required to be made or obtained by such party in connection with the execution, delivery or performance of this Agreement.</w:t>
      </w:r>
    </w:p>
    <w:p>
      <w:pPr>
        <w:spacing w:after="0" w:line="14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ARTICLE IV</w:t>
      </w:r>
    </w:p>
    <w:p>
      <w:pPr>
        <w:spacing w:after="0" w:line="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MISCELLAENOUS</w:t>
      </w:r>
    </w:p>
    <w:p>
      <w:pPr>
        <w:spacing w:after="0" w:line="182" w:lineRule="exact"/>
        <w:rPr>
          <w:sz w:val="20"/>
          <w:szCs w:val="20"/>
          <w:color w:val="auto"/>
        </w:rPr>
      </w:pPr>
    </w:p>
    <w:p>
      <w:pPr>
        <w:jc w:val="both"/>
        <w:ind w:left="4" w:firstLine="574"/>
        <w:spacing w:after="0" w:line="255" w:lineRule="auto"/>
        <w:rPr>
          <w:sz w:val="20"/>
          <w:szCs w:val="20"/>
          <w:color w:val="auto"/>
        </w:rPr>
      </w:pPr>
      <w:r>
        <w:rPr>
          <w:rFonts w:ascii="Times New Roman" w:cs="Times New Roman" w:eastAsia="Times New Roman" w:hAnsi="Times New Roman"/>
          <w:sz w:val="16"/>
          <w:szCs w:val="16"/>
          <w:color w:val="auto"/>
        </w:rPr>
        <w:t xml:space="preserve">Section 4.1 </w:t>
      </w: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xml:space="preserve">. This Agreement shall terminate and be of no further force and effect (a) solely with respect to a party hereto, in the event that such party ceases to own any shares of Common Stock, (b) upon the written agreement of the Principal Stockholders to terminate this Agreement or (c) subject to the final sentence of </w:t>
      </w:r>
      <w:r>
        <w:rPr>
          <w:rFonts w:ascii="Times New Roman" w:cs="Times New Roman" w:eastAsia="Times New Roman" w:hAnsi="Times New Roman"/>
          <w:sz w:val="16"/>
          <w:szCs w:val="16"/>
          <w:u w:val="single" w:color="auto"/>
          <w:color w:val="auto"/>
        </w:rPr>
        <w:t>Section 4.7</w:t>
      </w:r>
      <w:r>
        <w:rPr>
          <w:rFonts w:ascii="Times New Roman" w:cs="Times New Roman" w:eastAsia="Times New Roman" w:hAnsi="Times New Roman"/>
          <w:sz w:val="16"/>
          <w:szCs w:val="16"/>
          <w:color w:val="auto"/>
        </w:rPr>
        <w:t xml:space="preserve"> of this Agreement, if its provisions become illegal or are interpreted by any governmental authority to be illegal, or any exchange on which the Common Stock are traded asserts in writing that its existence will threaten the continued listing of the Common Stock on such exchange. In the event of a circumstance contemplated by clause (a) of this </w:t>
      </w:r>
      <w:r>
        <w:rPr>
          <w:rFonts w:ascii="Times New Roman" w:cs="Times New Roman" w:eastAsia="Times New Roman" w:hAnsi="Times New Roman"/>
          <w:sz w:val="16"/>
          <w:szCs w:val="16"/>
          <w:u w:val="single" w:color="auto"/>
          <w:color w:val="auto"/>
        </w:rPr>
        <w:t>Section 4.1</w:t>
      </w:r>
      <w:r>
        <w:rPr>
          <w:rFonts w:ascii="Times New Roman" w:cs="Times New Roman" w:eastAsia="Times New Roman" w:hAnsi="Times New Roman"/>
          <w:sz w:val="16"/>
          <w:szCs w:val="16"/>
          <w:color w:val="auto"/>
        </w:rPr>
        <w:t>, this Agreement shall remain in full force and effect with respect to the remaining parties hereto, and for purposes of this Agreement, the party ceasing to own any shares of Common Stock shall have no further rights or benefits hereunder.</w:t>
      </w:r>
    </w:p>
    <w:p>
      <w:pPr>
        <w:spacing w:after="0" w:line="165" w:lineRule="exact"/>
        <w:rPr>
          <w:sz w:val="20"/>
          <w:szCs w:val="20"/>
          <w:color w:val="auto"/>
        </w:rPr>
      </w:pPr>
    </w:p>
    <w:p>
      <w:pPr>
        <w:jc w:val="both"/>
        <w:ind w:left="4" w:right="20" w:firstLine="574"/>
        <w:spacing w:after="0" w:line="257" w:lineRule="auto"/>
        <w:rPr>
          <w:sz w:val="20"/>
          <w:szCs w:val="20"/>
          <w:color w:val="auto"/>
        </w:rPr>
      </w:pPr>
      <w:r>
        <w:rPr>
          <w:rFonts w:ascii="Times New Roman" w:cs="Times New Roman" w:eastAsia="Times New Roman" w:hAnsi="Times New Roman"/>
          <w:sz w:val="16"/>
          <w:szCs w:val="16"/>
          <w:color w:val="auto"/>
        </w:rPr>
        <w:t xml:space="preserve">Section 4.2 </w:t>
      </w:r>
      <w:r>
        <w:rPr>
          <w:rFonts w:ascii="Times New Roman" w:cs="Times New Roman" w:eastAsia="Times New Roman" w:hAnsi="Times New Roman"/>
          <w:sz w:val="16"/>
          <w:szCs w:val="16"/>
          <w:u w:val="single" w:color="auto"/>
          <w:color w:val="auto"/>
        </w:rPr>
        <w:t>Successors and Assigns; Beneficiaries</w:t>
      </w:r>
      <w:r>
        <w:rPr>
          <w:rFonts w:ascii="Times New Roman" w:cs="Times New Roman" w:eastAsia="Times New Roman" w:hAnsi="Times New Roman"/>
          <w:sz w:val="16"/>
          <w:szCs w:val="16"/>
          <w:color w:val="auto"/>
        </w:rPr>
        <w:t xml:space="preserve">. Except as otherwise provided herein, all of the terms and provisions of this Agreement shall be binding upon, shall inure to the benefit of and shall be enforceable by the respective successors and permitted assigns of the parties hereto. This Agreement may not be assigned without the express prior written consent of the other parties hereto, and any attempted assignment, without such consents, will be null and void;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each Principal Stockholder (from time to time party hereto) shall be entitled to assign (solely in connection with a transfer of Common Stock) to any of its Affiliates, without such prior written consent, any of its rights and obligations hereunder;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any such Affiliate agrees be bound by the obligations hereunder.</w:t>
      </w:r>
    </w:p>
    <w:p>
      <w:pPr>
        <w:spacing w:after="0" w:line="35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244" w:name="page245"/>
    <w:bookmarkEnd w:id="244"/>
    <w:p>
      <w:pPr>
        <w:ind w:left="560"/>
        <w:spacing w:after="0"/>
        <w:rPr>
          <w:sz w:val="20"/>
          <w:szCs w:val="20"/>
          <w:color w:val="auto"/>
        </w:rPr>
      </w:pPr>
      <w:r>
        <w:rPr>
          <w:rFonts w:ascii="Times New Roman" w:cs="Times New Roman" w:eastAsia="Times New Roman" w:hAnsi="Times New Roman"/>
          <w:sz w:val="16"/>
          <w:szCs w:val="16"/>
          <w:color w:val="auto"/>
        </w:rPr>
        <w:t xml:space="preserve">Section 4.3 </w:t>
      </w:r>
      <w:r>
        <w:rPr>
          <w:rFonts w:ascii="Times New Roman" w:cs="Times New Roman" w:eastAsia="Times New Roman" w:hAnsi="Times New Roman"/>
          <w:sz w:val="16"/>
          <w:szCs w:val="16"/>
          <w:u w:val="single" w:color="auto"/>
          <w:color w:val="auto"/>
        </w:rPr>
        <w:t>Amendment and Modification; Waiver of Compliance</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1400" w:hanging="257"/>
        <w:spacing w:after="0"/>
        <w:tabs>
          <w:tab w:leader="none" w:pos="140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may be amended only by a written instrument duly executed by the Company and the Principal Stockholders.</w:t>
      </w:r>
    </w:p>
    <w:p>
      <w:pPr>
        <w:spacing w:after="0" w:line="198" w:lineRule="exact"/>
        <w:rPr>
          <w:rFonts w:ascii="Times New Roman" w:cs="Times New Roman" w:eastAsia="Times New Roman" w:hAnsi="Times New Roman"/>
          <w:sz w:val="16"/>
          <w:szCs w:val="16"/>
          <w:color w:val="auto"/>
        </w:rPr>
      </w:pPr>
    </w:p>
    <w:p>
      <w:pPr>
        <w:jc w:val="both"/>
        <w:ind w:firstLine="1143"/>
        <w:spacing w:after="0" w:line="265" w:lineRule="auto"/>
        <w:tabs>
          <w:tab w:leader="none" w:pos="1412"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provided in this Agreement, any failure of any of the parties to comply with any obligation, covenant, agreement or condition herein may be waived by the party entitled to the benefits thereof only by a written instrument signed by the party granting such waiver, but such waiver or failure to insist upon strict compliance with such obligation, covenant, agreement or condition shall not operate as a waiver of, or estoppel with respect to, any subsequent or other failure.</w:t>
      </w:r>
    </w:p>
    <w:p>
      <w:pPr>
        <w:spacing w:after="0" w:line="155"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 xml:space="preserve">Section 4.4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Any notice, request, claim, demand, document and other communication hereunder to any party shall be effective upon receipt (or refusal of receipt) and shall be in writing and delivered personally or sent by electronic mail, facsimile, or first class mail, or by Federal Express, United Parcel Service or other similar courier or other similar means of communication, as follows:</w:t>
      </w:r>
    </w:p>
    <w:p>
      <w:pPr>
        <w:spacing w:after="0" w:line="155" w:lineRule="exact"/>
        <w:rPr>
          <w:sz w:val="20"/>
          <w:szCs w:val="20"/>
          <w:color w:val="auto"/>
        </w:rPr>
      </w:pPr>
    </w:p>
    <w:p>
      <w:pPr>
        <w:ind w:left="1400" w:hanging="257"/>
        <w:spacing w:after="0"/>
        <w:tabs>
          <w:tab w:leader="none" w:pos="1400"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to the Company, addressed to [●];</w:t>
      </w:r>
    </w:p>
    <w:p>
      <w:pPr>
        <w:spacing w:after="0" w:line="198" w:lineRule="exact"/>
        <w:rPr>
          <w:rFonts w:ascii="Times New Roman" w:cs="Times New Roman" w:eastAsia="Times New Roman" w:hAnsi="Times New Roman"/>
          <w:sz w:val="16"/>
          <w:szCs w:val="16"/>
          <w:color w:val="auto"/>
        </w:rPr>
      </w:pPr>
    </w:p>
    <w:p>
      <w:pPr>
        <w:ind w:left="1400" w:hanging="257"/>
        <w:spacing w:after="0"/>
        <w:tabs>
          <w:tab w:leader="none" w:pos="1400"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to the REMUS Stockholders, addressed to [●];</w:t>
      </w:r>
    </w:p>
    <w:p>
      <w:pPr>
        <w:spacing w:after="0" w:line="198" w:lineRule="exact"/>
        <w:rPr>
          <w:rFonts w:ascii="Times New Roman" w:cs="Times New Roman" w:eastAsia="Times New Roman" w:hAnsi="Times New Roman"/>
          <w:sz w:val="16"/>
          <w:szCs w:val="16"/>
          <w:color w:val="auto"/>
        </w:rPr>
      </w:pPr>
    </w:p>
    <w:p>
      <w:pPr>
        <w:ind w:left="1400" w:hanging="257"/>
        <w:spacing w:after="0"/>
        <w:tabs>
          <w:tab w:leader="none" w:pos="1400"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to I2BF, addressed to [●];</w:t>
      </w:r>
    </w:p>
    <w:p>
      <w:pPr>
        <w:spacing w:after="0" w:line="198" w:lineRule="exact"/>
        <w:rPr>
          <w:rFonts w:ascii="Times New Roman" w:cs="Times New Roman" w:eastAsia="Times New Roman" w:hAnsi="Times New Roman"/>
          <w:sz w:val="16"/>
          <w:szCs w:val="16"/>
          <w:color w:val="auto"/>
        </w:rPr>
      </w:pPr>
    </w:p>
    <w:p>
      <w:pPr>
        <w:ind w:left="1400" w:hanging="257"/>
        <w:spacing w:after="0"/>
        <w:tabs>
          <w:tab w:leader="none" w:pos="1400"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to CA, addressed to [●]; and</w:t>
      </w:r>
    </w:p>
    <w:p>
      <w:pPr>
        <w:spacing w:after="0" w:line="198" w:lineRule="exact"/>
        <w:rPr>
          <w:rFonts w:ascii="Times New Roman" w:cs="Times New Roman" w:eastAsia="Times New Roman" w:hAnsi="Times New Roman"/>
          <w:sz w:val="16"/>
          <w:szCs w:val="16"/>
          <w:color w:val="auto"/>
        </w:rPr>
      </w:pPr>
    </w:p>
    <w:p>
      <w:pPr>
        <w:ind w:left="1400" w:hanging="257"/>
        <w:spacing w:after="0"/>
        <w:tabs>
          <w:tab w:leader="none" w:pos="1400"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to the Chief Executive Officer, addressed to [●];</w:t>
      </w:r>
    </w:p>
    <w:p>
      <w:pPr>
        <w:spacing w:after="0" w:line="198"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or, in each case, to such other address or electronic mail address as such party may designate in writing to each Principal Stockholder by written notice given in the manner specified herein.</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All such communications shall be deemed to have been given, delivered or made when so delivered by hand or sent by electronic mail or facsimile (with confirmed receipt or transmission), on the next business day if sent by overnight courier service (with confirmed delivery) or when received if sent by first class mail.</w:t>
      </w:r>
    </w:p>
    <w:p>
      <w:pPr>
        <w:spacing w:after="0" w:line="144"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 xml:space="preserve">Section 4.5 </w:t>
      </w:r>
      <w:r>
        <w:rPr>
          <w:rFonts w:ascii="Times New Roman" w:cs="Times New Roman" w:eastAsia="Times New Roman" w:hAnsi="Times New Roman"/>
          <w:sz w:val="16"/>
          <w:szCs w:val="16"/>
          <w:u w:val="single" w:color="auto"/>
          <w:color w:val="auto"/>
        </w:rPr>
        <w:t>Specific Performance</w:t>
      </w:r>
      <w:r>
        <w:rPr>
          <w:rFonts w:ascii="Times New Roman" w:cs="Times New Roman" w:eastAsia="Times New Roman" w:hAnsi="Times New Roman"/>
          <w:sz w:val="16"/>
          <w:szCs w:val="16"/>
          <w:color w:val="auto"/>
        </w:rPr>
        <w:t>. Each party hereto acknowledges and agrees that in the event of any breach of this Agreement by any of them, the other parties hereto would be irreparably harmed and could not be made whole by monetary damages. Each party accordingly agrees to waive the defense in any action for specific performance that a remedy at law would be adequate and agrees that the parties, in addition to any other remedy to which they may be entitled at law or in equity, shall be entitled to specific performance of this Agreement without the posting of bond.</w:t>
      </w:r>
    </w:p>
    <w:p>
      <w:pPr>
        <w:spacing w:after="0" w:line="162"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 xml:space="preserve">Section 4.6 </w:t>
      </w: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The provisions of this Agreement and the other writings referred to herein or delivered pursuant hereto which form a part hereof contain the entire agreement among the parties hereto with respect to the subject matter hereof and supersede all prior oral and written agreements and memoranda and undertakings among the parties hereto with regard to such subject matter.</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45" w:name="page246"/>
    <w:bookmarkEnd w:id="245"/>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 xml:space="preserve">Section 4.7 </w:t>
      </w: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xml:space="preserve">. If any provision of this Agreement, or the application of such provision to any Person or circumstance or in any jurisdiction, shall be held to be invalid or unenforceable to any extent, (i) the remainder of this Agreement shall not be affected thereby, and each other provision hereof shall be valid and enforceable to the fullest extent permitted by law, (ii) as to such Person or circumstance or in such jurisdiction such provision shall be reformed to be valid and enforceable to the fullest extent permitted by law and (iii) the application of such provision to other Persons or circumstances or in other jurisdictions shall not be affected thereby. If this Agreement would be required to be terminated pursuant to clause (c) of </w:t>
      </w:r>
      <w:r>
        <w:rPr>
          <w:rFonts w:ascii="Times New Roman" w:cs="Times New Roman" w:eastAsia="Times New Roman" w:hAnsi="Times New Roman"/>
          <w:sz w:val="16"/>
          <w:szCs w:val="16"/>
          <w:u w:val="single" w:color="auto"/>
          <w:color w:val="auto"/>
        </w:rPr>
        <w:t>Section 4.1</w:t>
      </w:r>
      <w:r>
        <w:rPr>
          <w:rFonts w:ascii="Times New Roman" w:cs="Times New Roman" w:eastAsia="Times New Roman" w:hAnsi="Times New Roman"/>
          <w:sz w:val="16"/>
          <w:szCs w:val="16"/>
          <w:color w:val="auto"/>
        </w:rPr>
        <w:t xml:space="preserve"> of this Agreement, the parties to this Agreement shall use their respective reasonable best efforts to cause the provisions of this Agreement to be reformed, prior to any such termination, to the fullest extent possible to both effectuate the intent of the parties to this Agreement (as of the date of this Agreement) and not cause the termination of this Agreement pursuant to </w:t>
      </w:r>
      <w:r>
        <w:rPr>
          <w:rFonts w:ascii="Times New Roman" w:cs="Times New Roman" w:eastAsia="Times New Roman" w:hAnsi="Times New Roman"/>
          <w:sz w:val="16"/>
          <w:szCs w:val="16"/>
          <w:u w:val="single" w:color="auto"/>
          <w:color w:val="auto"/>
        </w:rPr>
        <w:t>Section 4.1</w:t>
      </w:r>
      <w:r>
        <w:rPr>
          <w:rFonts w:ascii="Times New Roman" w:cs="Times New Roman" w:eastAsia="Times New Roman" w:hAnsi="Times New Roman"/>
          <w:sz w:val="16"/>
          <w:szCs w:val="16"/>
          <w:color w:val="auto"/>
        </w:rPr>
        <w:t xml:space="preserve"> of this Agreement.</w:t>
      </w:r>
    </w:p>
    <w:p>
      <w:pPr>
        <w:spacing w:after="0" w:line="167" w:lineRule="exact"/>
        <w:rPr>
          <w:sz w:val="20"/>
          <w:szCs w:val="20"/>
          <w:color w:val="auto"/>
        </w:rPr>
      </w:pPr>
    </w:p>
    <w:p>
      <w:pPr>
        <w:jc w:val="both"/>
        <w:ind w:firstLine="574"/>
        <w:spacing w:after="0" w:line="251" w:lineRule="auto"/>
        <w:rPr>
          <w:sz w:val="20"/>
          <w:szCs w:val="20"/>
          <w:color w:val="auto"/>
        </w:rPr>
      </w:pPr>
      <w:r>
        <w:rPr>
          <w:rFonts w:ascii="Times New Roman" w:cs="Times New Roman" w:eastAsia="Times New Roman" w:hAnsi="Times New Roman"/>
          <w:sz w:val="16"/>
          <w:szCs w:val="16"/>
          <w:color w:val="auto"/>
        </w:rPr>
        <w:t xml:space="preserve">Section 4.8 </w:t>
      </w:r>
      <w:r>
        <w:rPr>
          <w:rFonts w:ascii="Times New Roman" w:cs="Times New Roman" w:eastAsia="Times New Roman" w:hAnsi="Times New Roman"/>
          <w:sz w:val="16"/>
          <w:szCs w:val="16"/>
          <w:u w:val="single" w:color="auto"/>
          <w:color w:val="auto"/>
        </w:rPr>
        <w:t>CHOICE OF LAW AND VENUE; WAIVER OF RIGHT TO JURY TRIAL</w:t>
      </w:r>
      <w:r>
        <w:rPr>
          <w:rFonts w:ascii="Times New Roman" w:cs="Times New Roman" w:eastAsia="Times New Roman" w:hAnsi="Times New Roman"/>
          <w:sz w:val="16"/>
          <w:szCs w:val="16"/>
          <w:color w:val="auto"/>
        </w:rPr>
        <w:t>. THIS AGREEMENT SHALL BE GOVERNED BY, CONSTRUED, APPLIED AND ENFORCED IN ACCORDANCE WITH THE INTERNAL LAWS OF THE STATE OF DELAWARE. IN THE EVENT ANY PARTY TO THIS AGREEMENT COMMENCES ANY LITIGATION, PROCEEDING OR OTHER LEGAL ACTION IN CONNECTION WITH OR RELATING TO THIS AGREEMENT, ANY RELATED AGREEMENT OR ANY MATTERS DESCRIBED OR CONTEMPLATED HEREIN OR THEREIN, THE PARTIES TO THIS AGREEMENT HEREBY (1) AGREE UNDER ALL CIRCUMSTANCES ABSOLUTELY AND IRREVOCABLY TO INSTITUTE ANY LITIGATION, PROCEEDING OR OTHER LEGAL ACTION IN A COURT OF COMPETENT JURISDICTION LOCATED WITHIN THE STATE OF DELAWARE, WHETHER A STATE OR FEDERAL COURT; (2) AGREE THAT IN THE EVENT OF ANY SUCH LITIGATION, PROCEEDING OR ACTION, SUCH PARTIES WILL CONSENT AND SUBMIT TO THE PERSONAL JURISDICTION OF ANY SUCH COURT DESCRIBED IN CLAUSE (1) OF THIS SECTION AND TO SERVICE OF PROCESS UPON THEM IN ACCORDANCE WITH THE RULES AND STATUTES GOVERNING SERVICE OF PROCESS (IT BEING UNDERSTOOD THAT NOTHING IN THIS SECTION SHALL BE DEEMED TO PREVENT ANY PARTY FROM SEEKING TO REMOVE ANY ACTION TO A FEDERAL COURT IN THE STATE OF DELAWARE); (3) AGREE TO WAIVE TO THE FULL EXTENT PERMITTED BY LAW ANY OBJECTION THAT THEY MAY NOW OR HEREAFTER HAVE TO THE VENUE OF ANY SUCH LITIGATION, PROCEEDING OR ACTION IN ANY SUCH COURT OR THAT ANY SUCH LITIGATION, PROCEEDING OR ACTION WAS BROUGHT IN ANY INCONVENIENT FORUM; (4) AGREE, AFTER CONSULTATION WITH COUNSEL, TO WAIVE ANY RIGHTS TO A JURY TRIAL TO RESOLVE ANY DISPUTES OR CLAIMS RELATING TO THIS AGREEMENT; (5) AGREE TO SERVICE OF PROCESS IN ANY LEGAL PROCEEDING BY MAILING OF COPIES THEREOF TO SUCH PARTY AT ITS ADDRESS SET FORTH HEREIN FOR COMMUNICATIONS TO SUCH PARTY; (6) AGREE THAT ANY SERVICE MADE AS PROVIDED HEREIN SHALL BE EFFECTIVE AND BINDING SERVICE IN EVERY RESPECT; AND (7) AGREE THAT NOTHING HEREIN SHALL AFFECT THE RIGHTS OF ANY PARTY TO EFFECT SERVICE OF PROCESS IN ANY OTHER MANNER PERMITTED BY LAW.</w:t>
      </w:r>
    </w:p>
    <w:p>
      <w:pPr>
        <w:spacing w:after="0" w:line="170"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Section 4.9 </w:t>
      </w: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Agreement may be executed in two or more counterparts, each of which shall be deemed an original, but all of which together shall constitute one and the same instrument.</w:t>
      </w:r>
    </w:p>
    <w:p>
      <w:pPr>
        <w:spacing w:after="0" w:line="144"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 xml:space="preserve">Section 4.10 </w:t>
      </w:r>
      <w:r>
        <w:rPr>
          <w:rFonts w:ascii="Times New Roman" w:cs="Times New Roman" w:eastAsia="Times New Roman" w:hAnsi="Times New Roman"/>
          <w:sz w:val="16"/>
          <w:szCs w:val="16"/>
          <w:u w:val="single" w:color="auto"/>
          <w:color w:val="auto"/>
        </w:rPr>
        <w:t>Further Assurances</w:t>
      </w:r>
      <w:r>
        <w:rPr>
          <w:rFonts w:ascii="Times New Roman" w:cs="Times New Roman" w:eastAsia="Times New Roman" w:hAnsi="Times New Roman"/>
          <w:sz w:val="16"/>
          <w:szCs w:val="16"/>
          <w:color w:val="auto"/>
        </w:rPr>
        <w:t>. At any time or from time to time after the date hereof, the parties hereto agree to cooperate with each other, and at the request of any other party, to execute and deliver any further instruments or documents and to take all such further action as any other party may reasonably request in order to evidence or effectuate the provisions of this Agreement and to otherwise carry out the intent of the parties hereunder.</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6"/>
          <w:szCs w:val="16"/>
          <w:color w:val="auto"/>
        </w:rPr>
        <w:t>IN WITNESS WHEREOF, each of the undersigned has signed this Governance Agreement as of the date first above written.</w:t>
      </w:r>
    </w:p>
    <w:p>
      <w:pPr>
        <w:spacing w:after="0" w:line="19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5"/>
          <w:szCs w:val="15"/>
          <w:b w:val="1"/>
          <w:bCs w:val="1"/>
          <w:color w:val="auto"/>
        </w:rPr>
        <w:t>PRESTO AUTOMATION INC.</w:t>
      </w:r>
    </w:p>
    <w:p>
      <w:pPr>
        <w:spacing w:after="0" w:line="21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-113030</wp:posOffset>
            </wp:positionV>
            <wp:extent cx="2496820" cy="152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Title:</w:t>
      </w:r>
    </w:p>
    <w:p>
      <w:pPr>
        <w:spacing w:after="0" w:line="38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15240</wp:posOffset>
            </wp:positionV>
            <wp:extent cx="7148195" cy="152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579"/>
          </w:cols>
          <w:pgMar w:left="880" w:top="816" w:right="1440" w:bottom="1440" w:gutter="0" w:footer="0" w:header="0"/>
        </w:sectPr>
      </w:pPr>
    </w:p>
    <w:bookmarkStart w:id="247" w:name="page248"/>
    <w:bookmarkEnd w:id="247"/>
    <w:p>
      <w:pPr>
        <w:ind w:left="5640"/>
        <w:spacing w:after="0"/>
        <w:rPr>
          <w:sz w:val="20"/>
          <w:szCs w:val="20"/>
          <w:color w:val="auto"/>
        </w:rPr>
      </w:pPr>
      <w:r>
        <w:rPr>
          <w:rFonts w:ascii="Times New Roman" w:cs="Times New Roman" w:eastAsia="Times New Roman" w:hAnsi="Times New Roman"/>
          <w:sz w:val="16"/>
          <w:szCs w:val="16"/>
          <w:b w:val="1"/>
          <w:bCs w:val="1"/>
          <w:color w:val="auto"/>
        </w:rPr>
        <w:t>REMUS STOCKHOLDERS:</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ROMULUS CAPITAL I, L.P.</w:t>
      </w:r>
    </w:p>
    <w:p>
      <w:pPr>
        <w:spacing w:after="0" w:line="198"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b w:val="1"/>
          <w:bCs w:val="1"/>
          <w:color w:val="auto"/>
        </w:rPr>
        <w:t>By:</w:t>
      </w:r>
      <w:r>
        <w:rPr>
          <w:sz w:val="20"/>
          <w:szCs w:val="20"/>
          <w:color w:val="auto"/>
        </w:rPr>
        <w:tab/>
      </w:r>
      <w:r>
        <w:rPr>
          <w:rFonts w:ascii="Times New Roman" w:cs="Times New Roman" w:eastAsia="Times New Roman" w:hAnsi="Times New Roman"/>
          <w:sz w:val="16"/>
          <w:szCs w:val="16"/>
          <w:b w:val="1"/>
          <w:bCs w:val="1"/>
          <w:color w:val="auto"/>
        </w:rPr>
        <w:t>Romulus Capital Partners I, LLC, its General Partner</w:t>
      </w:r>
    </w:p>
    <w:p>
      <w:pPr>
        <w:spacing w:after="0" w:line="20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22860</wp:posOffset>
            </wp:positionV>
            <wp:extent cx="2496820" cy="152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Name:</w:t>
      </w:r>
    </w:p>
    <w:p>
      <w:pPr>
        <w:spacing w:after="0" w:line="2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Title:</w:t>
      </w:r>
    </w:p>
    <w:p>
      <w:pPr>
        <w:spacing w:after="0" w:line="18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ROMULUS CAPITAL II, L.P.</w:t>
      </w:r>
    </w:p>
    <w:p>
      <w:pPr>
        <w:spacing w:after="0" w:line="198"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5"/>
          <w:szCs w:val="15"/>
          <w:b w:val="1"/>
          <w:bCs w:val="1"/>
          <w:color w:val="auto"/>
        </w:rPr>
        <w:t>By:</w:t>
      </w:r>
      <w:r>
        <w:rPr>
          <w:sz w:val="20"/>
          <w:szCs w:val="20"/>
          <w:color w:val="auto"/>
        </w:rPr>
        <w:tab/>
      </w:r>
      <w:r>
        <w:rPr>
          <w:rFonts w:ascii="Times New Roman" w:cs="Times New Roman" w:eastAsia="Times New Roman" w:hAnsi="Times New Roman"/>
          <w:sz w:val="15"/>
          <w:szCs w:val="15"/>
          <w:b w:val="1"/>
          <w:bCs w:val="1"/>
          <w:color w:val="auto"/>
        </w:rPr>
        <w:t>Romulus Capital Partners II, LLC, its General Partner</w:t>
      </w:r>
    </w:p>
    <w:p>
      <w:pPr>
        <w:spacing w:after="0" w:line="21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22860</wp:posOffset>
            </wp:positionV>
            <wp:extent cx="2496820" cy="152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Name:</w:t>
      </w:r>
    </w:p>
    <w:p>
      <w:pPr>
        <w:spacing w:after="0" w:line="2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Title:</w:t>
      </w:r>
    </w:p>
    <w:p>
      <w:pPr>
        <w:spacing w:after="0" w:line="18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ROMULUS CAPITAL III, L.P.</w:t>
      </w:r>
    </w:p>
    <w:p>
      <w:pPr>
        <w:spacing w:after="0" w:line="198"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5"/>
          <w:szCs w:val="15"/>
          <w:b w:val="1"/>
          <w:bCs w:val="1"/>
          <w:color w:val="auto"/>
        </w:rPr>
        <w:t>By:</w:t>
      </w:r>
      <w:r>
        <w:rPr>
          <w:sz w:val="20"/>
          <w:szCs w:val="20"/>
          <w:color w:val="auto"/>
        </w:rPr>
        <w:tab/>
      </w:r>
      <w:r>
        <w:rPr>
          <w:rFonts w:ascii="Times New Roman" w:cs="Times New Roman" w:eastAsia="Times New Roman" w:hAnsi="Times New Roman"/>
          <w:sz w:val="15"/>
          <w:szCs w:val="15"/>
          <w:b w:val="1"/>
          <w:bCs w:val="1"/>
          <w:color w:val="auto"/>
        </w:rPr>
        <w:t>Romulus Capital Partners II, LLC, its General Partner</w:t>
      </w:r>
    </w:p>
    <w:p>
      <w:pPr>
        <w:spacing w:after="0" w:line="21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22860</wp:posOffset>
            </wp:positionV>
            <wp:extent cx="2496820" cy="152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Name:</w:t>
      </w:r>
    </w:p>
    <w:p>
      <w:pPr>
        <w:spacing w:after="0" w:line="2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Title:</w:t>
      </w:r>
    </w:p>
    <w:p>
      <w:pPr>
        <w:spacing w:after="0" w:line="18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ROMULUS ELC B3 SPECIAL OPPORTUNITY, L.P.</w:t>
      </w:r>
    </w:p>
    <w:p>
      <w:pPr>
        <w:spacing w:after="0" w:line="20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22860</wp:posOffset>
            </wp:positionV>
            <wp:extent cx="2496820" cy="152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Name:</w:t>
      </w:r>
    </w:p>
    <w:p>
      <w:pPr>
        <w:spacing w:after="0" w:line="2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Title:</w:t>
      </w:r>
    </w:p>
    <w:p>
      <w:pPr>
        <w:spacing w:after="0" w:line="18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ZAFFRAN SPECIAL OPPORTUNITIES LLC</w:t>
      </w:r>
    </w:p>
    <w:p>
      <w:pPr>
        <w:spacing w:after="0" w:line="20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22860</wp:posOffset>
            </wp:positionV>
            <wp:extent cx="2496820" cy="152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Name:</w:t>
      </w:r>
    </w:p>
    <w:p>
      <w:pPr>
        <w:spacing w:after="0" w:line="2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Title:</w:t>
      </w:r>
    </w:p>
    <w:p>
      <w:pPr>
        <w:spacing w:after="0" w:line="37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960"/>
          </w:cols>
          <w:pgMar w:left="1440" w:top="814" w:right="499" w:bottom="1440" w:gutter="0" w:footer="0" w:header="0"/>
        </w:sectPr>
      </w:pPr>
    </w:p>
    <w:bookmarkStart w:id="248" w:name="page249"/>
    <w:bookmarkEnd w:id="248"/>
    <w:p>
      <w:pPr>
        <w:ind w:left="5640"/>
        <w:spacing w:after="0"/>
        <w:rPr>
          <w:sz w:val="20"/>
          <w:szCs w:val="20"/>
          <w:color w:val="auto"/>
        </w:rPr>
      </w:pPr>
      <w:r>
        <w:rPr>
          <w:rFonts w:ascii="Times New Roman" w:cs="Times New Roman" w:eastAsia="Times New Roman" w:hAnsi="Times New Roman"/>
          <w:sz w:val="15"/>
          <w:szCs w:val="15"/>
          <w:b w:val="1"/>
          <w:bCs w:val="1"/>
          <w:color w:val="auto"/>
        </w:rPr>
        <w:t>I2BF GLOBAL INVESTMENTS LTD.</w:t>
      </w:r>
    </w:p>
    <w:p>
      <w:pPr>
        <w:spacing w:after="0" w:line="21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-113030</wp:posOffset>
            </wp:positionV>
            <wp:extent cx="2496820" cy="152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Title:</w:t>
      </w:r>
    </w:p>
    <w:p>
      <w:pPr>
        <w:spacing w:after="0" w:line="19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PRESTO CA LLC</w:t>
      </w:r>
    </w:p>
    <w:p>
      <w:pPr>
        <w:spacing w:after="0" w:line="20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-113030</wp:posOffset>
            </wp:positionV>
            <wp:extent cx="2496820" cy="152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Title:</w:t>
      </w:r>
    </w:p>
    <w:p>
      <w:pPr>
        <w:spacing w:after="0" w:line="19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RAJAT SURI</w:t>
      </w:r>
    </w:p>
    <w:p>
      <w:pPr>
        <w:spacing w:after="0" w:line="20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22860</wp:posOffset>
            </wp:positionV>
            <wp:extent cx="2496820" cy="152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814" w:right="1440" w:bottom="1440" w:gutter="0" w:footer="0" w:header="0"/>
        </w:sectPr>
      </w:pPr>
    </w:p>
    <w:bookmarkStart w:id="249" w:name="page250"/>
    <w:bookmarkEnd w:id="249"/>
    <w:p>
      <w:pPr>
        <w:jc w:val="right"/>
        <w:spacing w:after="0"/>
        <w:rPr>
          <w:sz w:val="20"/>
          <w:szCs w:val="20"/>
          <w:color w:val="auto"/>
        </w:rPr>
      </w:pPr>
      <w:r>
        <w:rPr>
          <w:rFonts w:ascii="Times New Roman" w:cs="Times New Roman" w:eastAsia="Times New Roman" w:hAnsi="Times New Roman"/>
          <w:sz w:val="16"/>
          <w:szCs w:val="16"/>
          <w:b w:val="1"/>
          <w:bCs w:val="1"/>
          <w:color w:val="auto"/>
        </w:rPr>
        <w:t>Exhibit 10.8</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AMENDED &amp; RESTATED SUPPORT AGREEMENT</w:t>
      </w:r>
    </w:p>
    <w:p>
      <w:pPr>
        <w:spacing w:after="0" w:line="200"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This Amended and Restated Support Agreement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dated as of 25 July, 2022, is entered into by and among Ventoux CCM Acquisition Corp., a Delaware corporation (“</w:t>
      </w:r>
      <w:r>
        <w:rPr>
          <w:rFonts w:ascii="Times New Roman" w:cs="Times New Roman" w:eastAsia="Times New Roman" w:hAnsi="Times New Roman"/>
          <w:sz w:val="16"/>
          <w:szCs w:val="16"/>
          <w:u w:val="single" w:color="auto"/>
          <w:color w:val="auto"/>
        </w:rPr>
        <w:t>Acquiror</w:t>
      </w:r>
      <w:r>
        <w:rPr>
          <w:rFonts w:ascii="Times New Roman" w:cs="Times New Roman" w:eastAsia="Times New Roman" w:hAnsi="Times New Roman"/>
          <w:sz w:val="16"/>
          <w:szCs w:val="16"/>
          <w:color w:val="auto"/>
        </w:rPr>
        <w:t>”), E La Carte,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and certain of the stockholders of the Company, whose names appear on the signature pages of this Agreement (such stockholders, the “</w:t>
      </w:r>
      <w:r>
        <w:rPr>
          <w:rFonts w:ascii="Times New Roman" w:cs="Times New Roman" w:eastAsia="Times New Roman" w:hAnsi="Times New Roman"/>
          <w:sz w:val="16"/>
          <w:szCs w:val="16"/>
          <w:u w:val="single" w:color="auto"/>
          <w:color w:val="auto"/>
        </w:rPr>
        <w:t>Stockholders</w:t>
      </w:r>
      <w:r>
        <w:rPr>
          <w:rFonts w:ascii="Times New Roman" w:cs="Times New Roman" w:eastAsia="Times New Roman" w:hAnsi="Times New Roman"/>
          <w:sz w:val="16"/>
          <w:szCs w:val="16"/>
          <w:color w:val="auto"/>
        </w:rPr>
        <w:t>”, and Acquiror, the Company and the Stockholders, each a “</w:t>
      </w:r>
      <w:r>
        <w:rPr>
          <w:rFonts w:ascii="Times New Roman" w:cs="Times New Roman" w:eastAsia="Times New Roman" w:hAnsi="Times New Roman"/>
          <w:sz w:val="16"/>
          <w:szCs w:val="16"/>
          <w:u w:val="single" w:color="auto"/>
          <w:color w:val="auto"/>
        </w:rPr>
        <w:t>Party</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u w:val="single" w:color="auto"/>
          <w:color w:val="auto"/>
        </w:rPr>
        <w:t>Parties</w:t>
      </w:r>
      <w:r>
        <w:rPr>
          <w:rFonts w:ascii="Times New Roman" w:cs="Times New Roman" w:eastAsia="Times New Roman" w:hAnsi="Times New Roman"/>
          <w:sz w:val="16"/>
          <w:szCs w:val="16"/>
          <w:color w:val="auto"/>
        </w:rPr>
        <w: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198"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Acquiror, the Company, Ventoux Merger Sub I Inc., a Delaware corporation and wholly-owned subsidiary of Acquiror (“</w:t>
      </w:r>
      <w:r>
        <w:rPr>
          <w:rFonts w:ascii="Times New Roman" w:cs="Times New Roman" w:eastAsia="Times New Roman" w:hAnsi="Times New Roman"/>
          <w:sz w:val="16"/>
          <w:szCs w:val="16"/>
          <w:u w:val="single" w:color="auto"/>
          <w:color w:val="auto"/>
        </w:rPr>
        <w:t>First Merger Sub</w:t>
      </w:r>
      <w:r>
        <w:rPr>
          <w:rFonts w:ascii="Times New Roman" w:cs="Times New Roman" w:eastAsia="Times New Roman" w:hAnsi="Times New Roman"/>
          <w:sz w:val="16"/>
          <w:szCs w:val="16"/>
          <w:color w:val="auto"/>
        </w:rPr>
        <w:t>”) and Ventoux</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Merger Sub II LLC, a Delaware limited liability company and wholly owned subsidiary of Acquiror (“</w:t>
      </w:r>
      <w:r>
        <w:rPr>
          <w:rFonts w:ascii="Times New Roman" w:cs="Times New Roman" w:eastAsia="Times New Roman" w:hAnsi="Times New Roman"/>
          <w:sz w:val="16"/>
          <w:szCs w:val="16"/>
          <w:u w:val="single" w:color="auto"/>
          <w:color w:val="auto"/>
        </w:rPr>
        <w:t>Second Merger Sub</w:t>
      </w:r>
      <w:r>
        <w:rPr>
          <w:rFonts w:ascii="Times New Roman" w:cs="Times New Roman" w:eastAsia="Times New Roman" w:hAnsi="Times New Roman"/>
          <w:sz w:val="16"/>
          <w:szCs w:val="16"/>
          <w:color w:val="auto"/>
        </w:rPr>
        <w:t>”), have entered into that certain Agreement and Plan of Merger, dated November 10, 2021 (as amended, supplemented, restated or otherwise modified from time to time,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capitalized terms used but not otherwise defined in this Agreement shall have the meanings ascribed to them in the Merger Agreement), pursuant to which (and subject to the terms and conditions set forth therein) First Merger Sub will merge with and into the Company (the “</w:t>
      </w:r>
      <w:r>
        <w:rPr>
          <w:rFonts w:ascii="Times New Roman" w:cs="Times New Roman" w:eastAsia="Times New Roman" w:hAnsi="Times New Roman"/>
          <w:sz w:val="16"/>
          <w:szCs w:val="16"/>
          <w:u w:val="single" w:color="auto"/>
          <w:color w:val="auto"/>
        </w:rPr>
        <w:t>First Merger</w:t>
      </w:r>
      <w:r>
        <w:rPr>
          <w:rFonts w:ascii="Times New Roman" w:cs="Times New Roman" w:eastAsia="Times New Roman" w:hAnsi="Times New Roman"/>
          <w:sz w:val="16"/>
          <w:szCs w:val="16"/>
          <w:color w:val="auto"/>
        </w:rPr>
        <w:t>”), and immediately following the First Merger, the Company will merge with and into Second Merger Sub, with Second Merger Sub continuing on as the surviving corporation and a wholly owned subsidiary of Acquiror (together with the First Merger, the “</w:t>
      </w:r>
      <w:r>
        <w:rPr>
          <w:rFonts w:ascii="Times New Roman" w:cs="Times New Roman" w:eastAsia="Times New Roman" w:hAnsi="Times New Roman"/>
          <w:sz w:val="16"/>
          <w:szCs w:val="16"/>
          <w:u w:val="single" w:color="auto"/>
          <w:color w:val="auto"/>
        </w:rPr>
        <w:t>Mergers</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jc w:val="both"/>
        <w:ind w:right="20" w:firstLine="574"/>
        <w:spacing w:after="0" w:line="283"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concurrently herewith, Acquiror, the Company, First Merger Sub and Second Merger Sub have entered into that certain second amendment to the Merger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w:t>
      </w:r>
      <w:r>
        <w:rPr>
          <w:rFonts w:ascii="Times New Roman" w:cs="Times New Roman" w:eastAsia="Times New Roman" w:hAnsi="Times New Roman"/>
          <w:sz w:val="16"/>
          <w:szCs w:val="16"/>
          <w:u w:val="single" w:color="auto"/>
          <w:color w:val="auto"/>
        </w:rPr>
        <w:t>Second Amendment to Merger Agreement</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as of the date hereof, each Stockholder is the sole record and “beneficial owner” (as such term is used herein, within the meaning of Rule 13d-3 under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Securities Exchange Act of 1934, as amended (together with the rules and regulations promulgated thereunder, the “</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xml:space="preserve">”)) of, and is entitled to dispose of and vote, the number of shares of Company Common Stock and Company Preferred Stock set forth opposite such Stockholder’s name on </w:t>
      </w:r>
      <w:r>
        <w:rPr>
          <w:rFonts w:ascii="Times New Roman" w:cs="Times New Roman" w:eastAsia="Times New Roman" w:hAnsi="Times New Roman"/>
          <w:sz w:val="16"/>
          <w:szCs w:val="16"/>
          <w:u w:val="single" w:color="auto"/>
          <w:color w:val="auto"/>
        </w:rPr>
        <w:t>Schedule 1</w:t>
      </w:r>
      <w:r>
        <w:rPr>
          <w:rFonts w:ascii="Times New Roman" w:cs="Times New Roman" w:eastAsia="Times New Roman" w:hAnsi="Times New Roman"/>
          <w:sz w:val="16"/>
          <w:szCs w:val="16"/>
          <w:color w:val="auto"/>
        </w:rPr>
        <w:t xml:space="preserve"> of this Agreement (collectively, with respect to each Stockholder, such Stockholder’s “</w:t>
      </w:r>
      <w:r>
        <w:rPr>
          <w:rFonts w:ascii="Times New Roman" w:cs="Times New Roman" w:eastAsia="Times New Roman" w:hAnsi="Times New Roman"/>
          <w:sz w:val="16"/>
          <w:szCs w:val="16"/>
          <w:u w:val="single" w:color="auto"/>
          <w:color w:val="auto"/>
        </w:rPr>
        <w:t>Owned Shares</w:t>
      </w:r>
      <w:r>
        <w:rPr>
          <w:rFonts w:ascii="Times New Roman" w:cs="Times New Roman" w:eastAsia="Times New Roman" w:hAnsi="Times New Roman"/>
          <w:sz w:val="16"/>
          <w:szCs w:val="16"/>
          <w:color w:val="auto"/>
        </w:rPr>
        <w:t>”); and such Owned Shares, together with (1) any additional shares of Company Common Stock and Company Preferred Stock (or any securities convertible into or exercisable or exchangeable for Company Common Stock or Company Preferred Stock) in which such Stockholder acquires record and beneficial ownership after the date hereof, including by purchase, as a result of a stock dividend, stock split, recapitalization, combination, reclassification, exchange or change of such shares, or upon exercise or conversion of any securities and (2) any additional shares of Company Common Stock and Company Preferred Stock with respect to which such Stockholder has the right to vote through a proxy, the “</w:t>
      </w:r>
      <w:r>
        <w:rPr>
          <w:rFonts w:ascii="Times New Roman" w:cs="Times New Roman" w:eastAsia="Times New Roman" w:hAnsi="Times New Roman"/>
          <w:sz w:val="16"/>
          <w:szCs w:val="16"/>
          <w:u w:val="single" w:color="auto"/>
          <w:color w:val="auto"/>
        </w:rPr>
        <w:t>Covered Shares</w:t>
      </w:r>
      <w:r>
        <w:rPr>
          <w:rFonts w:ascii="Times New Roman" w:cs="Times New Roman" w:eastAsia="Times New Roman" w:hAnsi="Times New Roman"/>
          <w:sz w:val="16"/>
          <w:szCs w:val="16"/>
          <w:color w:val="auto"/>
        </w:rPr>
        <w:t>”);</w:t>
      </w:r>
    </w:p>
    <w:p>
      <w:pPr>
        <w:spacing w:after="0" w:line="163" w:lineRule="exact"/>
        <w:rPr>
          <w:sz w:val="20"/>
          <w:szCs w:val="20"/>
          <w:color w:val="auto"/>
        </w:rPr>
      </w:pPr>
    </w:p>
    <w:p>
      <w:pPr>
        <w:jc w:val="both"/>
        <w:ind w:right="20" w:firstLine="574"/>
        <w:spacing w:after="0" w:line="256"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pursuant to their terms, upon consummation of the Mergers, each of the following agreements will automatically terminate without any further action 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part of the parties thereto pursuant to their respective terms: (i) that certain Third Amended and Restated Investors’ Rights Agreement, dated as of January 6, 2020, by and among the Company and the Investors (as defined therein) (the “</w:t>
      </w:r>
      <w:r>
        <w:rPr>
          <w:rFonts w:ascii="Times New Roman" w:cs="Times New Roman" w:eastAsia="Times New Roman" w:hAnsi="Times New Roman"/>
          <w:sz w:val="16"/>
          <w:szCs w:val="16"/>
          <w:u w:val="single" w:color="auto"/>
          <w:color w:val="auto"/>
        </w:rPr>
        <w:t>Investors’ Rights Agreement</w:t>
      </w:r>
      <w:r>
        <w:rPr>
          <w:rFonts w:ascii="Times New Roman" w:cs="Times New Roman" w:eastAsia="Times New Roman" w:hAnsi="Times New Roman"/>
          <w:sz w:val="16"/>
          <w:szCs w:val="16"/>
          <w:color w:val="auto"/>
        </w:rPr>
        <w:t>”); (ii) that certain Third Amended and Restated Voting and Drag-Along Agreement, dated as of January 6, 2020, by and among the Company and the Stockholders (as defined therein) (the “</w:t>
      </w:r>
      <w:r>
        <w:rPr>
          <w:rFonts w:ascii="Times New Roman" w:cs="Times New Roman" w:eastAsia="Times New Roman" w:hAnsi="Times New Roman"/>
          <w:sz w:val="16"/>
          <w:szCs w:val="16"/>
          <w:u w:val="single" w:color="auto"/>
          <w:color w:val="auto"/>
        </w:rPr>
        <w:t>Voting Agreement</w:t>
      </w:r>
      <w:r>
        <w:rPr>
          <w:rFonts w:ascii="Times New Roman" w:cs="Times New Roman" w:eastAsia="Times New Roman" w:hAnsi="Times New Roman"/>
          <w:sz w:val="16"/>
          <w:szCs w:val="16"/>
          <w:color w:val="auto"/>
        </w:rPr>
        <w:t>”); and (iii) that certain Third Amended and Restated Right of First Refusal and Co-Sale Agreement, dated as of January 6, 2020 by and among the Company, the Key Holders (as defined therein) and the Investors (as defined therein) (the “</w:t>
      </w:r>
      <w:r>
        <w:rPr>
          <w:rFonts w:ascii="Times New Roman" w:cs="Times New Roman" w:eastAsia="Times New Roman" w:hAnsi="Times New Roman"/>
          <w:sz w:val="16"/>
          <w:szCs w:val="16"/>
          <w:u w:val="single" w:color="auto"/>
          <w:color w:val="auto"/>
        </w:rPr>
        <w:t>ROFR Agreement</w:t>
      </w:r>
      <w:r>
        <w:rPr>
          <w:rFonts w:ascii="Times New Roman" w:cs="Times New Roman" w:eastAsia="Times New Roman" w:hAnsi="Times New Roman"/>
          <w:sz w:val="16"/>
          <w:szCs w:val="16"/>
          <w:color w:val="auto"/>
        </w:rPr>
        <w:t>” and, together with the Investors’ Rights Agreement and the Voting Agreement, the “</w:t>
      </w:r>
      <w:r>
        <w:rPr>
          <w:rFonts w:ascii="Times New Roman" w:cs="Times New Roman" w:eastAsia="Times New Roman" w:hAnsi="Times New Roman"/>
          <w:sz w:val="16"/>
          <w:szCs w:val="16"/>
          <w:u w:val="single" w:color="auto"/>
          <w:color w:val="auto"/>
        </w:rPr>
        <w:t>Investment Agreements</w:t>
      </w:r>
      <w:r>
        <w:rPr>
          <w:rFonts w:ascii="Times New Roman" w:cs="Times New Roman" w:eastAsia="Times New Roman" w:hAnsi="Times New Roman"/>
          <w:sz w:val="16"/>
          <w:szCs w:val="16"/>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372110</wp:posOffset>
            </wp:positionV>
            <wp:extent cx="7148195" cy="152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50" w:name="page251"/>
    <w:bookmarkEnd w:id="250"/>
    <w:p>
      <w:pPr>
        <w:ind w:right="20" w:firstLine="574"/>
        <w:spacing w:after="0" w:line="283"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as a condition and inducement to the willingness of Acquiror, First Merger Sub and Second Merger Sub to enter into the Second Amendment to Merger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the Company and the Stockholders are entering into this Agreement.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AGREEMENT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NOW, THEREFORE</w:t>
      </w:r>
      <w:r>
        <w:rPr>
          <w:rFonts w:ascii="Times New Roman" w:cs="Times New Roman" w:eastAsia="Times New Roman" w:hAnsi="Times New Roman"/>
          <w:sz w:val="16"/>
          <w:szCs w:val="16"/>
          <w:color w:val="auto"/>
        </w:rPr>
        <w:t>, in consideration of the foregoing and the mutual covenants and agreements herein contained, and intending to be legally bound hereby,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Acquiror, the Company and each Stockholder hereby agree as follows:</w:t>
      </w:r>
    </w:p>
    <w:p>
      <w:pPr>
        <w:spacing w:after="0" w:line="182" w:lineRule="exact"/>
        <w:rPr>
          <w:sz w:val="20"/>
          <w:szCs w:val="20"/>
          <w:color w:val="auto"/>
        </w:rPr>
      </w:pPr>
    </w:p>
    <w:p>
      <w:pPr>
        <w:jc w:val="both"/>
        <w:ind w:firstLine="569"/>
        <w:spacing w:after="0" w:line="252" w:lineRule="auto"/>
        <w:tabs>
          <w:tab w:leader="none" w:pos="733" w:val="left"/>
        </w:tabs>
        <w:numPr>
          <w:ilvl w:val="0"/>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Agreement to Vote</w:t>
      </w:r>
      <w:r>
        <w:rPr>
          <w:rFonts w:ascii="Times New Roman" w:cs="Times New Roman" w:eastAsia="Times New Roman" w:hAnsi="Times New Roman"/>
          <w:sz w:val="16"/>
          <w:szCs w:val="16"/>
          <w:color w:val="auto"/>
        </w:rPr>
        <w:t xml:space="preserve">. Subject to the earlier termination of this Agreement in accordance with </w:t>
      </w:r>
      <w:r>
        <w:rPr>
          <w:rFonts w:ascii="Times New Roman" w:cs="Times New Roman" w:eastAsia="Times New Roman" w:hAnsi="Times New Roman"/>
          <w:sz w:val="16"/>
          <w:szCs w:val="16"/>
          <w:u w:val="single" w:color="auto"/>
          <w:color w:val="auto"/>
        </w:rPr>
        <w:t>Section 5</w:t>
      </w:r>
      <w:r>
        <w:rPr>
          <w:rFonts w:ascii="Times New Roman" w:cs="Times New Roman" w:eastAsia="Times New Roman" w:hAnsi="Times New Roman"/>
          <w:sz w:val="16"/>
          <w:szCs w:val="16"/>
          <w:color w:val="auto"/>
        </w:rPr>
        <w:t xml:space="preserve"> and the last paragraph of this </w:t>
      </w: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color w:val="auto"/>
        </w:rPr>
        <w:t xml:space="preserve">, the Stockholder, solely in his, her or its capacity as a stockholder or proxy holder of the Company, irrevocably and unconditionally agrees, and agrees to cause any other holder of record of any of the Stockholder’s Covered Shares, to validly execute and deliver to the Company in respect of all of the Stockholder’s Covered Shares, on (or effective as of) the second (2nd) Business Day following the date that the consent solicitation statement/prospectus included in the Registration Statement is disseminated to the Company’s stockholders (following the date the Registration Statement becomes effective), a written consent in a form to be reasonably agreed between the Company and Acquiror after the date hereof, as shall be revised if needed to address any comments from the SEC, with respect to all of the Stockholder’s Covered Shares. In addition, subject to the last paragraph of this </w:t>
      </w: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color w:val="auto"/>
        </w:rPr>
        <w:t>, prior to the Termination Date (as defined herein), the Stockholder, in his, her or its capacity as a stockholder or proxy holder of the Company, irrevocably and unconditionally agrees that, at any other meeting of the stockholders of the Company (whether annual or special and whether or not an adjourned or postponed meeting, however called and including any adjournment or postponement thereof) and in connection with any written consent of stockholders of the Company, such Stockholder shall, and shall cause any other holder of record of any of such Stockholder’s Covered Shares to:</w:t>
      </w:r>
    </w:p>
    <w:p>
      <w:pPr>
        <w:spacing w:after="0" w:line="171"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1"/>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waive any rights of first refusal set forth in Section 2 of the ROFR Agreement;</w:t>
      </w:r>
    </w:p>
    <w:p>
      <w:pPr>
        <w:spacing w:after="0" w:line="198" w:lineRule="exact"/>
        <w:rPr>
          <w:rFonts w:ascii="Times New Roman" w:cs="Times New Roman" w:eastAsia="Times New Roman" w:hAnsi="Times New Roman"/>
          <w:sz w:val="16"/>
          <w:szCs w:val="16"/>
          <w:color w:val="auto"/>
        </w:rPr>
      </w:pPr>
    </w:p>
    <w:p>
      <w:pPr>
        <w:ind w:right="20" w:firstLine="1143"/>
        <w:spacing w:after="0" w:line="280" w:lineRule="auto"/>
        <w:tabs>
          <w:tab w:leader="none" w:pos="1373" w:val="left"/>
        </w:tabs>
        <w:numPr>
          <w:ilvl w:val="1"/>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such meeting is held, appear at such meeting or otherwise cause the Stockholder’s Covered Shares to be counted as present thereat for the purpose of establishing a quorum;</w:t>
      </w:r>
    </w:p>
    <w:p>
      <w:pPr>
        <w:spacing w:after="0" w:line="144"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67" w:val="left"/>
        </w:tabs>
        <w:numPr>
          <w:ilvl w:val="1"/>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vote (or execute and return an action by written consent), or cause to be voted at such meeting (or validly execute and return and cause such consent to be granted with respect to), all of such Stockholder’s Covered Shares owned as of the record date for such meeting (or the date that any written consent is executed by such Stockholder) in favor of the Mergers, the adoption of the Merger Agreement, and any other matters reasonably requested by the Company that are necessary for the consummation of the Mergers and the other transactions contemplated by the Merger Agreement;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51" w:name="page252"/>
    <w:bookmarkEnd w:id="251"/>
    <w:p>
      <w:pPr>
        <w:jc w:val="both"/>
        <w:ind w:firstLine="1143"/>
        <w:spacing w:after="0" w:line="265" w:lineRule="auto"/>
        <w:tabs>
          <w:tab w:leader="none" w:pos="1379" w:val="left"/>
        </w:tabs>
        <w:numPr>
          <w:ilvl w:val="0"/>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any other circumstances upon which a consent or other approval is required under the Company’s governing documents or the Investment Agreements with respect to the Merger Agreement or the other transactions contemplated by the Merger Agreement, vote, consent or approve (or cause to be voted, consented or approved) all of such Stockholder’s Covered Shares held at such time in favor thereof;</w:t>
      </w:r>
    </w:p>
    <w:p>
      <w:pPr>
        <w:spacing w:after="0" w:line="155" w:lineRule="exact"/>
        <w:rPr>
          <w:rFonts w:ascii="Times New Roman" w:cs="Times New Roman" w:eastAsia="Times New Roman" w:hAnsi="Times New Roman"/>
          <w:sz w:val="16"/>
          <w:szCs w:val="16"/>
          <w:color w:val="auto"/>
        </w:rPr>
      </w:pPr>
    </w:p>
    <w:p>
      <w:pPr>
        <w:jc w:val="both"/>
        <w:ind w:firstLine="1143"/>
        <w:spacing w:after="0" w:line="255" w:lineRule="auto"/>
        <w:tabs>
          <w:tab w:leader="none" w:pos="1367" w:val="left"/>
        </w:tabs>
        <w:numPr>
          <w:ilvl w:val="0"/>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vote (or execute and return an action by written consent), or cause to be voted at such meeting (or validly execute and return and cause such consent to be granted with respect to), all of such Stockholder’s Covered Shares against (i) any Business Combination Proposal other than with the Acquiror, its stockholders and their respective Affiliates and Representatives and (ii) any other action that would reasonably be expected to (x) materially impede, interfere with, delay, postpone or adversely affect the Mergers or any of the other transactions contemplated by the Merger Agreement, (y) result in a breach of any covenant, representation or warranty or other obligation or agreement of the Company under the Merger Agreement or (z) result in a breach of any covenant, representation or warranty or other obligation or agreement of such Stockholder contained in this Agreement.</w:t>
      </w:r>
    </w:p>
    <w:p>
      <w:pPr>
        <w:spacing w:after="0" w:line="165" w:lineRule="exact"/>
        <w:rPr>
          <w:sz w:val="20"/>
          <w:szCs w:val="20"/>
          <w:color w:val="auto"/>
        </w:rPr>
      </w:pPr>
    </w:p>
    <w:p>
      <w:pPr>
        <w:ind w:firstLine="574"/>
        <w:spacing w:after="0" w:line="280" w:lineRule="auto"/>
        <w:rPr>
          <w:sz w:val="20"/>
          <w:szCs w:val="20"/>
          <w:color w:val="auto"/>
        </w:rPr>
      </w:pPr>
      <w:r>
        <w:rPr>
          <w:rFonts w:ascii="Times New Roman" w:cs="Times New Roman" w:eastAsia="Times New Roman" w:hAnsi="Times New Roman"/>
          <w:sz w:val="16"/>
          <w:szCs w:val="16"/>
          <w:color w:val="auto"/>
        </w:rPr>
        <w:t>The obligations of each Stockholder specified in this Section 1 shall apply whether or not the Mergers or any action described above is recommended by the Company Board or the Company Board has previously recommended the Mergers but changed such recommendation.</w:t>
      </w:r>
    </w:p>
    <w:p>
      <w:pPr>
        <w:spacing w:after="0" w:line="144" w:lineRule="exact"/>
        <w:rPr>
          <w:sz w:val="20"/>
          <w:szCs w:val="20"/>
          <w:color w:val="auto"/>
        </w:rPr>
      </w:pPr>
    </w:p>
    <w:p>
      <w:pPr>
        <w:ind w:left="720" w:hanging="151"/>
        <w:spacing w:after="0"/>
        <w:tabs>
          <w:tab w:leader="none" w:pos="720"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Lock-up</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80" w:val="left"/>
        </w:tabs>
        <w:numPr>
          <w:ilvl w:val="1"/>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w:t>
      </w:r>
      <w:r>
        <w:rPr>
          <w:rFonts w:ascii="Times New Roman" w:cs="Times New Roman" w:eastAsia="Times New Roman" w:hAnsi="Times New Roman"/>
          <w:sz w:val="16"/>
          <w:szCs w:val="16"/>
          <w:u w:val="single" w:color="auto"/>
          <w:color w:val="auto"/>
        </w:rPr>
        <w:t>Section 2(b)</w:t>
      </w:r>
      <w:r>
        <w:rPr>
          <w:rFonts w:ascii="Times New Roman" w:cs="Times New Roman" w:eastAsia="Times New Roman" w:hAnsi="Times New Roman"/>
          <w:sz w:val="16"/>
          <w:szCs w:val="16"/>
          <w:color w:val="auto"/>
        </w:rPr>
        <w:t>, the Stockholder agrees that it shall not sell, publicly offer to sell, transfer, pledge, encumber, assign, hedge, swap, convert or otherwise dispose of (including by merger (including by conversion into securities or other consideration), by tendering into any tender or exchange offer, by testamentary disposition, by operation of Law or otherwise), either voluntarily or involuntarily (collectively, “</w:t>
      </w:r>
      <w:r>
        <w:rPr>
          <w:rFonts w:ascii="Times New Roman" w:cs="Times New Roman" w:eastAsia="Times New Roman" w:hAnsi="Times New Roman"/>
          <w:sz w:val="16"/>
          <w:szCs w:val="16"/>
          <w:u w:val="single" w:color="auto"/>
          <w:color w:val="auto"/>
        </w:rPr>
        <w:t>Transfer</w:t>
      </w:r>
      <w:r>
        <w:rPr>
          <w:rFonts w:ascii="Times New Roman" w:cs="Times New Roman" w:eastAsia="Times New Roman" w:hAnsi="Times New Roman"/>
          <w:sz w:val="16"/>
          <w:szCs w:val="16"/>
          <w:color w:val="auto"/>
        </w:rPr>
        <w:t>”) any issued and outstanding Acquiror Common Stock held by such Stockholder as of and immediately following the Closing Date (in respect of the Stockholder, the “</w:t>
      </w:r>
      <w:r>
        <w:rPr>
          <w:rFonts w:ascii="Times New Roman" w:cs="Times New Roman" w:eastAsia="Times New Roman" w:hAnsi="Times New Roman"/>
          <w:sz w:val="16"/>
          <w:szCs w:val="16"/>
          <w:u w:val="single" w:color="auto"/>
          <w:color w:val="auto"/>
        </w:rPr>
        <w:t>Lock-up Shares</w:t>
      </w:r>
      <w:r>
        <w:rPr>
          <w:rFonts w:ascii="Times New Roman" w:cs="Times New Roman" w:eastAsia="Times New Roman" w:hAnsi="Times New Roman"/>
          <w:sz w:val="16"/>
          <w:szCs w:val="16"/>
          <w:color w:val="auto"/>
        </w:rPr>
        <w:t>”) during the period beginning on the Closing Date until, in respect of all of its, his or her Lock-up Shares, the date that is eighteen (18) months from and after the Closing Date (such period, the “</w:t>
      </w:r>
      <w:r>
        <w:rPr>
          <w:rFonts w:ascii="Times New Roman" w:cs="Times New Roman" w:eastAsia="Times New Roman" w:hAnsi="Times New Roman"/>
          <w:sz w:val="16"/>
          <w:szCs w:val="16"/>
          <w:u w:val="single" w:color="auto"/>
          <w:color w:val="auto"/>
        </w:rPr>
        <w:t>Lock-up Period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prohibition shall not apply to Transfers (x) permitted pursuant to </w:t>
      </w:r>
      <w:r>
        <w:rPr>
          <w:rFonts w:ascii="Times New Roman" w:cs="Times New Roman" w:eastAsia="Times New Roman" w:hAnsi="Times New Roman"/>
          <w:sz w:val="16"/>
          <w:szCs w:val="16"/>
          <w:u w:val="single" w:color="auto"/>
          <w:color w:val="auto"/>
        </w:rPr>
        <w:t>Section 2(b)</w:t>
      </w:r>
      <w:r>
        <w:rPr>
          <w:rFonts w:ascii="Times New Roman" w:cs="Times New Roman" w:eastAsia="Times New Roman" w:hAnsi="Times New Roman"/>
          <w:sz w:val="16"/>
          <w:szCs w:val="16"/>
          <w:color w:val="auto"/>
        </w:rPr>
        <w:t xml:space="preserve"> or (y) permitted pursuant to the organizational documents of Acquiror, as in effect on the Closing Date, as the same may be amended from time to time (the “</w:t>
      </w:r>
      <w:r>
        <w:rPr>
          <w:rFonts w:ascii="Times New Roman" w:cs="Times New Roman" w:eastAsia="Times New Roman" w:hAnsi="Times New Roman"/>
          <w:sz w:val="16"/>
          <w:szCs w:val="16"/>
          <w:u w:val="single" w:color="auto"/>
          <w:color w:val="auto"/>
        </w:rPr>
        <w:t>Governing Documents</w:t>
      </w:r>
      <w:r>
        <w:rPr>
          <w:rFonts w:ascii="Times New Roman" w:cs="Times New Roman" w:eastAsia="Times New Roman" w:hAnsi="Times New Roman"/>
          <w:sz w:val="16"/>
          <w:szCs w:val="16"/>
          <w:color w:val="auto"/>
        </w:rPr>
        <w:t>”).</w:t>
      </w:r>
    </w:p>
    <w:p>
      <w:pPr>
        <w:spacing w:after="0" w:line="166" w:lineRule="exact"/>
        <w:rPr>
          <w:rFonts w:ascii="Times New Roman" w:cs="Times New Roman" w:eastAsia="Times New Roman" w:hAnsi="Times New Roman"/>
          <w:sz w:val="16"/>
          <w:szCs w:val="16"/>
          <w:color w:val="auto"/>
        </w:rPr>
      </w:pPr>
    </w:p>
    <w:p>
      <w:pPr>
        <w:jc w:val="both"/>
        <w:ind w:firstLine="1143"/>
        <w:spacing w:after="0" w:line="257" w:lineRule="auto"/>
        <w:tabs>
          <w:tab w:leader="none" w:pos="1391" w:val="left"/>
        </w:tabs>
        <w:numPr>
          <w:ilvl w:val="1"/>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the provision set forth in </w:t>
      </w:r>
      <w:r>
        <w:rPr>
          <w:rFonts w:ascii="Times New Roman" w:cs="Times New Roman" w:eastAsia="Times New Roman" w:hAnsi="Times New Roman"/>
          <w:sz w:val="16"/>
          <w:szCs w:val="16"/>
          <w:u w:val="single" w:color="auto"/>
          <w:color w:val="auto"/>
        </w:rPr>
        <w:t>Section 2(a)</w:t>
      </w:r>
      <w:r>
        <w:rPr>
          <w:rFonts w:ascii="Times New Roman" w:cs="Times New Roman" w:eastAsia="Times New Roman" w:hAnsi="Times New Roman"/>
          <w:sz w:val="16"/>
          <w:szCs w:val="16"/>
          <w:color w:val="auto"/>
        </w:rPr>
        <w:t xml:space="preserve">, Transfers of Lockup Shares that are that are held by a Stockholder or any of their permitted transferees (that have complied with this </w:t>
      </w:r>
      <w:r>
        <w:rPr>
          <w:rFonts w:ascii="Times New Roman" w:cs="Times New Roman" w:eastAsia="Times New Roman" w:hAnsi="Times New Roman"/>
          <w:sz w:val="16"/>
          <w:szCs w:val="16"/>
          <w:u w:val="single" w:color="auto"/>
          <w:color w:val="auto"/>
        </w:rPr>
        <w:t>Section 2(b)</w:t>
      </w:r>
      <w:r>
        <w:rPr>
          <w:rFonts w:ascii="Times New Roman" w:cs="Times New Roman" w:eastAsia="Times New Roman" w:hAnsi="Times New Roman"/>
          <w:sz w:val="16"/>
          <w:szCs w:val="16"/>
          <w:color w:val="auto"/>
        </w:rPr>
        <w:t xml:space="preserve">) are permitted in accordance with the Governing Documents;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any such Transfer shall be permitted only if, as a precondition to such Transfer, the transferee agrees in a writing, reasonably satisfactory in form and substance to Acquiror, to assume all of the obligations of the Stockholder under, and be bound by all of the terms of, this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xml:space="preserve">, that any Transfer permitted under this </w:t>
      </w:r>
      <w:r>
        <w:rPr>
          <w:rFonts w:ascii="Times New Roman" w:cs="Times New Roman" w:eastAsia="Times New Roman" w:hAnsi="Times New Roman"/>
          <w:sz w:val="16"/>
          <w:szCs w:val="16"/>
          <w:u w:val="single" w:color="auto"/>
          <w:color w:val="auto"/>
        </w:rPr>
        <w:t>Section 2(b)</w:t>
      </w:r>
      <w:r>
        <w:rPr>
          <w:rFonts w:ascii="Times New Roman" w:cs="Times New Roman" w:eastAsia="Times New Roman" w:hAnsi="Times New Roman"/>
          <w:sz w:val="16"/>
          <w:szCs w:val="16"/>
          <w:color w:val="auto"/>
        </w:rPr>
        <w:t xml:space="preserve"> shall not relieve the Stockholder of its obligations under this Agreement.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52" w:name="page253"/>
    <w:bookmarkEnd w:id="252"/>
    <w:p>
      <w:pPr>
        <w:ind w:left="4" w:right="20" w:firstLine="1143"/>
        <w:spacing w:after="0" w:line="280" w:lineRule="auto"/>
        <w:tabs>
          <w:tab w:leader="none" w:pos="1377" w:val="left"/>
        </w:tabs>
        <w:numPr>
          <w:ilvl w:val="2"/>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applicable Lock-Up Period for the respective Stockholders, any purported Transfer of applicable Lock-Up Shares not in accordance with this Agreement shall be null and void, and Acquiror shall refuse to recognize any such Transfer for any purpose.</w:t>
      </w:r>
    </w:p>
    <w:p>
      <w:pPr>
        <w:spacing w:after="0" w:line="144" w:lineRule="exact"/>
        <w:rPr>
          <w:rFonts w:ascii="Times New Roman" w:cs="Times New Roman" w:eastAsia="Times New Roman" w:hAnsi="Times New Roman"/>
          <w:sz w:val="16"/>
          <w:szCs w:val="16"/>
          <w:color w:val="auto"/>
        </w:rPr>
      </w:pPr>
    </w:p>
    <w:p>
      <w:pPr>
        <w:jc w:val="both"/>
        <w:ind w:left="4" w:right="20" w:firstLine="1143"/>
        <w:spacing w:after="0" w:line="265" w:lineRule="auto"/>
        <w:tabs>
          <w:tab w:leader="none" w:pos="1392" w:val="left"/>
        </w:tabs>
        <w:numPr>
          <w:ilvl w:val="2"/>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Stockholders acknowledge and agree that, notwithstanding anything to the contrary contained in this Agreement, the Lock-Up Shares beneficially owned or otherwise held by such Person shall remain subject to any restrictions on Transfer under applicable securities Laws of any Governmental Entity, including all applicable holding periods under the Securities Act and other rules of the SEC.</w:t>
      </w:r>
    </w:p>
    <w:p>
      <w:pPr>
        <w:spacing w:after="0" w:line="155" w:lineRule="exact"/>
        <w:rPr>
          <w:rFonts w:ascii="Times New Roman" w:cs="Times New Roman" w:eastAsia="Times New Roman" w:hAnsi="Times New Roman"/>
          <w:sz w:val="16"/>
          <w:szCs w:val="16"/>
          <w:color w:val="auto"/>
        </w:rPr>
      </w:pPr>
    </w:p>
    <w:p>
      <w:pPr>
        <w:jc w:val="both"/>
        <w:ind w:left="4" w:right="20" w:firstLine="569"/>
        <w:spacing w:after="0" w:line="265" w:lineRule="auto"/>
        <w:tabs>
          <w:tab w:leader="none" w:pos="745" w:val="left"/>
        </w:tabs>
        <w:numPr>
          <w:ilvl w:val="1"/>
          <w:numId w:val="259"/>
        </w:numPr>
        <w:rPr>
          <w:rFonts w:ascii="Times New Roman" w:cs="Times New Roman" w:eastAsia="Times New Roman" w:hAnsi="Times New Roman"/>
          <w:sz w:val="16"/>
          <w:szCs w:val="16"/>
          <w:u w:val="single" w:color="auto"/>
          <w:color w:val="auto"/>
        </w:rPr>
      </w:pPr>
      <w:r>
        <w:rPr>
          <w:rFonts w:ascii="Times New Roman" w:cs="Times New Roman" w:eastAsia="Times New Roman" w:hAnsi="Times New Roman"/>
          <w:sz w:val="16"/>
          <w:szCs w:val="16"/>
          <w:u w:val="single" w:color="auto"/>
          <w:color w:val="auto"/>
        </w:rPr>
        <w:t>Closing Date Deliverables</w:t>
      </w:r>
      <w:r>
        <w:rPr>
          <w:rFonts w:ascii="Times New Roman" w:cs="Times New Roman" w:eastAsia="Times New Roman" w:hAnsi="Times New Roman"/>
          <w:sz w:val="16"/>
          <w:szCs w:val="16"/>
          <w:color w:val="auto"/>
        </w:rPr>
        <w:t>. On the Closing Date, each Stockholder shall deliver to Acquiror and the Company a duly executed copy of that certain Amended and Restated Registration Rights Agreement, by and among Acquiror, the Company, the Sponsor, and certain of the Company’s stockholders or their respective affiliates, as applicable, in substantially the form attached as Exhibit C to the Merger Agreement.</w:t>
      </w:r>
    </w:p>
    <w:p>
      <w:pPr>
        <w:spacing w:after="0" w:line="155" w:lineRule="exact"/>
        <w:rPr>
          <w:rFonts w:ascii="Times New Roman" w:cs="Times New Roman" w:eastAsia="Times New Roman" w:hAnsi="Times New Roman"/>
          <w:sz w:val="16"/>
          <w:szCs w:val="16"/>
          <w:u w:val="single" w:color="auto"/>
          <w:color w:val="auto"/>
        </w:rPr>
      </w:pPr>
    </w:p>
    <w:p>
      <w:pPr>
        <w:jc w:val="both"/>
        <w:ind w:left="4" w:right="20" w:firstLine="569"/>
        <w:spacing w:after="0" w:line="259" w:lineRule="auto"/>
        <w:tabs>
          <w:tab w:leader="none" w:pos="737" w:val="left"/>
        </w:tabs>
        <w:numPr>
          <w:ilvl w:val="1"/>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Inconsistent Agreements</w:t>
      </w:r>
      <w:r>
        <w:rPr>
          <w:rFonts w:ascii="Times New Roman" w:cs="Times New Roman" w:eastAsia="Times New Roman" w:hAnsi="Times New Roman"/>
          <w:sz w:val="16"/>
          <w:szCs w:val="16"/>
          <w:color w:val="auto"/>
        </w:rPr>
        <w:t>. Each Stockholder hereby covenants and agrees that such Stockholder shall not (i) enter into any voting agreement or voting trust with respect to any of such Stockholder’s Covered Shares that is inconsistent with such Stockholder’s obligations pursuant to this Agreement, (ii) grant a proxy or power of attorney with respect to any of such Stockholder’s Covered Shares that is inconsistent with such Stockholder’s obligations pursuant to this Agreement, or (iii) enter into any agreement or undertaking that is otherwise inconsistent with, or would interfere with, or prohibit or prevent it from satisfying, its obligations pursuant to this Agreement.</w:t>
      </w:r>
    </w:p>
    <w:p>
      <w:pPr>
        <w:spacing w:after="0" w:line="161" w:lineRule="exact"/>
        <w:rPr>
          <w:rFonts w:ascii="Times New Roman" w:cs="Times New Roman" w:eastAsia="Times New Roman" w:hAnsi="Times New Roman"/>
          <w:sz w:val="16"/>
          <w:szCs w:val="16"/>
          <w:color w:val="auto"/>
        </w:rPr>
      </w:pPr>
    </w:p>
    <w:p>
      <w:pPr>
        <w:ind w:left="724" w:hanging="151"/>
        <w:spacing w:after="0"/>
        <w:tabs>
          <w:tab w:leader="none" w:pos="724" w:val="left"/>
        </w:tabs>
        <w:numPr>
          <w:ilvl w:val="1"/>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This Agreement shall terminate upon the earliest of (i) the Effective Time, (ii) the termination of the Merger Agreement in accordance with its terms,</w:t>
      </w:r>
    </w:p>
    <w:p>
      <w:pPr>
        <w:spacing w:after="0" w:line="23" w:lineRule="exact"/>
        <w:rPr>
          <w:rFonts w:ascii="Times New Roman" w:cs="Times New Roman" w:eastAsia="Times New Roman" w:hAnsi="Times New Roman"/>
          <w:sz w:val="16"/>
          <w:szCs w:val="16"/>
          <w:color w:val="auto"/>
        </w:rPr>
      </w:pPr>
    </w:p>
    <w:p>
      <w:pPr>
        <w:jc w:val="both"/>
        <w:ind w:left="4" w:right="20" w:hanging="4"/>
        <w:spacing w:after="0" w:line="250" w:lineRule="auto"/>
        <w:tabs>
          <w:tab w:leader="none" w:pos="307"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time that the Merger Agreement (including any exhibits, schedules or agreements referred to therein) shall be amended, modified or supplemented such that a Stockholder is disproportionately and adversely impacted relative to the other stockholders holding the same class of Company Capital Stock without the prior written consent of the applicable Stockholder, (iv) such time that a provision in the Merger Agreement shall be waived by the Company such that a Stockholder is disproportionately and adversely impacted relative to the other stockholders holding the same class of Company Stock; and (v) the time this Agreement is terminated upon the mutual written agreement of the Company, Acquiror and the Stockholder (the earliest such date under clause (i), (ii), (iii), (iv), and (v) being referred to herein as the “</w:t>
      </w:r>
      <w:r>
        <w:rPr>
          <w:rFonts w:ascii="Times New Roman" w:cs="Times New Roman" w:eastAsia="Times New Roman" w:hAnsi="Times New Roman"/>
          <w:sz w:val="16"/>
          <w:szCs w:val="16"/>
          <w:u w:val="single" w:color="auto"/>
          <w:color w:val="auto"/>
        </w:rPr>
        <w:t>Termination Date</w:t>
      </w:r>
      <w:r>
        <w:rPr>
          <w:rFonts w:ascii="Times New Roman" w:cs="Times New Roman" w:eastAsia="Times New Roman" w:hAnsi="Times New Roman"/>
          <w:sz w:val="16"/>
          <w:szCs w:val="16"/>
          <w:color w:val="auto"/>
        </w:rPr>
        <w:t xml:space="preserve">”) and the representations, warranties, covenants and agreements contained in this Agreement and in any certificate or other writing delivered pursuant hereto shall not survive the Closing or the termination of this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provisions set forth in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Sections 11</w:t>
      </w:r>
      <w:r>
        <w:rPr>
          <w:rFonts w:ascii="Times New Roman" w:cs="Times New Roman" w:eastAsia="Times New Roman" w:hAnsi="Times New Roman"/>
          <w:sz w:val="16"/>
          <w:szCs w:val="16"/>
          <w:color w:val="auto"/>
        </w:rPr>
        <w:t xml:space="preserve"> through </w:t>
      </w:r>
      <w:r>
        <w:rPr>
          <w:rFonts w:ascii="Times New Roman" w:cs="Times New Roman" w:eastAsia="Times New Roman" w:hAnsi="Times New Roman"/>
          <w:sz w:val="16"/>
          <w:szCs w:val="16"/>
          <w:u w:val="single" w:color="auto"/>
          <w:color w:val="auto"/>
        </w:rPr>
        <w:t>22</w:t>
      </w:r>
      <w:r>
        <w:rPr>
          <w:rFonts w:ascii="Times New Roman" w:cs="Times New Roman" w:eastAsia="Times New Roman" w:hAnsi="Times New Roman"/>
          <w:sz w:val="16"/>
          <w:szCs w:val="16"/>
          <w:color w:val="auto"/>
        </w:rPr>
        <w:t xml:space="preserve"> shall survive the termination of this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the termination of this Agreement shall not relieve any Party from liability arising from any actual fraud in respect of this Agreement prior to such termination.</w:t>
      </w:r>
    </w:p>
    <w:p>
      <w:pPr>
        <w:spacing w:after="0" w:line="170" w:lineRule="exact"/>
        <w:rPr>
          <w:rFonts w:ascii="Times New Roman" w:cs="Times New Roman" w:eastAsia="Times New Roman" w:hAnsi="Times New Roman"/>
          <w:sz w:val="16"/>
          <w:szCs w:val="16"/>
          <w:color w:val="auto"/>
        </w:rPr>
      </w:pPr>
    </w:p>
    <w:p>
      <w:pPr>
        <w:ind w:left="724" w:hanging="151"/>
        <w:spacing w:after="0"/>
        <w:tabs>
          <w:tab w:leader="none" w:pos="724" w:val="left"/>
        </w:tabs>
        <w:numPr>
          <w:ilvl w:val="1"/>
          <w:numId w:val="2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Representations and Warranties of the Stockholders</w:t>
      </w:r>
      <w:r>
        <w:rPr>
          <w:rFonts w:ascii="Times New Roman" w:cs="Times New Roman" w:eastAsia="Times New Roman" w:hAnsi="Times New Roman"/>
          <w:sz w:val="15"/>
          <w:szCs w:val="15"/>
          <w:color w:val="auto"/>
        </w:rPr>
        <w:t>. Each Stockholder hereby represents and warrants (severally, and not jointly, as to itself only) to the Acquiror as</w:t>
      </w:r>
    </w:p>
    <w:p>
      <w:pPr>
        <w:spacing w:after="0" w:line="35" w:lineRule="exact"/>
        <w:rPr>
          <w:rFonts w:ascii="Times New Roman" w:cs="Times New Roman" w:eastAsia="Times New Roman" w:hAnsi="Times New Roman"/>
          <w:sz w:val="15"/>
          <w:szCs w:val="15"/>
          <w:color w:val="auto"/>
        </w:rPr>
      </w:pPr>
    </w:p>
    <w:p>
      <w:pPr>
        <w:ind w:left="4"/>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follows:</w:t>
      </w:r>
    </w:p>
    <w:p>
      <w:pPr>
        <w:spacing w:after="0" w:line="181" w:lineRule="exact"/>
        <w:rPr>
          <w:rFonts w:ascii="Times New Roman" w:cs="Times New Roman" w:eastAsia="Times New Roman" w:hAnsi="Times New Roman"/>
          <w:sz w:val="15"/>
          <w:szCs w:val="15"/>
          <w:color w:val="auto"/>
        </w:rPr>
      </w:pPr>
    </w:p>
    <w:p>
      <w:pPr>
        <w:jc w:val="both"/>
        <w:ind w:left="4" w:right="20" w:firstLine="1143"/>
        <w:spacing w:after="0" w:line="257" w:lineRule="auto"/>
        <w:tabs>
          <w:tab w:leader="none" w:pos="1374" w:val="left"/>
        </w:tabs>
        <w:numPr>
          <w:ilvl w:val="2"/>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Stockholder is the sole beneficial owner (within the meaning of Rule 13d-3 under the Exchange Act) of, and has good, valid and marketable title to or has a valid proxy to vote such Stockholder’s Covered Shares, free and clear of any Liens (other than as created by this Agreement or the organizational documents of the Company (including, for the purposes hereof, any agreements between or among stockholders of the Company). As of the date hereof, other than the Owned Shares set forth opposite such Stockholder’s name on Schedule 1, such Stockholder does not own beneficially or of record any shares of Company Common Stock or Company Preferred Stock (or any securities convertible into shares of Company Common Stock or Company Preferred Stock) or any interest therein.</w:t>
      </w:r>
    </w:p>
    <w:p>
      <w:pPr>
        <w:spacing w:after="0" w:line="35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253" w:name="page254"/>
    <w:bookmarkEnd w:id="253"/>
    <w:p>
      <w:pPr>
        <w:jc w:val="both"/>
        <w:ind w:left="4" w:firstLine="1143"/>
        <w:spacing w:after="0" w:line="271" w:lineRule="auto"/>
        <w:tabs>
          <w:tab w:leader="none" w:pos="1379" w:val="left"/>
        </w:tabs>
        <w:numPr>
          <w:ilvl w:val="1"/>
          <w:numId w:val="2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Stockholder, in each case except as provided in this Agreement, the Investment Agreements or the governing documents of the Company, (i) has full voting power, full power of disposition and full power to issue instructions with respect to the matters set forth herein whether by ownership or by proxy, in each case, with respect to such Stockholder’s Covered Shares, (ii) has not entered into any voting agreement or voting trust, and has no knowledge and is not aware of any such voting agreement or voting trust in effect with respect to any of such Stockholder’s Covered Shares that is inconsistent with such Stockholder’s obligations pursuant to this Agreement,</w:t>
      </w:r>
    </w:p>
    <w:p>
      <w:pPr>
        <w:spacing w:after="0" w:line="2" w:lineRule="exact"/>
        <w:rPr>
          <w:rFonts w:ascii="Times New Roman" w:cs="Times New Roman" w:eastAsia="Times New Roman" w:hAnsi="Times New Roman"/>
          <w:sz w:val="15"/>
          <w:szCs w:val="15"/>
          <w:color w:val="auto"/>
        </w:rPr>
      </w:pPr>
    </w:p>
    <w:p>
      <w:pPr>
        <w:jc w:val="both"/>
        <w:ind w:left="4" w:hanging="4"/>
        <w:spacing w:after="0" w:line="252" w:lineRule="auto"/>
        <w:tabs>
          <w:tab w:leader="none" w:pos="287" w:val="left"/>
        </w:tabs>
        <w:numPr>
          <w:ilvl w:val="0"/>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has not granted a proxy or power of attorney with respect to any of such Stockholder’s Covered Shares that is inconsistent with such Stockholder’s obligations pursuant to this Agreement, and has no knowledge and is not aware of any such proxy or power of attorney in effect, and (iv) has not entered into any agreement or undertaking that is otherwise inconsistent with, or would interfere with, or prohibit or prevent it from satisfying, its obligations pursuant to this Agreement, and has no knowledge and is not aware of any such agreement or undertaking.</w:t>
      </w:r>
    </w:p>
    <w:p>
      <w:pPr>
        <w:spacing w:after="0" w:line="166" w:lineRule="exact"/>
        <w:rPr>
          <w:rFonts w:ascii="Times New Roman" w:cs="Times New Roman" w:eastAsia="Times New Roman" w:hAnsi="Times New Roman"/>
          <w:sz w:val="16"/>
          <w:szCs w:val="16"/>
          <w:color w:val="auto"/>
        </w:rPr>
      </w:pPr>
    </w:p>
    <w:p>
      <w:pPr>
        <w:jc w:val="both"/>
        <w:ind w:left="4" w:firstLine="1143"/>
        <w:spacing w:after="0" w:line="253" w:lineRule="auto"/>
        <w:tabs>
          <w:tab w:leader="none" w:pos="1391" w:val="left"/>
        </w:tabs>
        <w:numPr>
          <w:ilvl w:val="1"/>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Stockholder affirms that (i) if the Stockholder is a natural person, he or she has all the requisite power and authority and has taken all action necessary in order to execute and deliver this Agreement, to perform his or her obligations hereunder and to consummate the transaction contemplated hereby, and (ii) if the Stockholder is not a natural person, (A) is a legal entity duly organized, validly existing and, to the extent such concept is applicable, in good standing under the Laws of the jurisdiction of its organization, and (B) has all requisite corporate or other power and authority and has taken all corporate or other action necessary in order to, execute, deliver and perform its obligations under this Agreement and to consummate the transactions contemplated hereby. This Agreement has been duly executed and delivered by such Stockholder and, subject to the due execution and delivery of this Agreement by each other Party hereto, constitutes a legally valid and binding agreement of such Stockholder enforceable against the Stockholder in accordance with the terms hereof (except as enforceability may be limited by bankruptcy Laws or other similar Laws affecting creditors’ rights and general principles of equity affecting the availability of specific performance and other equitable remedies).</w:t>
      </w:r>
    </w:p>
    <w:p>
      <w:pPr>
        <w:spacing w:after="0" w:line="169" w:lineRule="exact"/>
        <w:rPr>
          <w:rFonts w:ascii="Times New Roman" w:cs="Times New Roman" w:eastAsia="Times New Roman" w:hAnsi="Times New Roman"/>
          <w:sz w:val="16"/>
          <w:szCs w:val="16"/>
          <w:color w:val="auto"/>
        </w:rPr>
      </w:pPr>
    </w:p>
    <w:p>
      <w:pPr>
        <w:jc w:val="both"/>
        <w:ind w:left="4" w:right="20" w:firstLine="1143"/>
        <w:spacing w:after="0" w:line="259" w:lineRule="auto"/>
        <w:tabs>
          <w:tab w:leader="none" w:pos="1391" w:val="left"/>
        </w:tabs>
        <w:numPr>
          <w:ilvl w:val="1"/>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the filings, notices and reports pursuant to, in compliance with or required to be made under the Exchange Act, no filings, notices, reports, consents, registrations, approvals, permits, waivers, expirations of waiting periods or authorizations are required to be obtained by such Stockholder from, or to be given by such Stockholder to, or be made by such Stockholder with, any Governmental Authority in connection with the execution, delivery and performance by such Stockholder of this Agreement, the consummation of the transactions contemplated hereby or the Mergers or the other transactions contemplated by the Merger Agreement.</w:t>
      </w:r>
    </w:p>
    <w:p>
      <w:pPr>
        <w:spacing w:after="0" w:line="35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254" w:name="page255"/>
    <w:bookmarkEnd w:id="254"/>
    <w:p>
      <w:pPr>
        <w:jc w:val="both"/>
        <w:ind w:firstLine="1143"/>
        <w:spacing w:after="0" w:line="252" w:lineRule="auto"/>
        <w:tabs>
          <w:tab w:leader="none" w:pos="1367" w:val="left"/>
        </w:tabs>
        <w:numPr>
          <w:ilvl w:val="0"/>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execution, delivery and performance of this Agreement by such Stockholder does not, and the consummation of the transactions contemplated hereby and the Mergers and the other transactions contemplated by the Merger Agreement will not, constitute or result in (i) a breach or violation of, or a default under, the governing documents of such Stockholder (if such Stockholder is not a natural person), (ii) with or without notice, lapse of time or both, a breach or violation of, a termination (or right of termination) of or a default under, the loss of any benefit under, the creation, modification or acceleration of any obligations under or the creation of a Lien on any of the properties, rights or assets of such Stockholder pursuant to any Contract binding upon such Stockholder or, assuming (solely with respect to performance of this Agreement and the transactions contemplated hereby) compliance with the matters referred to in </w:t>
      </w:r>
      <w:r>
        <w:rPr>
          <w:rFonts w:ascii="Times New Roman" w:cs="Times New Roman" w:eastAsia="Times New Roman" w:hAnsi="Times New Roman"/>
          <w:sz w:val="16"/>
          <w:szCs w:val="16"/>
          <w:u w:val="single" w:color="auto"/>
          <w:color w:val="auto"/>
        </w:rPr>
        <w:t>Section 6(d)</w:t>
      </w:r>
      <w:r>
        <w:rPr>
          <w:rFonts w:ascii="Times New Roman" w:cs="Times New Roman" w:eastAsia="Times New Roman" w:hAnsi="Times New Roman"/>
          <w:sz w:val="16"/>
          <w:szCs w:val="16"/>
          <w:color w:val="auto"/>
        </w:rPr>
        <w:t>, under any applicable Law to which such Stockholder is subject or (iii) any change in the rights or obligations of any party under any Contract legally binding upon such Stockholder, except, in the case of clause (ii) or (iii) directly above, for any such breach, violation, termination, default, creation, acceleration or change that would not, individually or in the aggregate, reasonably be expected to prevent or materially delay or impair such Stockholder’s ability to perform its obligations hereunder or to consummate the transactions contemplated hereby, the consummation of the Mergers or the other transactions contemplated by the Merger Agreement.</w:t>
      </w:r>
    </w:p>
    <w:p>
      <w:pPr>
        <w:spacing w:after="0" w:line="171"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79" w:val="left"/>
        </w:tabs>
        <w:numPr>
          <w:ilvl w:val="0"/>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date of this Agreement, there is no action, proceeding or investigation pending against such Stockholder or, to the knowledge of such Stockholder, threatened against such Stockholder that, in any manner, questions the beneficial or record ownership of the Stockholder’s Covered Shares or the validity of this Agreement, or challenges or seeks to prevent, enjoin or materially delay the performance by such Stockholder of its obligations under this Agreement.</w:t>
      </w:r>
    </w:p>
    <w:p>
      <w:pPr>
        <w:spacing w:after="0" w:line="155" w:lineRule="exact"/>
        <w:rPr>
          <w:rFonts w:ascii="Times New Roman" w:cs="Times New Roman" w:eastAsia="Times New Roman" w:hAnsi="Times New Roman"/>
          <w:sz w:val="16"/>
          <w:szCs w:val="16"/>
          <w:color w:val="auto"/>
        </w:rPr>
      </w:pPr>
    </w:p>
    <w:p>
      <w:pPr>
        <w:jc w:val="both"/>
        <w:ind w:firstLine="1143"/>
        <w:spacing w:after="0" w:line="255" w:lineRule="auto"/>
        <w:tabs>
          <w:tab w:leader="none" w:pos="1404" w:val="left"/>
        </w:tabs>
        <w:numPr>
          <w:ilvl w:val="0"/>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Stockholder is a sophisticated stockholder and has adequate information concerning the business and financial condition of Acquiror and the Company to make an informed decision regarding this Agreement and the other transactions contemplated by the Merger Agreement and has independently, based on such information as the Stockholder has deemed appropriate, made its own analysis and decision to enter into this Agreement. The Stockholder acknowledges that Acquiror and the Company have not made and do not make any representation or warranty, whether express or implied, of any kind or character except as expressly set forth in this Agreement. The Stockholder acknowledges receipt and review of a copy of the Merger Agreement and that the agreements contained herein with respect to the Covered Shares held by the Stockholder are irrevocable.</w:t>
      </w:r>
    </w:p>
    <w:p>
      <w:pPr>
        <w:spacing w:after="0" w:line="165" w:lineRule="exact"/>
        <w:rPr>
          <w:rFonts w:ascii="Times New Roman" w:cs="Times New Roman" w:eastAsia="Times New Roman" w:hAnsi="Times New Roman"/>
          <w:sz w:val="16"/>
          <w:szCs w:val="16"/>
          <w:color w:val="auto"/>
        </w:rPr>
      </w:pPr>
    </w:p>
    <w:p>
      <w:pPr>
        <w:ind w:firstLine="1143"/>
        <w:spacing w:after="0" w:line="280" w:lineRule="auto"/>
        <w:tabs>
          <w:tab w:leader="none" w:pos="1379" w:val="left"/>
        </w:tabs>
        <w:numPr>
          <w:ilvl w:val="0"/>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Stockholder understands and acknowledges that Acquiror is entering into the Merger Agreement in reliance upon such Stockholder’s execution and delivery of this Agreement and the representations, warranties, covenants and other agreements of such Stockholder contained herein.</w:t>
      </w:r>
    </w:p>
    <w:p>
      <w:pPr>
        <w:spacing w:after="0" w:line="144"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47" w:val="left"/>
        </w:tabs>
        <w:numPr>
          <w:ilvl w:val="0"/>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investment banker, broker, finder or other intermediary is entitled to any broker’s, finder’s, financial advisor’s or other similar fee or commission for which Acquiror or the Company is or could be liable in connection with the Merger Agreement or this Agreement or any of the respective transactions contemplated hereby or thereby, in each case based upon arrangements made by such Stockholder in his, her or its capacity as a stockholder or, to the knowledge of such Stockholder, on behalf of such Stockholder in his, her or its capacity as a stockholder.</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55" w:name="page256"/>
    <w:bookmarkEnd w:id="255"/>
    <w:p>
      <w:pPr>
        <w:ind w:right="20" w:firstLine="569"/>
        <w:spacing w:after="0" w:line="280" w:lineRule="auto"/>
        <w:tabs>
          <w:tab w:leader="none" w:pos="757" w:val="left"/>
        </w:tabs>
        <w:numPr>
          <w:ilvl w:val="0"/>
          <w:numId w:val="2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Certain Covenants of the Stockholders</w:t>
      </w:r>
      <w:r>
        <w:rPr>
          <w:rFonts w:ascii="Times New Roman" w:cs="Times New Roman" w:eastAsia="Times New Roman" w:hAnsi="Times New Roman"/>
          <w:sz w:val="16"/>
          <w:szCs w:val="16"/>
          <w:color w:val="auto"/>
        </w:rPr>
        <w:t>. Other than in accordance with the other terms of this Agreement, each Stockholder severally and not jointly, hereby covenants and agrees as follows:</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53" w:lineRule="auto"/>
        <w:tabs>
          <w:tab w:leader="none" w:pos="1372" w:val="left"/>
        </w:tabs>
        <w:numPr>
          <w:ilvl w:val="1"/>
          <w:numId w:val="2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w:t>
      </w:r>
      <w:r>
        <w:rPr>
          <w:rFonts w:ascii="Times New Roman" w:cs="Times New Roman" w:eastAsia="Times New Roman" w:hAnsi="Times New Roman"/>
          <w:sz w:val="16"/>
          <w:szCs w:val="16"/>
          <w:u w:val="single" w:color="auto"/>
          <w:color w:val="auto"/>
        </w:rPr>
        <w:t>Section 8</w:t>
      </w:r>
      <w:r>
        <w:rPr>
          <w:rFonts w:ascii="Times New Roman" w:cs="Times New Roman" w:eastAsia="Times New Roman" w:hAnsi="Times New Roman"/>
          <w:sz w:val="16"/>
          <w:szCs w:val="16"/>
          <w:color w:val="auto"/>
        </w:rPr>
        <w:t xml:space="preserve"> hereof, prior to the Termination Date, the Stockholder shall not, directly or indirectly, (i) initiate, solicit or knowingly encourage or knowingly facilitate any inquiries or requests for information with respect to, or the making of, any inquiry regarding, or any proposal or offer that constitutes, or could reasonably be expected to result in or lead to, any Company Acquisition Proposal, (ii) engage in, continue or otherwise participate in any negotiations or discussions concerning, or provide access to its properties, books and records or any confidential information or data to, any Person relating to any proposal, offer, inquiry or request for information that constitutes, or could reasonably be expected to result in or lead to, any Company Acquisition Proposal, (iii) approve, endorse or recommend, or propose publicly to approve, endorse or recommend, any Company Acquisition Proposal or (iv) execute or enter into, any letter of intent, memorandum of understanding, agreement in principle, confidentiality agreement, merger agreement, acquisition agreement, exchange agreement, joint venture agreement, partnership agreement, option agreement or other similar agreement for or relating to any Company Acquisition Proposal.</w:t>
      </w:r>
    </w:p>
    <w:p>
      <w:pPr>
        <w:spacing w:after="0" w:line="169"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Notwithstanding anything in this Agreement to the contrary, (i) such Stockholder shall not be responsible for the actions of the Company or the Board of Directors of the Company (or any committee thereof), any subsidiary of the Company, or any officers, directors (in their capacity as such), employees and professional advisors of any of the foregoing (collectively, the “</w:t>
      </w:r>
      <w:r>
        <w:rPr>
          <w:rFonts w:ascii="Times New Roman" w:cs="Times New Roman" w:eastAsia="Times New Roman" w:hAnsi="Times New Roman"/>
          <w:sz w:val="16"/>
          <w:szCs w:val="16"/>
          <w:u w:val="single" w:color="auto"/>
          <w:color w:val="auto"/>
        </w:rPr>
        <w:t>Company Related Parties</w:t>
      </w:r>
      <w:r>
        <w:rPr>
          <w:rFonts w:ascii="Times New Roman" w:cs="Times New Roman" w:eastAsia="Times New Roman" w:hAnsi="Times New Roman"/>
          <w:sz w:val="16"/>
          <w:szCs w:val="16"/>
          <w:color w:val="auto"/>
        </w:rPr>
        <w:t xml:space="preserve">”), (ii) such Stockholder makes no representations or warranties with respect to the actions of any of the Company Related Parties, and (iii) any breach by the Company of its obligations under Section 6.06 of the Merger Agreement shall not be considered a breach of this </w:t>
      </w:r>
      <w:r>
        <w:rPr>
          <w:rFonts w:ascii="Times New Roman" w:cs="Times New Roman" w:eastAsia="Times New Roman" w:hAnsi="Times New Roman"/>
          <w:sz w:val="16"/>
          <w:szCs w:val="16"/>
          <w:u w:val="single" w:color="auto"/>
          <w:color w:val="auto"/>
        </w:rPr>
        <w:t>Section 7(a)</w:t>
      </w:r>
      <w:r>
        <w:rPr>
          <w:rFonts w:ascii="Times New Roman" w:cs="Times New Roman" w:eastAsia="Times New Roman" w:hAnsi="Times New Roman"/>
          <w:sz w:val="16"/>
          <w:szCs w:val="16"/>
          <w:color w:val="auto"/>
        </w:rPr>
        <w:t xml:space="preserve"> (it being understood that, for the avoidance of doubt, such Stockholder or his, her or its representatives (other than any such representative that is a Company Related Party) shall remain responsible for any breach by such Stockholder or his, her or its representatives of this </w:t>
      </w:r>
      <w:r>
        <w:rPr>
          <w:rFonts w:ascii="Times New Roman" w:cs="Times New Roman" w:eastAsia="Times New Roman" w:hAnsi="Times New Roman"/>
          <w:sz w:val="16"/>
          <w:szCs w:val="16"/>
          <w:u w:val="single" w:color="auto"/>
          <w:color w:val="auto"/>
        </w:rPr>
        <w:t>Section 7(a)</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jc w:val="both"/>
        <w:ind w:firstLine="1143"/>
        <w:spacing w:after="0" w:line="253" w:lineRule="auto"/>
        <w:tabs>
          <w:tab w:leader="none" w:pos="1398" w:val="left"/>
        </w:tabs>
        <w:numPr>
          <w:ilvl w:val="0"/>
          <w:numId w:val="2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Stockholder hereby irrevocably and unconditionally agrees, prior to the Termination Date, not to (except in each case pursuant to the Merger Agreement), (i) directly or indirectly, (A) Transfer, or (B) enter into any Contract or option with respect to the Transfer of, any of such Stockholder’s Covered Shares, or (ii) publicly announce any intention to effect any transaction specified in clause (A) or (B), or (iii) take any action that would make any representation or warranty of such Stockholder contained herein untrue or incorrect or have the effect of preventing or disabling such Stockholder from performing its obligations under this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nothing herein shall prohibit a Transfer to an Affiliate of the Stockholder or to another Stockholder of the Company that becomes a party to this Agreement and bound by the terms and obligations hereof (a “</w:t>
      </w:r>
      <w:r>
        <w:rPr>
          <w:rFonts w:ascii="Times New Roman" w:cs="Times New Roman" w:eastAsia="Times New Roman" w:hAnsi="Times New Roman"/>
          <w:sz w:val="16"/>
          <w:szCs w:val="16"/>
          <w:u w:val="single" w:color="auto"/>
          <w:color w:val="auto"/>
        </w:rPr>
        <w:t>Permitted Transfer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xml:space="preserve">, that any Permitted Transfer shall be permitted only if, as a precondition to such Transfer, the transferee agrees in a writing, reasonably satisfactory in form and substance to Acquiror, to assume all of the obligations of the Stockholder under, and be bound by all of the terms of, this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xml:space="preserve">, that any Transfer permitted under this </w:t>
      </w:r>
      <w:r>
        <w:rPr>
          <w:rFonts w:ascii="Times New Roman" w:cs="Times New Roman" w:eastAsia="Times New Roman" w:hAnsi="Times New Roman"/>
          <w:sz w:val="16"/>
          <w:szCs w:val="16"/>
          <w:u w:val="single" w:color="auto"/>
          <w:color w:val="auto"/>
        </w:rPr>
        <w:t>Section 7(b)</w:t>
      </w:r>
      <w:r>
        <w:rPr>
          <w:rFonts w:ascii="Times New Roman" w:cs="Times New Roman" w:eastAsia="Times New Roman" w:hAnsi="Times New Roman"/>
          <w:sz w:val="16"/>
          <w:szCs w:val="16"/>
          <w:color w:val="auto"/>
        </w:rPr>
        <w:t xml:space="preserve"> shall not relieve the Stockholder of its obligations under this Agreement. Any Transfer in violation of this </w:t>
      </w:r>
      <w:r>
        <w:rPr>
          <w:rFonts w:ascii="Times New Roman" w:cs="Times New Roman" w:eastAsia="Times New Roman" w:hAnsi="Times New Roman"/>
          <w:sz w:val="16"/>
          <w:szCs w:val="16"/>
          <w:u w:val="single" w:color="auto"/>
          <w:color w:val="auto"/>
        </w:rPr>
        <w:t>Section 7(b)</w:t>
      </w:r>
      <w:r>
        <w:rPr>
          <w:rFonts w:ascii="Times New Roman" w:cs="Times New Roman" w:eastAsia="Times New Roman" w:hAnsi="Times New Roman"/>
          <w:sz w:val="16"/>
          <w:szCs w:val="16"/>
          <w:color w:val="auto"/>
        </w:rPr>
        <w:t xml:space="preserve"> with respect to the Stockholder’s Covered Shares shall be null and void.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56" w:name="page257"/>
    <w:bookmarkEnd w:id="256"/>
    <w:p>
      <w:pPr>
        <w:ind w:left="1140"/>
        <w:spacing w:after="0"/>
        <w:rPr>
          <w:sz w:val="20"/>
          <w:szCs w:val="20"/>
          <w:color w:val="auto"/>
        </w:rPr>
      </w:pPr>
      <w:r>
        <w:rPr>
          <w:rFonts w:ascii="Times New Roman" w:cs="Times New Roman" w:eastAsia="Times New Roman" w:hAnsi="Times New Roman"/>
          <w:sz w:val="16"/>
          <w:szCs w:val="16"/>
          <w:color w:val="auto"/>
        </w:rPr>
        <w:t>(c) Each Stockholder hereby authorizes the Company to maintain a copy of this Agreement at either the executive office or the registered office of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w:t>
      </w:r>
    </w:p>
    <w:p>
      <w:pPr>
        <w:spacing w:after="0" w:line="182" w:lineRule="exact"/>
        <w:rPr>
          <w:sz w:val="20"/>
          <w:szCs w:val="20"/>
          <w:color w:val="auto"/>
        </w:rPr>
      </w:pPr>
    </w:p>
    <w:p>
      <w:pPr>
        <w:jc w:val="both"/>
        <w:ind w:firstLine="569"/>
        <w:spacing w:after="0" w:line="253" w:lineRule="auto"/>
        <w:tabs>
          <w:tab w:leader="none" w:pos="733" w:val="left"/>
        </w:tabs>
        <w:numPr>
          <w:ilvl w:val="0"/>
          <w:numId w:val="2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Further Assurances</w:t>
      </w:r>
      <w:r>
        <w:rPr>
          <w:rFonts w:ascii="Times New Roman" w:cs="Times New Roman" w:eastAsia="Times New Roman" w:hAnsi="Times New Roman"/>
          <w:sz w:val="16"/>
          <w:szCs w:val="16"/>
          <w:color w:val="auto"/>
        </w:rPr>
        <w:t>. Hereafter until the Termination Date, at Acquiror’s request and without further consideration, each Stockholder shall execute and deliver such additional documents and take all such further action as may be reasonably necessary or reasonably requested to consummate the transactions contemplated by the Merger Agreement and the Ancillary Agreements. Each Stockholder further agrees not to commence or participate in, and to take all actions necessary to opt out of any class in any class action with respect to, any action or claim, derivative or otherwise, against Acquiror, Acquiror’s Affiliates, the Sponsor, the Company or any of their respective successors and assigns relating to the negotiation, execution or delivery of this Agreement, the Merger Agreement or the consummation of the transactions contemplated hereby and thereby and hereby waives its appraisal or dissenter’s right. Notwithstanding the foregoing, nothing herein shall be deemed to prohibit the Stockholders from enforcing the Stockholders’ rights under this Agreement and the other Agreements entered into by a Stockholder in connection herewith, including the Stockholder’s right to receive the consideration as provided in the Merger Agreement.</w:t>
      </w:r>
    </w:p>
    <w:p>
      <w:pPr>
        <w:spacing w:after="0" w:line="169" w:lineRule="exact"/>
        <w:rPr>
          <w:rFonts w:ascii="Times New Roman" w:cs="Times New Roman" w:eastAsia="Times New Roman" w:hAnsi="Times New Roman"/>
          <w:sz w:val="16"/>
          <w:szCs w:val="16"/>
          <w:color w:val="auto"/>
        </w:rPr>
      </w:pPr>
    </w:p>
    <w:p>
      <w:pPr>
        <w:jc w:val="both"/>
        <w:ind w:right="20" w:firstLine="569"/>
        <w:spacing w:after="0" w:line="265" w:lineRule="auto"/>
        <w:tabs>
          <w:tab w:leader="none" w:pos="745" w:val="left"/>
        </w:tabs>
        <w:numPr>
          <w:ilvl w:val="0"/>
          <w:numId w:val="2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Disclosure</w:t>
      </w:r>
      <w:r>
        <w:rPr>
          <w:rFonts w:ascii="Times New Roman" w:cs="Times New Roman" w:eastAsia="Times New Roman" w:hAnsi="Times New Roman"/>
          <w:sz w:val="16"/>
          <w:szCs w:val="16"/>
          <w:color w:val="auto"/>
        </w:rPr>
        <w:t>. Such Stockholder hereby authorizes the Company and Acquiror to publish and disclose in any announcement or disclosure required by the SEC (but only to the extent such disclosure is required under applicable Law) such Stockholder’s identity and ownership of the Covered Shares and the nature of such Stockholder’s obligations under this Agreement.</w:t>
      </w:r>
    </w:p>
    <w:p>
      <w:pPr>
        <w:spacing w:after="0" w:line="155" w:lineRule="exact"/>
        <w:rPr>
          <w:rFonts w:ascii="Times New Roman" w:cs="Times New Roman" w:eastAsia="Times New Roman" w:hAnsi="Times New Roman"/>
          <w:sz w:val="16"/>
          <w:szCs w:val="16"/>
          <w:color w:val="auto"/>
        </w:rPr>
      </w:pPr>
    </w:p>
    <w:p>
      <w:pPr>
        <w:jc w:val="both"/>
        <w:ind w:firstLine="569"/>
        <w:spacing w:after="0" w:line="255" w:lineRule="auto"/>
        <w:tabs>
          <w:tab w:leader="none" w:pos="824" w:val="left"/>
        </w:tabs>
        <w:numPr>
          <w:ilvl w:val="0"/>
          <w:numId w:val="2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Changes in Company Capital Stock</w:t>
      </w:r>
      <w:r>
        <w:rPr>
          <w:rFonts w:ascii="Times New Roman" w:cs="Times New Roman" w:eastAsia="Times New Roman" w:hAnsi="Times New Roman"/>
          <w:sz w:val="16"/>
          <w:szCs w:val="16"/>
          <w:color w:val="auto"/>
        </w:rPr>
        <w:t>. In the event (i) of a stock split, stock dividend or distribution, or any change in Company Common Stock or Company Preferred Stock by reason of any split-up, reverse stock split, recapitalization, combination, reclassification, exchange of shares or the like, (ii) the Stockholder purchases or otherwise acquires beneficial ownership of any Company Common Stock or Company Preferred Stock or (iii) the Stockholder acquires the right to vote or share in the voting of any Company Common Stock or Company Preferred Stock, the terms “Owned Shares” and “Covered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165" w:lineRule="exact"/>
        <w:rPr>
          <w:rFonts w:ascii="Times New Roman" w:cs="Times New Roman" w:eastAsia="Times New Roman" w:hAnsi="Times New Roman"/>
          <w:sz w:val="16"/>
          <w:szCs w:val="16"/>
          <w:color w:val="auto"/>
        </w:rPr>
      </w:pPr>
    </w:p>
    <w:p>
      <w:pPr>
        <w:ind w:right="20" w:firstLine="569"/>
        <w:spacing w:after="0" w:line="280" w:lineRule="auto"/>
        <w:tabs>
          <w:tab w:leader="none" w:pos="806" w:val="left"/>
        </w:tabs>
        <w:numPr>
          <w:ilvl w:val="0"/>
          <w:numId w:val="2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 and Modification</w:t>
      </w:r>
      <w:r>
        <w:rPr>
          <w:rFonts w:ascii="Times New Roman" w:cs="Times New Roman" w:eastAsia="Times New Roman" w:hAnsi="Times New Roman"/>
          <w:sz w:val="16"/>
          <w:szCs w:val="16"/>
          <w:color w:val="auto"/>
        </w:rPr>
        <w:t>. This Agreement may not be amended, modified or supplemented in any manner, whether by course of conduct or otherwise, except by an instrument in writing signed by Acquiror, the Company and the applicable Stockholder.</w:t>
      </w:r>
    </w:p>
    <w:p>
      <w:pPr>
        <w:spacing w:after="0" w:line="144" w:lineRule="exact"/>
        <w:rPr>
          <w:rFonts w:ascii="Times New Roman" w:cs="Times New Roman" w:eastAsia="Times New Roman" w:hAnsi="Times New Roman"/>
          <w:sz w:val="16"/>
          <w:szCs w:val="16"/>
          <w:color w:val="auto"/>
        </w:rPr>
      </w:pPr>
    </w:p>
    <w:p>
      <w:pPr>
        <w:jc w:val="both"/>
        <w:ind w:firstLine="569"/>
        <w:spacing w:after="0" w:line="259" w:lineRule="auto"/>
        <w:tabs>
          <w:tab w:leader="none" w:pos="812" w:val="left"/>
        </w:tabs>
        <w:numPr>
          <w:ilvl w:val="0"/>
          <w:numId w:val="2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Waiver</w:t>
      </w:r>
      <w:r>
        <w:rPr>
          <w:rFonts w:ascii="Times New Roman" w:cs="Times New Roman" w:eastAsia="Times New Roman" w:hAnsi="Times New Roman"/>
          <w:sz w:val="16"/>
          <w:szCs w:val="16"/>
          <w:color w:val="auto"/>
        </w:rPr>
        <w:t>. No failure or delay by any Party exercising any right, power or privilege hereunder shall operate as a waiver thereof nor shall any single or partial exercise thereof preclude any other or further exercise thereof or the exercise of any other right, power or privilege. The rights and remedies of the Parties hereto hereunder are cumulative and are not exclusive of any rights or remedies which they would otherwise have hereunder. Any agreement on the part of a Party hereto to any such waiver shall be valid only if set forth in a written instrument executed and delivered by such Party.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57" w:name="page258"/>
    <w:bookmarkEnd w:id="257"/>
    <w:p>
      <w:pPr>
        <w:jc w:val="both"/>
        <w:ind w:firstLine="569"/>
        <w:spacing w:after="0" w:line="265" w:lineRule="auto"/>
        <w:tabs>
          <w:tab w:leader="none" w:pos="824" w:val="left"/>
        </w:tabs>
        <w:numPr>
          <w:ilvl w:val="0"/>
          <w:numId w:val="2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xml:space="preserve">. All notices and other communications hereunder shall be in writing and shall be deemed given if delivered personally, by email (with confirmation of receipt) or sent by a nationally recognized overnight courier service, such as Federal Express, to the Parties hereto at the following addresses (or at such other address for a Party as shall be specified by like notice made pursuant to this </w:t>
      </w:r>
      <w:r>
        <w:rPr>
          <w:rFonts w:ascii="Times New Roman" w:cs="Times New Roman" w:eastAsia="Times New Roman" w:hAnsi="Times New Roman"/>
          <w:sz w:val="16"/>
          <w:szCs w:val="16"/>
          <w:u w:val="single" w:color="auto"/>
          <w:color w:val="auto"/>
        </w:rPr>
        <w:t>Section 13</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ind w:left="1720" w:right="20"/>
        <w:spacing w:after="0" w:line="280" w:lineRule="auto"/>
        <w:rPr>
          <w:sz w:val="20"/>
          <w:szCs w:val="20"/>
          <w:color w:val="auto"/>
        </w:rPr>
      </w:pPr>
      <w:r>
        <w:rPr>
          <w:rFonts w:ascii="Times New Roman" w:cs="Times New Roman" w:eastAsia="Times New Roman" w:hAnsi="Times New Roman"/>
          <w:sz w:val="16"/>
          <w:szCs w:val="16"/>
          <w:color w:val="auto"/>
        </w:rPr>
        <w:t>if to the Stockholder, to the address or email address set forth opposite such Stockholder’s name on Schedule 1, or in the absence of such address or email address being set forth on Schedule 1, the address (including email) set forth in the Company’s books and records.</w:t>
      </w:r>
    </w:p>
    <w:p>
      <w:pPr>
        <w:spacing w:after="0" w:line="14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if to the Company, to it at:</w:t>
      </w:r>
    </w:p>
    <w:p>
      <w:pPr>
        <w:spacing w:after="0" w:line="19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E La Carte, Inc.</w:t>
      </w:r>
    </w:p>
    <w:p>
      <w:pPr>
        <w:spacing w:after="0" w:line="2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985 Industrial Road</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San Carlos, CA 94070</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Attn: Rajat Suri and Ashish Gupta</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E-mail: raj@presto.com and ashish@presto.com</w:t>
      </w:r>
    </w:p>
    <w:p>
      <w:pPr>
        <w:spacing w:after="0" w:line="18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p>
      <w:pPr>
        <w:spacing w:after="0" w:line="19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White &amp; Case LLP</w:t>
      </w:r>
    </w:p>
    <w:p>
      <w:pPr>
        <w:spacing w:after="0" w:line="2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1221 Avenue of the Americas</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New York, NY 10020-1095</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Attn: Colin Diamond</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E-mail: colin.diamond@whitecase.com</w:t>
      </w:r>
    </w:p>
    <w:p>
      <w:pPr>
        <w:spacing w:after="0" w:line="18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and</w:t>
      </w:r>
    </w:p>
    <w:p>
      <w:pPr>
        <w:spacing w:after="0" w:line="19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White &amp; Case LLP</w:t>
      </w:r>
    </w:p>
    <w:p>
      <w:pPr>
        <w:spacing w:after="0" w:line="2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3000 El Camino Real</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2 Palo Alto Square, Suite 900</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Palo Alto, California 94306-2109</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Attn: Tali Sealman</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E-mail: tali.sealman@whitecase.com</w:t>
      </w:r>
    </w:p>
    <w:p>
      <w:pPr>
        <w:spacing w:after="0" w:line="18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and</w:t>
      </w:r>
    </w:p>
    <w:p>
      <w:pPr>
        <w:spacing w:after="0" w:line="19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White &amp; Case LLP</w:t>
      </w:r>
    </w:p>
    <w:p>
      <w:pPr>
        <w:spacing w:after="0" w:line="2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609 Main Street Suite 2900</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Houston, Texas 77002</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Attn: Emery Choi and Laura Katherine Mann</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E-mail: emery.choi@whitecase.com;</w:t>
      </w:r>
    </w:p>
    <w:p>
      <w:pPr>
        <w:spacing w:after="0" w:line="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6"/>
          <w:szCs w:val="16"/>
          <w:color w:val="auto"/>
        </w:rPr>
        <w:t>laurakatherine.mann@whitecase.com</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58" w:name="page259"/>
    <w:bookmarkEnd w:id="258"/>
    <w:p>
      <w:pPr>
        <w:ind w:left="1720"/>
        <w:spacing w:after="0"/>
        <w:rPr>
          <w:sz w:val="20"/>
          <w:szCs w:val="20"/>
          <w:color w:val="auto"/>
        </w:rPr>
      </w:pPr>
      <w:r>
        <w:rPr>
          <w:rFonts w:ascii="Times New Roman" w:cs="Times New Roman" w:eastAsia="Times New Roman" w:hAnsi="Times New Roman"/>
          <w:sz w:val="16"/>
          <w:szCs w:val="16"/>
          <w:color w:val="auto"/>
        </w:rPr>
        <w:t>if to Acquiror, to it at:</w:t>
      </w:r>
    </w:p>
    <w:p>
      <w:pPr>
        <w:spacing w:after="0" w:line="19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Ventoux CCM Acquisition Corp.</w:t>
      </w:r>
    </w:p>
    <w:p>
      <w:pPr>
        <w:spacing w:after="0" w:line="2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1 East Putnam Avenue, Floor 4</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Greenwich, CT 06830</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Attn: Edward Scheetz</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E-mail: ed.scheetz@gmail.com</w:t>
      </w:r>
    </w:p>
    <w:p>
      <w:pPr>
        <w:spacing w:after="0" w:line="18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p>
      <w:pPr>
        <w:spacing w:after="0" w:line="19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Woolery &amp; Co.</w:t>
      </w:r>
    </w:p>
    <w:p>
      <w:pPr>
        <w:spacing w:after="0" w:line="2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1 Pier 76</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408 12th Ave</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New York, NY 10018</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Attn: Mathew J. Saur</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E-mail: Mathew@wooleryco.com</w:t>
      </w:r>
    </w:p>
    <w:p>
      <w:pPr>
        <w:spacing w:after="0" w:line="18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and</w:t>
      </w:r>
    </w:p>
    <w:p>
      <w:pPr>
        <w:spacing w:after="0" w:line="19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Dentons US LLP</w:t>
      </w:r>
    </w:p>
    <w:p>
      <w:pPr>
        <w:spacing w:after="0" w:line="2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1221 Avenue of the Americas</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New York, NY 10020</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Attention: Ilan Katz and Brian Lee</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Email: ilan.katz@dentons.com and brian.lee@dentons.com</w:t>
      </w:r>
    </w:p>
    <w:p>
      <w:pPr>
        <w:spacing w:after="0" w:line="182" w:lineRule="exact"/>
        <w:rPr>
          <w:sz w:val="20"/>
          <w:szCs w:val="20"/>
          <w:color w:val="auto"/>
        </w:rPr>
      </w:pPr>
    </w:p>
    <w:p>
      <w:pPr>
        <w:jc w:val="both"/>
        <w:ind w:right="20" w:firstLine="569"/>
        <w:spacing w:after="0" w:line="259" w:lineRule="auto"/>
        <w:tabs>
          <w:tab w:leader="none" w:pos="812" w:val="left"/>
        </w:tabs>
        <w:numPr>
          <w:ilvl w:val="0"/>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Ownership Interest</w:t>
      </w:r>
      <w:r>
        <w:rPr>
          <w:rFonts w:ascii="Times New Roman" w:cs="Times New Roman" w:eastAsia="Times New Roman" w:hAnsi="Times New Roman"/>
          <w:sz w:val="16"/>
          <w:szCs w:val="16"/>
          <w:color w:val="auto"/>
        </w:rPr>
        <w:t>. Nothing contained in this Agreement shall be deemed to vest in Acquiror any direct or indirect ownership or incidence of ownership of or with respect to the Covered Shares of the Stockholder. During the term of this Agreement, all rights, ownership and economic benefits of and relating to the Covered Shares of the Stockholder shall remain vested in and belong to the Stockholder, and Acquiror shall have no authority to direct the Stockholder in the voting or disposition of any of the Stockholder’s Covered Shares, except as otherwise provided herein.</w:t>
      </w:r>
    </w:p>
    <w:p>
      <w:pPr>
        <w:spacing w:after="0" w:line="161" w:lineRule="exact"/>
        <w:rPr>
          <w:rFonts w:ascii="Times New Roman" w:cs="Times New Roman" w:eastAsia="Times New Roman" w:hAnsi="Times New Roman"/>
          <w:sz w:val="16"/>
          <w:szCs w:val="16"/>
          <w:color w:val="auto"/>
        </w:rPr>
      </w:pPr>
    </w:p>
    <w:p>
      <w:pPr>
        <w:jc w:val="both"/>
        <w:ind w:right="20" w:firstLine="569"/>
        <w:spacing w:after="0" w:line="265" w:lineRule="auto"/>
        <w:tabs>
          <w:tab w:leader="none" w:pos="824" w:val="left"/>
        </w:tabs>
        <w:numPr>
          <w:ilvl w:val="0"/>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 Time of Effectiveness</w:t>
      </w:r>
      <w:r>
        <w:rPr>
          <w:rFonts w:ascii="Times New Roman" w:cs="Times New Roman" w:eastAsia="Times New Roman" w:hAnsi="Times New Roman"/>
          <w:sz w:val="16"/>
          <w:szCs w:val="16"/>
          <w:color w:val="auto"/>
        </w:rPr>
        <w:t>. This Agreement and the Merger Agreement constitute the entire agreement and supersede all prior agreements and understandings, both written and oral, between the parties hereto with respect to the subject matter hereof and thereof. This Agreement shall not be effective or binding upon the Stockholder until after such time as the Merger Agreement is executed and delivered by the Company and Acquiror.</w:t>
      </w:r>
    </w:p>
    <w:p>
      <w:pPr>
        <w:spacing w:after="0" w:line="155" w:lineRule="exact"/>
        <w:rPr>
          <w:rFonts w:ascii="Times New Roman" w:cs="Times New Roman" w:eastAsia="Times New Roman" w:hAnsi="Times New Roman"/>
          <w:sz w:val="16"/>
          <w:szCs w:val="16"/>
          <w:color w:val="auto"/>
        </w:rPr>
      </w:pPr>
    </w:p>
    <w:p>
      <w:pPr>
        <w:jc w:val="both"/>
        <w:ind w:firstLine="569"/>
        <w:spacing w:after="0" w:line="257" w:lineRule="auto"/>
        <w:tabs>
          <w:tab w:leader="none" w:pos="836" w:val="left"/>
        </w:tabs>
        <w:numPr>
          <w:ilvl w:val="0"/>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Third-Party Beneficiaries</w:t>
      </w:r>
      <w:r>
        <w:rPr>
          <w:rFonts w:ascii="Times New Roman" w:cs="Times New Roman" w:eastAsia="Times New Roman" w:hAnsi="Times New Roman"/>
          <w:sz w:val="16"/>
          <w:szCs w:val="16"/>
          <w:color w:val="auto"/>
        </w:rPr>
        <w:t>. The Stockholder hereby agrees that its representations, warranties and covenants set forth herein are solely for the benefit of Acquiror in accordance with and subject to the terms of this Agreement, and this Agreement is not intended to, and does not, confer upon any Person other than the parties hereto any rights or remedies hereunder, including the right to rely upon the representations and warranties set forth herein, and the parties hereto hereby further agree that this Agreement may only be enforced against, and any Action that may be based upon, arise out of or relate to this Agreement, or the negotiation, execution or performance of this Agreement may only be made against, the Persons expressly named as parties hereto.</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59" w:name="page260"/>
    <w:bookmarkEnd w:id="259"/>
    <w:p>
      <w:pPr>
        <w:jc w:val="both"/>
        <w:ind w:firstLine="569"/>
        <w:spacing w:after="0" w:line="253" w:lineRule="auto"/>
        <w:tabs>
          <w:tab w:leader="none" w:pos="824" w:val="left"/>
        </w:tabs>
        <w:numPr>
          <w:ilvl w:val="0"/>
          <w:numId w:val="2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 and Venue; Service of Process; Waiver of Jury Trial</w:t>
      </w:r>
      <w:r>
        <w:rPr>
          <w:rFonts w:ascii="Times New Roman" w:cs="Times New Roman" w:eastAsia="Times New Roman" w:hAnsi="Times New Roman"/>
          <w:sz w:val="16"/>
          <w:szCs w:val="16"/>
          <w:color w:val="auto"/>
        </w:rPr>
        <w:t xml:space="preserve">. Any Action based upon, arising out of or related to this Agreement, or the transactions contemplated hereby, shall be brought in the Court of Chancery of the State of Delaware or, if such court declines to exercise jurisdiction, the District Courts located in the State of Delaware, and each of the parties irrevocably submits to the exclusive jurisdiction of each such court in any such Action, waives any objection it may now or hereafter have to personal jurisdiction, venue or to convenience of forum, agrees that all claims in respect of the Action shall be heard and determined only in any such court, and agrees not to bring any Action arising out of or relating to this Agreement or the transactions contemplated hereby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Action brought pursuant to this </w:t>
      </w:r>
      <w:r>
        <w:rPr>
          <w:rFonts w:ascii="Times New Roman" w:cs="Times New Roman" w:eastAsia="Times New Roman" w:hAnsi="Times New Roman"/>
          <w:sz w:val="16"/>
          <w:szCs w:val="16"/>
          <w:u w:val="single" w:color="auto"/>
          <w:color w:val="auto"/>
        </w:rPr>
        <w:t>Section 17</w:t>
      </w:r>
      <w:r>
        <w:rPr>
          <w:rFonts w:ascii="Times New Roman" w:cs="Times New Roman" w:eastAsia="Times New Roman" w:hAnsi="Times New Roman"/>
          <w:sz w:val="16"/>
          <w:szCs w:val="16"/>
          <w:color w:val="auto"/>
        </w:rPr>
        <w:t>. EACH OF THE PARTIES HERETO HEREBY IRREVOCABLY WAIVES ANY AND ALL RIGHT TO TRIAL BY JURY IN ANY ACTION BASED UPON, ARISING OUT OF OR RELATED TO THIS AGREEMENT OR THE TRANSACTIONS CONTEMPLATED HEREBY.</w:t>
      </w:r>
    </w:p>
    <w:p>
      <w:pPr>
        <w:spacing w:after="0" w:line="166" w:lineRule="exact"/>
        <w:rPr>
          <w:rFonts w:ascii="Times New Roman" w:cs="Times New Roman" w:eastAsia="Times New Roman" w:hAnsi="Times New Roman"/>
          <w:sz w:val="16"/>
          <w:szCs w:val="16"/>
          <w:color w:val="auto"/>
        </w:rPr>
      </w:pPr>
    </w:p>
    <w:p>
      <w:pPr>
        <w:jc w:val="both"/>
        <w:ind w:firstLine="569"/>
        <w:spacing w:after="0" w:line="257" w:lineRule="auto"/>
        <w:tabs>
          <w:tab w:leader="none" w:pos="812" w:val="left"/>
        </w:tabs>
        <w:numPr>
          <w:ilvl w:val="0"/>
          <w:numId w:val="2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Assignment; Successors</w:t>
      </w:r>
      <w:r>
        <w:rPr>
          <w:rFonts w:ascii="Times New Roman" w:cs="Times New Roman" w:eastAsia="Times New Roman" w:hAnsi="Times New Roman"/>
          <w:sz w:val="16"/>
          <w:szCs w:val="16"/>
          <w:color w:val="auto"/>
        </w:rPr>
        <w:t>. Neither this Agreement nor any of the rights, interests or obligations hereunder shall (a) be assigned by any of the Stockholders in whole or in part (whether by operation of Law or otherwise) without the prior written consent of Acquiror and the Company or (b) be assigned by Acquiror or the Company in whole or in part (whether by operation of law or otherwise) without the prior written consent of (i) the Company or Acquiror, respectively, and (ii) the applicable Stockholder. Any such assignment without such consent shall be null and void. This Agreement shall be binding upon, inure to the benefit of and be enforceable by the parties hereto and their respective successors and permitted assigns.</w:t>
      </w:r>
    </w:p>
    <w:p>
      <w:pPr>
        <w:spacing w:after="0" w:line="162" w:lineRule="exact"/>
        <w:rPr>
          <w:rFonts w:ascii="Times New Roman" w:cs="Times New Roman" w:eastAsia="Times New Roman" w:hAnsi="Times New Roman"/>
          <w:sz w:val="16"/>
          <w:szCs w:val="16"/>
          <w:color w:val="auto"/>
        </w:rPr>
      </w:pPr>
    </w:p>
    <w:p>
      <w:pPr>
        <w:jc w:val="both"/>
        <w:ind w:right="20" w:firstLine="569"/>
        <w:spacing w:after="0" w:line="254" w:lineRule="auto"/>
        <w:tabs>
          <w:tab w:leader="none" w:pos="824" w:val="left"/>
        </w:tabs>
        <w:numPr>
          <w:ilvl w:val="0"/>
          <w:numId w:val="2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Enforcement</w:t>
      </w:r>
      <w:r>
        <w:rPr>
          <w:rFonts w:ascii="Times New Roman" w:cs="Times New Roman" w:eastAsia="Times New Roman" w:hAnsi="Times New Roman"/>
          <w:sz w:val="16"/>
          <w:szCs w:val="16"/>
          <w:color w:val="auto"/>
        </w:rPr>
        <w:t>. The rights and remedies of the parties shall be cumulative with and not exclusive of any other remedy conferred hereby. The parties agree that irreparable damage would occur and that the parties would not have any adequate remedy at law in the event that any of the provisions of this Agreement were not performed in accordance with their specific terms or were otherwise breached. It is accordingly agreed that the parties shall be entitled to an injunction or injunctions to prevent breaches or threatened breaches of this Agreement and to enforce specifically the terms and provisions of this Agreement, including each Stockholder’s obligations to vote its Covered Shares as provided in this Agreement, in the Court of Chancery of the State of Delaware or, if under applicable law exclusive jurisdiction over such matter is vested in the federal courts, any state or federal court located in the State of Delaware, without proof of actual damages or otherwise (and each Party hereby waives any requirement for the securing or posting of any bond in connection with such remedy), this being in addition to any other remedy to which they are entitled at law or in equity.</w:t>
      </w:r>
    </w:p>
    <w:p>
      <w:pPr>
        <w:spacing w:after="0" w:line="166" w:lineRule="exact"/>
        <w:rPr>
          <w:rFonts w:ascii="Times New Roman" w:cs="Times New Roman" w:eastAsia="Times New Roman" w:hAnsi="Times New Roman"/>
          <w:sz w:val="16"/>
          <w:szCs w:val="16"/>
          <w:color w:val="auto"/>
        </w:rPr>
      </w:pPr>
    </w:p>
    <w:p>
      <w:pPr>
        <w:jc w:val="both"/>
        <w:ind w:right="20" w:firstLine="569"/>
        <w:spacing w:after="0" w:line="257" w:lineRule="auto"/>
        <w:tabs>
          <w:tab w:leader="none" w:pos="812" w:val="left"/>
        </w:tabs>
        <w:numPr>
          <w:ilvl w:val="0"/>
          <w:numId w:val="2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If any term or other provision of this Agreement is held by a court of competent jurisdiction or other authority to be invalid, void, unenforceable or against its regulatory policy, the remainder of the terms and provisions of this Agreement shall remain in full force and effect and shall in no way be affected, impaired or invalidated, so long as the economic and legal substance of the transactions contemplated hereby, taken as a whole, are not affected in a manner materially adverse to any Party hereto. Upon such a determination, the parties hereto shall negotiate in good faith to modify this Agreement so as to effect the original intent of the parties hereto as closely as possible in an acceptable manner in order that the transactions contemplated hereby be consummated as originally contemplated to the fullest extent possible.</w:t>
      </w:r>
    </w:p>
    <w:p>
      <w:pPr>
        <w:spacing w:after="0" w:line="162" w:lineRule="exact"/>
        <w:rPr>
          <w:rFonts w:ascii="Times New Roman" w:cs="Times New Roman" w:eastAsia="Times New Roman" w:hAnsi="Times New Roman"/>
          <w:sz w:val="16"/>
          <w:szCs w:val="16"/>
          <w:color w:val="auto"/>
        </w:rPr>
      </w:pPr>
    </w:p>
    <w:p>
      <w:pPr>
        <w:jc w:val="both"/>
        <w:ind w:firstLine="569"/>
        <w:spacing w:after="0" w:line="265" w:lineRule="auto"/>
        <w:tabs>
          <w:tab w:leader="none" w:pos="812" w:val="left"/>
        </w:tabs>
        <w:numPr>
          <w:ilvl w:val="0"/>
          <w:numId w:val="2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Agreement may be executed in one or more counterparts, all of which shall be considered one and the same agreement, it being understood that each Party need not sign the same counterpart. This Agreement shall become effective when each Party shall have received a counterpart hereof signed by all of the other parties. Signatures delivered electronically or by facsimile shall be deemed to be original signatures.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60" w:name="page261"/>
    <w:bookmarkEnd w:id="260"/>
    <w:p>
      <w:pPr>
        <w:jc w:val="both"/>
        <w:ind w:firstLine="569"/>
        <w:spacing w:after="0" w:line="252" w:lineRule="auto"/>
        <w:tabs>
          <w:tab w:leader="none" w:pos="812" w:val="left"/>
        </w:tabs>
        <w:numPr>
          <w:ilvl w:val="0"/>
          <w:numId w:val="2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Interpretation and Construction</w:t>
      </w:r>
      <w:r>
        <w:rPr>
          <w:rFonts w:ascii="Times New Roman" w:cs="Times New Roman" w:eastAsia="Times New Roman" w:hAnsi="Times New Roman"/>
          <w:sz w:val="16"/>
          <w:szCs w:val="16"/>
          <w:color w:val="auto"/>
        </w:rPr>
        <w:t>. The words “hereof,” “herein” and “hereunder” and words of like import used in this Agreement shall refer to this Agreement as a whole and not to any particular provision of this Agreement. The descriptive headings used herein are inserted for convenience of reference only and are not intended to be part of or to affect the meaning or interpretation of this Agreement. References to Sections are to Sections of this Agreement unless otherwise specified. Any singular term in this Agreement shall be deemed to include the plural, and any plural term the singular. The definitions contained in this Agreement are applicable to the masculine as well as to the feminine and neuter genders of such term.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statute shall be deemed to refer to such statute and to any rules or regulations promulgated thereunder. References to any person include the successors and permitted assigns of that person. References from or through any date mean, unless otherwise specified, from and including such date or through and including such date, respectively. In the event an ambiguity or question of intent or interpretation arises, this Agreement will be construed as if drafted jointly by the Parties, and no presumption or burden of proof will arise favoring or disfavoring any Party by virtue of the authorship of any of the provisions of this Agreement.</w:t>
      </w:r>
    </w:p>
    <w:p>
      <w:pPr>
        <w:spacing w:after="0" w:line="169" w:lineRule="exact"/>
        <w:rPr>
          <w:rFonts w:ascii="Times New Roman" w:cs="Times New Roman" w:eastAsia="Times New Roman" w:hAnsi="Times New Roman"/>
          <w:sz w:val="16"/>
          <w:szCs w:val="16"/>
          <w:color w:val="auto"/>
        </w:rPr>
      </w:pPr>
    </w:p>
    <w:p>
      <w:pPr>
        <w:jc w:val="both"/>
        <w:ind w:firstLine="569"/>
        <w:spacing w:after="0" w:line="254" w:lineRule="auto"/>
        <w:tabs>
          <w:tab w:leader="none" w:pos="824" w:val="left"/>
        </w:tabs>
        <w:numPr>
          <w:ilvl w:val="0"/>
          <w:numId w:val="2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Capacity as a Stockholder or Proxy holder</w:t>
      </w:r>
      <w:r>
        <w:rPr>
          <w:rFonts w:ascii="Times New Roman" w:cs="Times New Roman" w:eastAsia="Times New Roman" w:hAnsi="Times New Roman"/>
          <w:sz w:val="16"/>
          <w:szCs w:val="16"/>
          <w:color w:val="auto"/>
        </w:rPr>
        <w:t>. Notwithstanding anything herein to the contrary, the Stockholder or proxy holder signs this Agreement solely in the Stockholder’s or Proxy holder’s capacity as a stockholder or proxy holder of the Company, and not in any other capacity and this Agreement shall not limit, prevent or otherwise affect the actions of the Stockholder, proxy holder or any Affiliate, employee or designee of the Stockholder or proxyholder, or any of their respective Affiliates in his or her capacity, if applicable, as an officer or director of the Company (or any Subsidiary of the Company) or any other Person, including in the exercise of his or her fiduciary duties as a director or officer of the Company or any Subsidiary of the Company. No Stockholder shall be liable or responsible for any action undertaken by or any breach, default, or violation of any representation, warranty, covenant or agreement by any other Stockholder that is also a Party hereto or the Company and each Stockholder shall solely be required to perform its obligations hereunder in its individual capacity.</w:t>
      </w:r>
    </w:p>
    <w:p>
      <w:pPr>
        <w:spacing w:after="0" w:line="166" w:lineRule="exact"/>
        <w:rPr>
          <w:rFonts w:ascii="Times New Roman" w:cs="Times New Roman" w:eastAsia="Times New Roman" w:hAnsi="Times New Roman"/>
          <w:sz w:val="16"/>
          <w:szCs w:val="16"/>
          <w:color w:val="auto"/>
        </w:rPr>
      </w:pPr>
    </w:p>
    <w:p>
      <w:pPr>
        <w:jc w:val="both"/>
        <w:ind w:right="20" w:firstLine="569"/>
        <w:spacing w:after="0" w:line="265" w:lineRule="auto"/>
        <w:tabs>
          <w:tab w:leader="none" w:pos="824" w:val="left"/>
        </w:tabs>
        <w:numPr>
          <w:ilvl w:val="0"/>
          <w:numId w:val="2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Affiliate Agreements</w:t>
      </w:r>
      <w:r>
        <w:rPr>
          <w:rFonts w:ascii="Times New Roman" w:cs="Times New Roman" w:eastAsia="Times New Roman" w:hAnsi="Times New Roman"/>
          <w:sz w:val="16"/>
          <w:szCs w:val="16"/>
          <w:color w:val="auto"/>
        </w:rPr>
        <w:t>. The Stockholder irrevocably and unconditionally hereby agrees and consents to the termination of all affiliate arrangements indicated for termination as set forth in Schedule 2 hereto, to which the Stockholder is party, effective as of the Effective Time without any liability or obligation to the Company, the Company’s Subsidiaries or Acquiror.</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remainder of this page is intentionally left blank.]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61" w:name="page262"/>
    <w:bookmarkEnd w:id="261"/>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IN WITNESS WHEREOF, the parties hereto have caused this Support Agreement to be executed (where applicable, by their respective officers or other authorized Persons thereunto duly authorized) as of the date first written above.</w:t>
      </w:r>
    </w:p>
    <w:p>
      <w:pPr>
        <w:spacing w:after="0" w:line="14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VENTOUX CCM ACQUISITION CORP.</w:t>
      </w:r>
    </w:p>
    <w:p>
      <w:pPr>
        <w:spacing w:after="0" w:line="200" w:lineRule="exact"/>
        <w:rPr>
          <w:sz w:val="20"/>
          <w:szCs w:val="20"/>
          <w:color w:val="auto"/>
        </w:rPr>
      </w:pPr>
    </w:p>
    <w:tbl>
      <w:tblPr>
        <w:tblLayout w:type="fixed"/>
        <w:tblInd w:w="6760" w:type="dxa"/>
        <w:tblCellMar>
          <w:top w:w="0" w:type="dxa"/>
          <w:left w:w="0" w:type="dxa"/>
          <w:bottom w:w="0" w:type="dxa"/>
          <w:right w:w="0" w:type="dxa"/>
        </w:tblCellMar>
      </w:tblPr>
      <w:tr>
        <w:trPr>
          <w:trHeight w:val="212"/>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Edward Scheetz</w:t>
            </w:r>
          </w:p>
        </w:tc>
      </w:tr>
      <w:tr>
        <w:trPr>
          <w:trHeight w:val="175"/>
        </w:trPr>
        <w:tc>
          <w:tcPr>
            <w:tcW w:w="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Edward Scheetz</w:t>
            </w:r>
          </w:p>
        </w:tc>
      </w:t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382"/>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 LA CARTE, INC.</w:t>
            </w:r>
          </w:p>
        </w:tc>
      </w:tr>
      <w:tr>
        <w:trPr>
          <w:trHeight w:val="386"/>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Rajat Suri</w:t>
            </w:r>
          </w:p>
        </w:tc>
      </w:tr>
      <w:tr>
        <w:trPr>
          <w:trHeight w:val="175"/>
        </w:trPr>
        <w:tc>
          <w:tcPr>
            <w:tcW w:w="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Rajat Suri</w:t>
            </w:r>
          </w:p>
        </w:tc>
      </w:t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bl>
    <w:p>
      <w:pPr>
        <w:spacing w:after="0" w:line="1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[Signature Page to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394335</wp:posOffset>
            </wp:positionV>
            <wp:extent cx="7148195" cy="152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62" w:name="page263"/>
    <w:bookmarkEnd w:id="262"/>
    <w:p>
      <w:pPr>
        <w:ind w:left="5640"/>
        <w:spacing w:after="0"/>
        <w:rPr>
          <w:sz w:val="20"/>
          <w:szCs w:val="20"/>
          <w:color w:val="auto"/>
        </w:rPr>
      </w:pPr>
      <w:r>
        <w:rPr>
          <w:rFonts w:ascii="Times New Roman" w:cs="Times New Roman" w:eastAsia="Times New Roman" w:hAnsi="Times New Roman"/>
          <w:sz w:val="16"/>
          <w:szCs w:val="16"/>
          <w:b w:val="1"/>
          <w:bCs w:val="1"/>
          <w:u w:val="single" w:color="auto"/>
          <w:color w:val="auto"/>
        </w:rPr>
        <w:t>STOCKHOLDERS</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RAJAT SURI</w:t>
      </w:r>
    </w:p>
    <w:p>
      <w:pPr>
        <w:spacing w:after="0" w:line="200" w:lineRule="exact"/>
        <w:rPr>
          <w:sz w:val="20"/>
          <w:szCs w:val="20"/>
          <w:color w:val="auto"/>
        </w:rPr>
      </w:pPr>
    </w:p>
    <w:tbl>
      <w:tblPr>
        <w:tblLayout w:type="fixed"/>
        <w:tblInd w:w="5640" w:type="dxa"/>
        <w:tblCellMar>
          <w:top w:w="0" w:type="dxa"/>
          <w:left w:w="0" w:type="dxa"/>
          <w:bottom w:w="0" w:type="dxa"/>
          <w:right w:w="0" w:type="dxa"/>
        </w:tblCellMar>
      </w:tblPr>
      <w:tr>
        <w:trPr>
          <w:trHeight w:val="212"/>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Rajat Suri</w:t>
            </w:r>
          </w:p>
        </w:tc>
      </w:tr>
      <w:tr>
        <w:trPr>
          <w:trHeight w:val="175"/>
        </w:trPr>
        <w:tc>
          <w:tcPr>
            <w:tcW w:w="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Rajat Suri</w:t>
            </w:r>
          </w:p>
        </w:tc>
      </w:t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bl>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ROMULUS CAPITAL III, L.P.</w:t>
      </w:r>
    </w:p>
    <w:p>
      <w:pPr>
        <w:spacing w:after="0" w:line="200"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15240</wp:posOffset>
            </wp:positionV>
            <wp:extent cx="2496820" cy="152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Name:</w:t>
        <w:tab/>
        <w:t>Krishna Gupta</w:t>
      </w:r>
    </w:p>
    <w:p>
      <w:pPr>
        <w:spacing w:after="0" w:line="24"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Title:</w:t>
        <w:tab/>
        <w:t>Authorized Officer</w:t>
      </w:r>
    </w:p>
    <w:p>
      <w:pPr>
        <w:spacing w:after="0" w:line="18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ROMULUS CAPITAL II, L.P.</w:t>
      </w:r>
    </w:p>
    <w:p>
      <w:pPr>
        <w:spacing w:after="0" w:line="200"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15240</wp:posOffset>
            </wp:positionV>
            <wp:extent cx="2496820" cy="152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Name:</w:t>
        <w:tab/>
        <w:t>Krishna Gupta</w:t>
      </w:r>
    </w:p>
    <w:p>
      <w:pPr>
        <w:spacing w:after="0" w:line="24"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Title:</w:t>
        <w:tab/>
        <w:t>Authorized Officer</w:t>
      </w:r>
    </w:p>
    <w:p>
      <w:pPr>
        <w:spacing w:after="0" w:line="18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KKG ENTERPRISES LLC</w:t>
      </w:r>
    </w:p>
    <w:p>
      <w:pPr>
        <w:spacing w:after="0" w:line="200"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15240</wp:posOffset>
            </wp:positionV>
            <wp:extent cx="2496820" cy="152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Name:</w:t>
        <w:tab/>
        <w:t>Krishna Gupta</w:t>
      </w:r>
    </w:p>
    <w:p>
      <w:pPr>
        <w:spacing w:after="0" w:line="24"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Title:</w:t>
        <w:tab/>
        <w:t>Authorized Officer</w:t>
      </w:r>
    </w:p>
    <w:p>
      <w:pPr>
        <w:spacing w:after="0" w:line="18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ROMULUS CAPITAL I, L.P.</w:t>
      </w:r>
    </w:p>
    <w:p>
      <w:pPr>
        <w:spacing w:after="0" w:line="200"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15240</wp:posOffset>
            </wp:positionV>
            <wp:extent cx="2496820" cy="152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Name:</w:t>
        <w:tab/>
        <w:t>Krishna Gupta</w:t>
      </w:r>
    </w:p>
    <w:p>
      <w:pPr>
        <w:spacing w:after="0" w:line="24"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Title:</w:t>
        <w:tab/>
        <w:t>Authorized Officer</w:t>
      </w:r>
    </w:p>
    <w:p>
      <w:pPr>
        <w:spacing w:after="0" w:line="18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6"/>
          <w:szCs w:val="16"/>
          <w:color w:val="auto"/>
        </w:rPr>
        <w:t>[Signature Page to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394335</wp:posOffset>
            </wp:positionV>
            <wp:extent cx="7148195" cy="152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814" w:right="319" w:bottom="1440" w:gutter="0" w:footer="0" w:header="0"/>
        </w:sectPr>
      </w:pPr>
    </w:p>
    <w:bookmarkStart w:id="263" w:name="page264"/>
    <w:bookmarkEnd w:id="263"/>
    <w:p>
      <w:pPr>
        <w:ind w:left="5640"/>
        <w:spacing w:after="0"/>
        <w:rPr>
          <w:sz w:val="20"/>
          <w:szCs w:val="20"/>
          <w:color w:val="auto"/>
        </w:rPr>
      </w:pPr>
      <w:r>
        <w:rPr>
          <w:rFonts w:ascii="Times New Roman" w:cs="Times New Roman" w:eastAsia="Times New Roman" w:hAnsi="Times New Roman"/>
          <w:sz w:val="15"/>
          <w:szCs w:val="15"/>
          <w:b w:val="1"/>
          <w:bCs w:val="1"/>
          <w:color w:val="auto"/>
        </w:rPr>
        <w:t>ROMULUS ELC B3 SPECIAL OPPORTUNITY, L.P.</w:t>
      </w:r>
    </w:p>
    <w:p>
      <w:pPr>
        <w:spacing w:after="0" w:line="212"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15240</wp:posOffset>
            </wp:positionV>
            <wp:extent cx="2496820" cy="152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Name:</w:t>
        <w:tab/>
        <w:t>Krishna Gupta</w:t>
      </w:r>
    </w:p>
    <w:p>
      <w:pPr>
        <w:spacing w:after="0" w:line="24"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Title:</w:t>
        <w:tab/>
        <w:t>Authorized Officer</w:t>
      </w:r>
    </w:p>
    <w:p>
      <w:pPr>
        <w:spacing w:after="0" w:line="18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ZAFFRAN SPECIAL OPPORTUNITIES LLC</w:t>
      </w:r>
    </w:p>
    <w:p>
      <w:pPr>
        <w:spacing w:after="0" w:line="200"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15240</wp:posOffset>
            </wp:positionV>
            <wp:extent cx="2496820" cy="152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Name:</w:t>
        <w:tab/>
        <w:t>Krishna Gupta</w:t>
      </w:r>
    </w:p>
    <w:p>
      <w:pPr>
        <w:spacing w:after="0" w:line="24"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Title:</w:t>
        <w:tab/>
        <w:t>Authorized Officer</w:t>
      </w:r>
    </w:p>
    <w:p>
      <w:pPr>
        <w:spacing w:after="0" w:line="18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I2BF GLOBAL INVESTEMNTS LTD.</w:t>
      </w:r>
    </w:p>
    <w:p>
      <w:pPr>
        <w:spacing w:after="0" w:line="200"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Ilya Golubovich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15240</wp:posOffset>
            </wp:positionV>
            <wp:extent cx="2496820" cy="152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Ilya Golubovich</w:t>
      </w:r>
    </w:p>
    <w:p>
      <w:pPr>
        <w:spacing w:after="0" w:line="24"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Title:</w:t>
        <w:tab/>
        <w:t>Authorized Officer</w:t>
      </w:r>
    </w:p>
    <w:p>
      <w:pPr>
        <w:spacing w:after="0" w:line="18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[Signature Page to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401955</wp:posOffset>
            </wp:positionV>
            <wp:extent cx="7148195" cy="152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320"/>
          </w:cols>
          <w:pgMar w:left="1440" w:top="814" w:right="1139" w:bottom="1440" w:gutter="0" w:footer="0" w:header="0"/>
        </w:sectPr>
      </w:pPr>
    </w:p>
    <w:bookmarkStart w:id="264" w:name="page265"/>
    <w:bookmarkEnd w:id="264"/>
    <w:tbl>
      <w:tblPr>
        <w:tblLayout w:type="fixed"/>
        <w:tblInd w:w="0" w:type="dxa"/>
        <w:tblCellMar>
          <w:top w:w="0" w:type="dxa"/>
          <w:left w:w="0" w:type="dxa"/>
          <w:bottom w:w="0" w:type="dxa"/>
          <w:right w:w="0" w:type="dxa"/>
        </w:tblCellMar>
      </w:tblPr>
      <w:tr>
        <w:trPr>
          <w:trHeight w:val="210"/>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Schedule 1</w:t>
            </w:r>
          </w:p>
        </w:tc>
        <w:tc>
          <w:tcPr>
            <w:tcW w:w="3720" w:type="dxa"/>
            <w:vAlign w:val="bottom"/>
          </w:tcPr>
          <w:p>
            <w:pPr>
              <w:spacing w:after="0"/>
              <w:rPr>
                <w:sz w:val="18"/>
                <w:szCs w:val="18"/>
                <w:color w:val="auto"/>
              </w:rPr>
            </w:pPr>
          </w:p>
        </w:tc>
      </w:tr>
      <w:tr>
        <w:trPr>
          <w:trHeight w:val="364"/>
        </w:trPr>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Common Shares</w:t>
            </w:r>
          </w:p>
        </w:tc>
      </w:tr>
      <w:tr>
        <w:trPr>
          <w:trHeight w:val="214"/>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Stockholder Name</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Address / Email Address</w:t>
            </w: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(Fully Diluted)</w:t>
            </w:r>
          </w:p>
        </w:tc>
      </w:tr>
      <w:tr>
        <w:trPr>
          <w:trHeight w:val="191"/>
        </w:trPr>
        <w:tc>
          <w:tcPr>
            <w:tcW w:w="3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Rajat Suri</w:t>
            </w:r>
          </w:p>
        </w:tc>
        <w:tc>
          <w:tcPr>
            <w:tcW w:w="12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raj@presto.com</w:t>
            </w:r>
          </w:p>
        </w:tc>
        <w:tc>
          <w:tcPr>
            <w:tcW w:w="100" w:type="dxa"/>
            <w:vAlign w:val="bottom"/>
            <w:tcBorders>
              <w:top w:val="single" w:sz="8" w:color="CCEEFF"/>
            </w:tcBorders>
            <w:shd w:val="clear" w:color="auto" w:fill="CCEEFF"/>
          </w:tcPr>
          <w:p>
            <w:pPr>
              <w:spacing w:after="0"/>
              <w:rPr>
                <w:sz w:val="16"/>
                <w:szCs w:val="16"/>
                <w:color w:val="auto"/>
              </w:rPr>
            </w:pPr>
          </w:p>
        </w:tc>
        <w:tc>
          <w:tcPr>
            <w:tcW w:w="3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9,288,829</w:t>
            </w:r>
          </w:p>
        </w:tc>
      </w:tr>
      <w:tr>
        <w:trPr>
          <w:trHeight w:val="191"/>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Romulus Capital III, L.P.</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kkg@romulusgroup.com</w:t>
            </w: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9,639,866</w:t>
            </w:r>
          </w:p>
        </w:tc>
      </w:tr>
      <w:tr>
        <w:trPr>
          <w:trHeight w:val="191"/>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Romulus Capital II, L.P.</w:t>
            </w:r>
          </w:p>
        </w:tc>
        <w:tc>
          <w:tcPr>
            <w:tcW w:w="3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kkg@romulusgroup.com</w:t>
            </w:r>
          </w:p>
        </w:tc>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4,388,880</w:t>
            </w:r>
          </w:p>
        </w:tc>
      </w:tr>
      <w:tr>
        <w:trPr>
          <w:trHeight w:val="191"/>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Romulus Capital I, L.P.</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kkg@romulusgroup.com</w:t>
            </w: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291,183</w:t>
            </w:r>
          </w:p>
        </w:tc>
      </w:tr>
      <w:tr>
        <w:trPr>
          <w:trHeight w:val="191"/>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Romulus ELC B3 Special Opportunity, L.P.</w:t>
            </w:r>
          </w:p>
        </w:tc>
        <w:tc>
          <w:tcPr>
            <w:tcW w:w="3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kkg@romulusgroup.com</w:t>
            </w:r>
          </w:p>
        </w:tc>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193,648</w:t>
            </w:r>
          </w:p>
        </w:tc>
      </w:tr>
      <w:tr>
        <w:trPr>
          <w:trHeight w:val="191"/>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Zaffran Special Opportunities LLC</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kkg@romulusgroup.com</w:t>
            </w: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776,092</w:t>
            </w:r>
          </w:p>
        </w:tc>
      </w:tr>
      <w:tr>
        <w:trPr>
          <w:trHeight w:val="191"/>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KKG Enterprises LLC</w:t>
            </w:r>
          </w:p>
        </w:tc>
        <w:tc>
          <w:tcPr>
            <w:tcW w:w="3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kkg@romulusgroup.com</w:t>
            </w:r>
          </w:p>
        </w:tc>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345,318</w:t>
            </w:r>
          </w:p>
        </w:tc>
      </w:tr>
      <w:tr>
        <w:trPr>
          <w:trHeight w:val="208"/>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I2BF Global Investments Ltd.</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ilyag@i2bf.com</w:t>
            </w: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4,536,237</w:t>
            </w:r>
          </w:p>
        </w:tc>
      </w:tr>
      <w:tr>
        <w:trPr>
          <w:trHeight w:val="609"/>
        </w:trPr>
        <w:tc>
          <w:tcPr>
            <w:tcW w:w="3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4" w:right="319" w:bottom="1440" w:gutter="0" w:footer="0" w:header="0"/>
        </w:sectPr>
      </w:pPr>
    </w:p>
    <w:bookmarkStart w:id="265" w:name="page266"/>
    <w:bookmarkEnd w:id="265"/>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Schedule 2</w:t>
      </w:r>
    </w:p>
    <w:p>
      <w:pPr>
        <w:spacing w:after="0" w:line="188" w:lineRule="exact"/>
        <w:rPr>
          <w:sz w:val="20"/>
          <w:szCs w:val="20"/>
          <w:color w:val="auto"/>
        </w:rPr>
      </w:pPr>
    </w:p>
    <w:p>
      <w:pPr>
        <w:ind w:left="164" w:hanging="164"/>
        <w:spacing w:after="0"/>
        <w:tabs>
          <w:tab w:leader="none" w:pos="164" w:val="left"/>
        </w:tabs>
        <w:numPr>
          <w:ilvl w:val="0"/>
          <w:numId w:val="2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Third Amended and Restated Investors’ Rights Agreement, dated as of January 6, 2020, by and among the Company and the Investors (as defined therein)</w:t>
      </w:r>
    </w:p>
    <w:p>
      <w:pPr>
        <w:spacing w:after="0" w:line="198" w:lineRule="exact"/>
        <w:rPr>
          <w:rFonts w:ascii="Times New Roman" w:cs="Times New Roman" w:eastAsia="Times New Roman" w:hAnsi="Times New Roman"/>
          <w:sz w:val="16"/>
          <w:szCs w:val="16"/>
          <w:color w:val="auto"/>
        </w:rPr>
      </w:pPr>
    </w:p>
    <w:p>
      <w:pPr>
        <w:ind w:left="164" w:hanging="164"/>
        <w:spacing w:after="0"/>
        <w:tabs>
          <w:tab w:leader="none" w:pos="164" w:val="left"/>
        </w:tabs>
        <w:numPr>
          <w:ilvl w:val="0"/>
          <w:numId w:val="2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Third Amended and Restated Voting and Drag-Along Agreement, dated as of January 6, 2020, by and among the Company and the Stockholders (as defined therein)</w:t>
      </w:r>
    </w:p>
    <w:p>
      <w:pPr>
        <w:spacing w:after="0" w:line="198" w:lineRule="exact"/>
        <w:rPr>
          <w:rFonts w:ascii="Times New Roman" w:cs="Times New Roman" w:eastAsia="Times New Roman" w:hAnsi="Times New Roman"/>
          <w:sz w:val="16"/>
          <w:szCs w:val="16"/>
          <w:color w:val="auto"/>
        </w:rPr>
      </w:pPr>
    </w:p>
    <w:p>
      <w:pPr>
        <w:ind w:left="4" w:hanging="4"/>
        <w:spacing w:after="0" w:line="280" w:lineRule="auto"/>
        <w:tabs>
          <w:tab w:leader="none" w:pos="167" w:val="left"/>
        </w:tabs>
        <w:numPr>
          <w:ilvl w:val="0"/>
          <w:numId w:val="2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Third Amended and Restated Right of First Refusal and Co-Sale Agreement, dated as of January 6, 2020 by and among the Company, the Key Holders (as defined therein) and the Investors (as defined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344805</wp:posOffset>
            </wp:positionV>
            <wp:extent cx="7148195" cy="152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4"/>
          </w:cols>
          <w:pgMar w:left="316" w:top="814" w:right="339" w:bottom="1440" w:gutter="0" w:footer="0" w:header="0"/>
        </w:sectPr>
      </w:pPr>
    </w:p>
    <w:bookmarkStart w:id="266" w:name="page267"/>
    <w:bookmarkEnd w:id="266"/>
    <w:p>
      <w:pPr>
        <w:jc w:val="right"/>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Ventoux CCM and Presto Automation Announce Approximate $100 Million Raise, Revised Valuation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New Subscription from Cleveland Avenue Underpins Revised Merger Deal Terms</w:t>
      </w:r>
    </w:p>
    <w:p>
      <w:pPr>
        <w:spacing w:after="0" w:line="20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New York (July 26, 2022) - Ventoux CCM Acquisition Corp. (“Ventoux”) (NASDAQ: VTAQ) and E La Carte, Inc. (d/b/a as Presto, Inc.) (“Presto”) today announced revised merger deal terms resulting in a $60 million equity investment alongside approximately $40 million expected from other sources, including $13 million held in Ventoux’s trust account assuming no redemptions, into their previously announced business combination which will result in Presto becoming a publicly traded company.</w:t>
      </w:r>
    </w:p>
    <w:p>
      <w:pPr>
        <w:spacing w:after="0" w:line="155"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Led by Cleveland Avenue, LLC (“Cleveland Avenue”), the $60 million equity injection will accelerate the deployment of Presto’s technology throughout the restaurant industry. The revised merger terms reflect a pre-money valuation for Presto of $525 million.</w:t>
      </w:r>
    </w:p>
    <w:p>
      <w:pPr>
        <w:spacing w:after="0" w:line="14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“We believe the additional capital provides a powerful vote of confidence in the business combination, and will give Presto all the tools needed for an excellent start in its public life. We look forward to continuing to work with the Presto team and our investors in consummating this deal and maximizing value for all stakeholders,” said Ed Scheetz, CEO &amp; Chairman of Ventoux.</w:t>
      </w:r>
    </w:p>
    <w:p>
      <w:pPr>
        <w:spacing w:after="0" w:line="155"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“Presto welcomes Cleveland Ave to our investor syndicate - we could not have found more aligned and strategic investors. Not only do they know the industry inside out, they share our vision for transforming physical industries with advanced digital automation,” said Rajat Suri, Founder and CEO of Presto.</w:t>
      </w:r>
    </w:p>
    <w:p>
      <w:pPr>
        <w:spacing w:after="0" w:line="144"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“Presto, Cleveland Avenue, and Ventoux are the perfect partners for this next chapter in the public markets given our joint focus on transforming the restaurant industry using the best next-generation technology,” said Krishna K. Gupta, Chairman of Presto and CEO of Remus Capital.</w:t>
      </w:r>
    </w:p>
    <w:p>
      <w:pPr>
        <w:spacing w:after="0" w:line="144"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Cleveland Avenue’s Chief Financial and Investment Officer, Keith Kravcik, will join Presto’s Board. He has been with Cleveland Avenue since its inception in September 2015, and has a 30-year career leading financial organizations, including having spent 16 years at McDonald’s Corporation.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Ventoux CCM Acquisition Corp.</w:t>
      </w:r>
    </w:p>
    <w:p>
      <w:pPr>
        <w:spacing w:after="0" w:line="20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Ventoux is a special purpose acquisition company formed for the purpose of effecting a merger, capital stock exchange, asset acquisition, stock purchase, reorganization or similar business combination with one or more businesses. VTAQ began trading on the Nasdaq on December 23, 2020 following its initial public offering. Its shares of common stock, units, warrants and rights trade under the ticker symbols VTAQ, VTAQU, VTAQW, and VTAQR respectively. VTAQ is co-sponsored by Ventoux Acquisition Holdings and an affiliate of Chardan Capital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148195" cy="152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Presto</w:t>
      </w:r>
    </w:p>
    <w:p>
      <w:pPr>
        <w:spacing w:after="0" w:line="20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Presto overlays next-gen digital solutions onto the physical world. Presto’s enterprise-grade voice, vision, and touch technologies help hospitality businesses thrive while delighting guests. With over 250,000 systems shipped, Presto is one of the largest labor automation technology providers in the industry. Founded at M.I.T. in 2008, Presto is headquartered in Silicon Valley, Calif. with customers including many of the top 20 restaurant chains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109220</wp:posOffset>
            </wp:positionV>
            <wp:extent cx="7148195" cy="152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511175</wp:posOffset>
            </wp:positionV>
            <wp:extent cx="7148195" cy="152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6"/>
          <w:szCs w:val="16"/>
          <w:b w:val="1"/>
          <w:bCs w:val="1"/>
          <w:color w:val="auto"/>
        </w:rPr>
        <w:t>About Cleveland Avenue, LLC</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Founded by Don Thompson, the former President and CEO of McDonald’s Corporation, Cleveland Avenue is a Chicago-based venture capital firm that invests in lifestyle consumer brands and technology companies that positively disrupt large and growing market. Cleveland Avenue has tremendous experience investing in innovative food and technology brands and restaurant operation platforms with an impressive portfolio that includes Beyond Meat, Footprint and Farmer’s Fridge.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Additional Information and Where to Find It</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In connection with the proposed business combination involving Ventoux and Presto, Ventoux has filed a registration statement, which includes a preliminary proxy statement/prospectus, with the SEC. The proxy statement/prospectus will be sent to stockholders of Ventoux. This press release is not a substitute for the proxy statement/prospectus. INVESTORS AND SECURITY HOLDERS AND OTHER INTERESTED PARTIES ARE URGED TO READ THE PROXY STATEMENT/PROSPECTUS AND ANY OTHER RELEVANT DOCUMENTS THAT HAVE BEEN FILED OR WILL BE FILED WITH THE SEC, AS WELL AS ANY AMENDMENTS OR SUPPLEMENTS TO THESE DOCUMENTS, CAREFULLY AND IN THEIR ENTIRETY WHEN THEY BECOME AVAILABLE BECAUSE THEY WILL CONTAIN IMPORTANT INFORMATION ABOUT PRESTO, VENTOUX, THE PROPOSED BUSINESS COMBINATION AND RELATED MATTERS. The documents filed or that will be filed with the SEC relating to the proposed business combination (when they are available) can be obtained free of charge from the SEC’s website at www.sec.gov. These documents (when they are available) can also be obtained free of charge from Ventoux upon written request at Ventoux CCM Acquisition Corp., 1 East Putnam Avenue, Floor 4, Greenwich, CT 06830.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7148195" cy="152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 Offer or Solicitation</w:t>
      </w:r>
    </w:p>
    <w:p>
      <w:pPr>
        <w:spacing w:after="0" w:line="20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This communication is for informational purposes only and is not intended to and shall not constitute a proxy statement or the solicitation of a proxy, consent or authorization with respect to any securities in respect of the proposed business combination and shall not constitute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148195" cy="152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Participants in Solicitation</w:t>
      </w:r>
    </w:p>
    <w:p>
      <w:pPr>
        <w:spacing w:after="0" w:line="20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This communication is not a solicitation of a proxy from any investor or security holder. However, Ventoux, Presto, and certain of their directors and executive officers may be deemed to be participants in the solicitation of proxies in connection with the proposed business combination under the rules of the SEC. Information about Ventoux’s directors and executive officers and their ownership of Ventoux’s securities is set forth in filings with the SEC, including Ventoux’s annual report on Form 10-K filed with the SEC on February 23, 2022. To the extent that holdings of Ventoux’s securities have changed since the amounts included in Ventoux’s most recent annual report, such changes have been or will be reflected on Statements of Change in Ownership on Form 4 filed with the SEC. Additional information regarding the participants will also be included in the proxy statement/prospectus, when it becomes available. When available, these documents can be obtained free of charge from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148195" cy="152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This communication contains “forward-looking statements” within the meaning of the Private Securities Litigation Reform Act of 1995. Such statements include, but are not limited to, statements about future financial and operating results, plans, objectives, expectations and intentions with respect to future operations, products and services and expectations regarding the proposed business combination between Presto and Ventoux; and other statements identified by words such as “will likely result,” “are expected to,” “will continue,” “is anticipated,” “estimated,” “believe,” “intend,” “plan,” “projection,” “outlook” or words of similar meaning.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In addition to factors previously disclosed or that will be disclosed in Ventoux’s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(1) the occurrence of any event, change or other circumstances that could give rise to the termination of the merger agreement or could otherwise cause the transactions contemplated therein to fail to close; (2) the outcome of any legal proceedings that may be instituted against Ventoux, Presto, the Company or others following the announcement of the proposed business combination and any definitive agreements with respect thereto; (3) the inability to complete the proposed business combination due to the failure to obtain approval of the stockholders of Ventoux or Presto; (4) the inability of Presto to satisfy other conditions to closing; (5) changes to the proposed structure of the proposed business combination that may be required or appropriate as a result of applicable laws or regulations or as a condition to obtaining regulatory approval of the proposed business combination; (6) the ability to meet stock exchange listing standards in connection with and following the consummation of the proposed business combination; (7) the risk that the proposed business combination disrupts current plans and operations of Presto as a result of the announcement and consummation of the proposed business combination; (8) the ability to recognize the anticipated benefits of the proposed business combination, which may be affected by, among other things, competition, the ability of the Company to grow and manage growth profitably, grow its customer base, maintain relationships with customers and suppliers and retain its management and key employees; (9) the impact of the COVID-19 pandemic on the business of Presto and the Company (including the effects of the ongoing global supply chain shortage); (10) Presto’s limited operating history and history of net losses; (11) Presto’s customer concentration and reliance on a limited number of key technology providers and payment processors facilitating payments to and by Presto’s customers; (12) costs related to proposed business combination; (13) changes in applicable laws or regulations; (14) the possibility that Presto or the Company may be adversely affected by other economic, business, regulatory, and/or competitive factors; (15) Presto’s estimates of expenses and profitability; (16) the evolution of the markets in which Presto competes; (17) the ability of Presto to implement its strategic initiatives and continue to innovate its existing products; (18) the ability of Presto to adhere to legal requirements with respect to the protection of personal data and privacy laws; (19) cybersecurity risks, data loss and other breaches of Presto’s network security and the disclosure of personal information; and (20) the risk of regulatory lawsuits or proceedings relating to Presto’s products or services. 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Ventoux and Presto or the date of such information in the case of information from persons other than Ventoux and Presto, and we disclaim any intention or obligation to update any forward-looking statements as a result of developments occurring after the date of this communication. Forecasts and estimates regarding Presto’s industry and end markets are based on sources we believe to be reliable, however there can be no assurance these forecasts and estimates will prove accurate in whole or in part. Annualized, pro forma, projected and estimated numbers are used for illustrative purposes only, are not forecasts and may not reflect actual results.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69" w:name="page270"/>
    <w:bookmarkEnd w:id="269"/>
    <w:p>
      <w:pPr>
        <w:ind w:left="9140"/>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152400</wp:posOffset>
            </wp:positionV>
            <wp:extent cx="7203440" cy="446151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03440" cy="4461510"/>
                    </a:xfrm>
                    <a:prstGeom prst="rect">
                      <a:avLst/>
                    </a:prstGeom>
                    <a:noFill/>
                  </pic:spPr>
                </pic:pic>
              </a:graphicData>
            </a:graphic>
          </wp:anchor>
        </w:drawing>
      </w:r>
    </w:p>
    <w:p>
      <w:pPr>
        <w:sectPr>
          <w:pgSz w:w="11900" w:h="16838" w:orient="portrait"/>
          <w:cols w:equalWidth="0" w:num="1">
            <w:col w:w="10140"/>
          </w:cols>
          <w:pgMar w:left="1440" w:top="112" w:right="319" w:bottom="1440" w:gutter="0" w:footer="0" w:header="0"/>
        </w:sectPr>
      </w:pPr>
    </w:p>
    <w:bookmarkStart w:id="270" w:name="page271"/>
    <w:bookmarkEnd w:id="2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2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03440" cy="4462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1" w:name="page272"/>
    <w:bookmarkEnd w:id="2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2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03440" cy="4462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2" w:name="page273"/>
    <w:bookmarkEnd w:id="2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151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03440" cy="4461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3" w:name="page274"/>
    <w:bookmarkEnd w:id="2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2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03440" cy="4462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4" w:name="page275"/>
    <w:bookmarkEnd w:id="2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4991100</wp:posOffset>
            </wp:positionV>
            <wp:extent cx="7148195" cy="152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5" w:name="page276"/>
    <w:bookmarkEnd w:id="2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151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03440" cy="4461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6" w:name="page277"/>
    <w:bookmarkEnd w:id="2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2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03440" cy="4462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7" w:name="page278"/>
    <w:bookmarkEnd w:id="2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2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03440" cy="4462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8" w:name="page279"/>
    <w:bookmarkEnd w:id="2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151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03440" cy="4461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9" w:name="page280"/>
    <w:bookmarkEnd w:id="2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2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03440" cy="4462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0" w:name="page281"/>
    <w:bookmarkEnd w:id="2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151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03440" cy="4461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1" w:name="page282"/>
    <w:bookmarkEnd w:id="2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151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03440" cy="4461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2" w:name="page283"/>
    <w:bookmarkEnd w:id="2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2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03440" cy="4462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3" w:name="page284"/>
    <w:bookmarkEnd w:id="2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151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03440" cy="4461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4" w:name="page285"/>
    <w:bookmarkEnd w:id="2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151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03440" cy="4461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5" w:name="page286"/>
    <w:bookmarkEnd w:id="2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2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03440" cy="4462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6" w:name="page287"/>
    <w:bookmarkEnd w:id="2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151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03440" cy="4461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7" w:name="page288"/>
    <w:bookmarkEnd w:id="2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151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03440" cy="4461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8" w:name="page289"/>
    <w:bookmarkEnd w:id="2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2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03440" cy="4462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9" w:name="page290"/>
    <w:bookmarkEnd w:id="2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151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03440" cy="4461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0" w:name="page291"/>
    <w:bookmarkEnd w:id="2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2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03440" cy="4462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1" w:name="page292"/>
    <w:bookmarkEnd w:id="2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2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03440" cy="4462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2" w:name="page293"/>
    <w:bookmarkEnd w:id="2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151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03440" cy="4461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3" w:name="page294"/>
    <w:bookmarkEnd w:id="2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151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03440" cy="4461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4" w:name="page295"/>
    <w:bookmarkEnd w:id="2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2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03440" cy="4462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5" w:name="page296"/>
    <w:bookmarkEnd w:id="2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151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03440" cy="4461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6" w:name="page297"/>
    <w:bookmarkEnd w:id="2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2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03440" cy="4462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7" w:name="page298"/>
    <w:bookmarkEnd w:id="2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2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03440" cy="4462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8" w:name="page299"/>
    <w:bookmarkEnd w:id="2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151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03440" cy="4461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9" w:name="page300"/>
    <w:bookmarkEnd w:id="2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2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03440" cy="4462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0" w:name="page301"/>
    <w:bookmarkEnd w:id="3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2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03440" cy="4462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1" w:name="page302"/>
    <w:bookmarkEnd w:id="3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151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03440" cy="4461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2" w:name="page303"/>
    <w:bookmarkEnd w:id="3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2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03440" cy="4462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3" w:name="page304"/>
    <w:bookmarkEnd w:id="3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2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03440" cy="4462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4" w:name="page305"/>
    <w:bookmarkEnd w:id="3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543560</wp:posOffset>
            </wp:positionV>
            <wp:extent cx="7203440" cy="4462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03440" cy="4462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5" w:name="page306"/>
    <w:bookmarkEnd w:id="3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151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03440" cy="4461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6" w:name="page307"/>
    <w:bookmarkEnd w:id="3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151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03440" cy="4461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7" w:name="page308"/>
    <w:bookmarkEnd w:id="3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543560</wp:posOffset>
            </wp:positionV>
            <wp:extent cx="7203440" cy="446151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03440" cy="4461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8" w:name="page309"/>
    <w:bookmarkEnd w:id="3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2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03440" cy="4462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9" w:name="page310"/>
    <w:bookmarkEnd w:id="3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2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03440" cy="4462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0" w:name="page311"/>
    <w:bookmarkEnd w:id="3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543560</wp:posOffset>
            </wp:positionV>
            <wp:extent cx="7203440" cy="4462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03440" cy="4462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1" w:name="page312"/>
    <w:bookmarkEnd w:id="3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151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03440" cy="44615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48F044"/>
    <w:multiLevelType w:val="hybridMultilevel"/>
    <w:lvl w:ilvl="0">
      <w:lvlJc w:val="left"/>
      <w:lvlText w:val="☒"/>
      <w:numFmt w:val="bullet"/>
      <w:start w:val="1"/>
    </w:lvl>
  </w:abstractNum>
  <w:abstractNum w:abstractNumId="1">
    <w:nsid w:val="49D0FEAC"/>
    <w:multiLevelType w:val="hybridMultilevel"/>
    <w:lvl w:ilvl="0">
      <w:lvlJc w:val="left"/>
      <w:lvlText w:val="☐"/>
      <w:numFmt w:val="bullet"/>
      <w:start w:val="1"/>
    </w:lvl>
  </w:abstractNum>
  <w:abstractNum w:abstractNumId="2">
    <w:nsid w:val="4BEE5A5B"/>
    <w:multiLevelType w:val="hybridMultilevel"/>
    <w:lvl w:ilvl="0">
      <w:lvlJc w:val="left"/>
      <w:lvlText w:val="●"/>
      <w:numFmt w:val="bullet"/>
      <w:start w:val="1"/>
    </w:lvl>
  </w:abstractNum>
  <w:abstractNum w:abstractNumId="3">
    <w:nsid w:val="5551B9F3"/>
    <w:multiLevelType w:val="hybridMultilevel"/>
    <w:lvl w:ilvl="0">
      <w:lvlJc w:val="left"/>
      <w:lvlText w:val="●"/>
      <w:numFmt w:val="bullet"/>
      <w:start w:val="1"/>
    </w:lvl>
  </w:abstractNum>
  <w:abstractNum w:abstractNumId="4">
    <w:nsid w:val="24F6AB8E"/>
    <w:multiLevelType w:val="hybridMultilevel"/>
    <w:lvl w:ilvl="0">
      <w:lvlJc w:val="left"/>
      <w:lvlText w:val="●"/>
      <w:numFmt w:val="bullet"/>
      <w:start w:val="1"/>
    </w:lvl>
  </w:abstractNum>
  <w:abstractNum w:abstractNumId="5">
    <w:nsid w:val="634C574C"/>
    <w:multiLevelType w:val="hybridMultilevel"/>
    <w:lvl w:ilvl="0">
      <w:lvlJc w:val="left"/>
      <w:lvlText w:val="(%1)"/>
      <w:numFmt w:val="decimal"/>
      <w:start w:val="15"/>
    </w:lvl>
  </w:abstractNum>
  <w:abstractNum w:abstractNumId="6">
    <w:nsid w:val="24E99DD7"/>
    <w:multiLevelType w:val="hybridMultilevel"/>
    <w:lvl w:ilvl="0">
      <w:lvlJc w:val="left"/>
      <w:lvlText w:val="(%1)"/>
      <w:numFmt w:val="lowerLetter"/>
      <w:start w:val="4"/>
    </w:lvl>
  </w:abstractNum>
  <w:abstractNum w:abstractNumId="7">
    <w:nsid w:val="2A31B62D"/>
    <w:multiLevelType w:val="hybridMultilevel"/>
    <w:lvl w:ilvl="0">
      <w:lvlJc w:val="left"/>
      <w:lvlText w:val="†"/>
      <w:numFmt w:val="bullet"/>
      <w:start w:val="1"/>
    </w:lvl>
  </w:abstractNum>
  <w:abstractNum w:abstractNumId="8">
    <w:nsid w:val="1849C29B"/>
    <w:multiLevelType w:val="hybridMultilevel"/>
    <w:lvl w:ilvl="0">
      <w:lvlJc w:val="left"/>
      <w:lvlText w:val="%1."/>
      <w:numFmt w:val="decimal"/>
      <w:start w:val="1"/>
    </w:lvl>
  </w:abstractNum>
  <w:abstractNum w:abstractNumId="9">
    <w:nsid w:val="7DFF9D09"/>
    <w:multiLevelType w:val="hybridMultilevel"/>
    <w:lvl w:ilvl="0">
      <w:lvlJc w:val="left"/>
      <w:lvlText w:val="%1."/>
      <w:numFmt w:val="decimal"/>
      <w:start w:val="3"/>
    </w:lvl>
  </w:abstractNum>
  <w:abstractNum w:abstractNumId="10">
    <w:nsid w:val="754342"/>
    <w:multiLevelType w:val="hybridMultilevel"/>
    <w:lvl w:ilvl="0">
      <w:lvlJc w:val="left"/>
      <w:lvlText w:val="%1."/>
      <w:numFmt w:val="decimal"/>
      <w:start w:val="4"/>
    </w:lvl>
  </w:abstractNum>
  <w:abstractNum w:abstractNumId="11">
    <w:nsid w:val="69E7F3E5"/>
    <w:multiLevelType w:val="hybridMultilevel"/>
    <w:lvl w:ilvl="0">
      <w:lvlJc w:val="left"/>
      <w:lvlText w:val="%1."/>
      <w:numFmt w:val="decimal"/>
      <w:start w:val="5"/>
    </w:lvl>
    <w:lvl w:ilvl="1">
      <w:lvlJc w:val="left"/>
      <w:lvlText w:val="(%2)"/>
      <w:numFmt w:val="lowerLetter"/>
      <w:start w:val="1"/>
    </w:lvl>
  </w:abstractNum>
  <w:abstractNum w:abstractNumId="12">
    <w:nsid w:val="2A6DE806"/>
    <w:multiLevelType w:val="hybridMultilevel"/>
    <w:lvl w:ilvl="0">
      <w:lvlJc w:val="left"/>
      <w:lvlText w:val="(%1)"/>
      <w:numFmt w:val="lowerRoman"/>
      <w:start w:val="10"/>
    </w:lvl>
  </w:abstractNum>
  <w:abstractNum w:abstractNumId="13">
    <w:nsid w:val="1816F8C4"/>
    <w:multiLevelType w:val="hybridMultilevel"/>
    <w:lvl w:ilvl="0">
      <w:lvlJc w:val="left"/>
      <w:lvlText w:val="%1"/>
      <w:numFmt w:val="decimal"/>
      <w:start w:val="1"/>
    </w:lvl>
    <w:lvl w:ilvl="1">
      <w:lvlJc w:val="left"/>
      <w:lvlText w:val="(%2)"/>
      <w:numFmt w:val="lowerLetter"/>
      <w:start w:val="2"/>
    </w:lvl>
  </w:abstractNum>
  <w:abstractNum w:abstractNumId="14">
    <w:nsid w:val="37DF2233"/>
    <w:multiLevelType w:val="hybridMultilevel"/>
    <w:lvl w:ilvl="0">
      <w:lvlJc w:val="left"/>
      <w:lvlText w:val="%1"/>
      <w:numFmt w:val="decimal"/>
      <w:start w:val="1"/>
    </w:lvl>
    <w:lvl w:ilvl="1">
      <w:lvlJc w:val="left"/>
      <w:lvlText w:val="(%2)"/>
      <w:numFmt w:val="lowerLetter"/>
      <w:start w:val="35"/>
    </w:lvl>
  </w:abstractNum>
  <w:abstractNum w:abstractNumId="15">
    <w:nsid w:val="7AB49DAF"/>
    <w:multiLevelType w:val="hybridMultilevel"/>
    <w:lvl w:ilvl="0">
      <w:lvlJc w:val="left"/>
      <w:lvlText w:val="%1."/>
      <w:numFmt w:val="decimal"/>
      <w:start w:val="8"/>
    </w:lvl>
    <w:lvl w:ilvl="1">
      <w:lvlJc w:val="left"/>
      <w:lvlText w:val="(%2)"/>
      <w:numFmt w:val="lowerLetter"/>
      <w:start w:val="1"/>
    </w:lvl>
  </w:abstractNum>
  <w:abstractNum w:abstractNumId="16">
    <w:nsid w:val="759F82CD"/>
    <w:multiLevelType w:val="hybridMultilevel"/>
    <w:lvl w:ilvl="0">
      <w:lvlJc w:val="left"/>
      <w:lvlText w:val="%1."/>
      <w:numFmt w:val="decimal"/>
      <w:start w:val="12"/>
    </w:lvl>
  </w:abstractNum>
  <w:abstractNum w:abstractNumId="17">
    <w:nsid w:val="61E74EA3"/>
    <w:multiLevelType w:val="hybridMultilevel"/>
    <w:lvl w:ilvl="0">
      <w:lvlJc w:val="left"/>
      <w:lvlText w:val="%1."/>
      <w:numFmt w:val="decimal"/>
      <w:start w:val="14"/>
    </w:lvl>
    <w:lvl w:ilvl="1">
      <w:lvlJc w:val="left"/>
      <w:lvlText w:val="(%2)"/>
      <w:numFmt w:val="lowerLetter"/>
      <w:start w:val="1"/>
    </w:lvl>
  </w:abstractNum>
  <w:abstractNum w:abstractNumId="18">
    <w:nsid w:val="597B4D84"/>
    <w:multiLevelType w:val="hybridMultilevel"/>
    <w:lvl w:ilvl="0">
      <w:lvlJc w:val="left"/>
      <w:lvlText w:val="%1."/>
      <w:numFmt w:val="decimal"/>
      <w:start w:val="16"/>
    </w:lvl>
  </w:abstractNum>
  <w:abstractNum w:abstractNumId="19">
    <w:nsid w:val="F819E7F"/>
    <w:multiLevelType w:val="hybridMultilevel"/>
    <w:lvl w:ilvl="0">
      <w:lvlJc w:val="left"/>
      <w:lvlText w:val="%1."/>
      <w:numFmt w:val="decimal"/>
      <w:start w:val="19"/>
    </w:lvl>
  </w:abstractNum>
  <w:abstractNum w:abstractNumId="20">
    <w:nsid w:val="57C7D42D"/>
    <w:multiLevelType w:val="hybridMultilevel"/>
    <w:lvl w:ilvl="0">
      <w:lvlJc w:val="left"/>
      <w:lvlText w:val="1"/>
      <w:numFmt w:val="bullet"/>
      <w:start w:val="1"/>
    </w:lvl>
  </w:abstractNum>
  <w:abstractNum w:abstractNumId="21">
    <w:nsid w:val="312167AD"/>
    <w:multiLevelType w:val="hybridMultilevel"/>
    <w:lvl w:ilvl="0">
      <w:lvlJc w:val="left"/>
      <w:lvlText w:val="(%1)"/>
      <w:numFmt w:val="decimal"/>
      <w:start w:val="1"/>
    </w:lvl>
  </w:abstractNum>
  <w:abstractNum w:abstractNumId="22">
    <w:nsid w:val="631B64D4"/>
    <w:multiLevelType w:val="hybridMultilevel"/>
    <w:lvl w:ilvl="0">
      <w:lvlJc w:val="left"/>
      <w:lvlText w:val="(%1)"/>
      <w:numFmt w:val="decimal"/>
      <w:start w:val="1"/>
    </w:lvl>
  </w:abstractNum>
  <w:abstractNum w:abstractNumId="23">
    <w:nsid w:val="78B5E776"/>
    <w:multiLevelType w:val="hybridMultilevel"/>
    <w:lvl w:ilvl="0">
      <w:lvlJc w:val="left"/>
      <w:lvlText w:val="2"/>
      <w:numFmt w:val="bullet"/>
      <w:start w:val="1"/>
    </w:lvl>
  </w:abstractNum>
  <w:abstractNum w:abstractNumId="24">
    <w:nsid w:val="75486E47"/>
    <w:multiLevelType w:val="hybridMultilevel"/>
    <w:lvl w:ilvl="0">
      <w:lvlJc w:val="left"/>
      <w:lvlText w:val="(%1)"/>
      <w:numFmt w:val="decimal"/>
      <w:start w:val="9"/>
    </w:lvl>
  </w:abstractNum>
  <w:abstractNum w:abstractNumId="25">
    <w:nsid w:val="6E534CDE"/>
    <w:multiLevelType w:val="hybridMultilevel"/>
    <w:lvl w:ilvl="0">
      <w:lvlJc w:val="left"/>
      <w:lvlText w:val="(%1)"/>
      <w:numFmt w:val="decimal"/>
      <w:start w:val="1"/>
    </w:lvl>
  </w:abstractNum>
  <w:abstractNum w:abstractNumId="26">
    <w:nsid w:val="1A0DDE32"/>
    <w:multiLevelType w:val="hybridMultilevel"/>
    <w:lvl w:ilvl="0">
      <w:lvlJc w:val="left"/>
      <w:lvlText w:val="(%1)"/>
      <w:numFmt w:val="decimal"/>
      <w:start w:val="6"/>
    </w:lvl>
  </w:abstractNum>
  <w:abstractNum w:abstractNumId="27">
    <w:nsid w:val="65968C1C"/>
    <w:multiLevelType w:val="hybridMultilevel"/>
    <w:lvl w:ilvl="0">
      <w:lvlJc w:val="left"/>
      <w:lvlText w:val="(%1)"/>
      <w:numFmt w:val="lowerLetter"/>
      <w:start w:val="1"/>
    </w:lvl>
  </w:abstractNum>
  <w:abstractNum w:abstractNumId="28">
    <w:nsid w:val="46263DEC"/>
    <w:multiLevelType w:val="hybridMultilevel"/>
    <w:lvl w:ilvl="0">
      <w:lvlJc w:val="left"/>
      <w:lvlText w:val="3"/>
      <w:numFmt w:val="bullet"/>
      <w:start w:val="1"/>
    </w:lvl>
  </w:abstractNum>
  <w:abstractNum w:abstractNumId="29">
    <w:nsid w:val="260D8C4A"/>
    <w:multiLevelType w:val="hybridMultilevel"/>
    <w:lvl w:ilvl="0">
      <w:lvlJc w:val="left"/>
      <w:lvlText w:val="(%1)"/>
      <w:numFmt w:val="lowerLetter"/>
      <w:start w:val="1"/>
    </w:lvl>
  </w:abstractNum>
  <w:abstractNum w:abstractNumId="30">
    <w:nsid w:val="73D4D3C4"/>
    <w:multiLevelType w:val="hybridMultilevel"/>
    <w:lvl w:ilvl="0">
      <w:lvlJc w:val="left"/>
      <w:lvlText w:val="(%1)"/>
      <w:numFmt w:val="lowerLetter"/>
      <w:start w:val="3"/>
    </w:lvl>
  </w:abstractNum>
  <w:abstractNum w:abstractNumId="31">
    <w:nsid w:val="746F2E30"/>
    <w:multiLevelType w:val="hybridMultilevel"/>
    <w:lvl w:ilvl="0">
      <w:lvlJc w:val="left"/>
      <w:lvlText w:val="(%1)"/>
      <w:numFmt w:val="decimal"/>
      <w:start w:val="1"/>
    </w:lvl>
  </w:abstractNum>
  <w:abstractNum w:abstractNumId="32">
    <w:nsid w:val="6FDE8AF6"/>
    <w:multiLevelType w:val="hybridMultilevel"/>
    <w:lvl w:ilvl="0">
      <w:lvlJc w:val="left"/>
      <w:lvlText w:val="(%1)"/>
      <w:numFmt w:val="lowerLetter"/>
      <w:start w:val="25"/>
    </w:lvl>
  </w:abstractNum>
  <w:abstractNum w:abstractNumId="33">
    <w:nsid w:val="3FC32E20"/>
    <w:multiLevelType w:val="hybridMultilevel"/>
    <w:lvl w:ilvl="0">
      <w:lvlJc w:val="left"/>
      <w:lvlText w:val="(%1)"/>
      <w:numFmt w:val="lowerLetter"/>
      <w:start w:val="1"/>
    </w:lvl>
  </w:abstractNum>
  <w:abstractNum w:abstractNumId="34">
    <w:nsid w:val="49C0E823"/>
    <w:multiLevelType w:val="hybridMultilevel"/>
    <w:lvl w:ilvl="0">
      <w:lvlJc w:val="left"/>
      <w:lvlText w:val="4"/>
      <w:numFmt w:val="bullet"/>
      <w:start w:val="1"/>
    </w:lvl>
  </w:abstractNum>
  <w:abstractNum w:abstractNumId="35">
    <w:nsid w:val="14D53685"/>
    <w:multiLevelType w:val="hybridMultilevel"/>
    <w:lvl w:ilvl="0">
      <w:lvlJc w:val="left"/>
      <w:lvlText w:val="(%1)"/>
      <w:numFmt w:val="decimal"/>
      <w:start w:val="1"/>
    </w:lvl>
  </w:abstractNum>
  <w:abstractNum w:abstractNumId="36">
    <w:nsid w:val="230F856C"/>
    <w:multiLevelType w:val="hybridMultilevel"/>
    <w:lvl w:ilvl="0">
      <w:lvlJc w:val="left"/>
      <w:lvlText w:val="(%1)"/>
      <w:numFmt w:val="decimal"/>
      <w:start w:val="1"/>
    </w:lvl>
  </w:abstractNum>
  <w:abstractNum w:abstractNumId="37">
    <w:nsid w:val="6EAA85FB"/>
    <w:multiLevelType w:val="hybridMultilevel"/>
    <w:lvl w:ilvl="0">
      <w:lvlJc w:val="left"/>
      <w:lvlText w:val="(%1)"/>
      <w:numFmt w:val="decimal"/>
      <w:start w:val="6"/>
    </w:lvl>
  </w:abstractNum>
  <w:abstractNum w:abstractNumId="38">
    <w:nsid w:val="3F06ECB2"/>
    <w:multiLevelType w:val="hybridMultilevel"/>
    <w:lvl w:ilvl="0">
      <w:lvlJc w:val="left"/>
      <w:lvlText w:val="5"/>
      <w:numFmt w:val="bullet"/>
      <w:start w:val="1"/>
    </w:lvl>
  </w:abstractNum>
  <w:abstractNum w:abstractNumId="39">
    <w:nsid w:val="3B594807"/>
    <w:multiLevelType w:val="hybridMultilevel"/>
    <w:lvl w:ilvl="0">
      <w:lvlJc w:val="left"/>
      <w:lvlText w:val="(%1)"/>
      <w:numFmt w:val="lowerLetter"/>
      <w:start w:val="2"/>
    </w:lvl>
    <w:lvl w:ilvl="1">
      <w:lvlJc w:val="left"/>
      <w:lvlText w:val="(%2)"/>
      <w:numFmt w:val="lowerLetter"/>
      <w:start w:val="9"/>
    </w:lvl>
  </w:abstractNum>
  <w:abstractNum w:abstractNumId="40">
    <w:nsid w:val="6CAA2304"/>
    <w:multiLevelType w:val="hybridMultilevel"/>
    <w:lvl w:ilvl="0">
      <w:lvlJc w:val="left"/>
      <w:lvlText w:val="(%1)"/>
      <w:numFmt w:val="lowerRoman"/>
      <w:start w:val="2"/>
    </w:lvl>
  </w:abstractNum>
  <w:abstractNum w:abstractNumId="41">
    <w:nsid w:val="3F7C2FF4"/>
    <w:multiLevelType w:val="hybridMultilevel"/>
    <w:lvl w:ilvl="0">
      <w:lvlJc w:val="left"/>
      <w:lvlText w:val="(%1)"/>
      <w:numFmt w:val="lowerLetter"/>
      <w:start w:val="2"/>
    </w:lvl>
  </w:abstractNum>
  <w:abstractNum w:abstractNumId="42">
    <w:nsid w:val="25413BEC"/>
    <w:multiLevelType w:val="hybridMultilevel"/>
    <w:lvl w:ilvl="0">
      <w:lvlJc w:val="left"/>
      <w:lvlText w:val="(%1)"/>
      <w:numFmt w:val="upperLetter"/>
      <w:start w:val="1"/>
    </w:lvl>
  </w:abstractNum>
  <w:abstractNum w:abstractNumId="43">
    <w:nsid w:val="17180B0B"/>
    <w:multiLevelType w:val="hybridMultilevel"/>
    <w:lvl w:ilvl="0">
      <w:lvlJc w:val="left"/>
      <w:lvlText w:val="(%1)"/>
      <w:numFmt w:val="lowerLetter"/>
      <w:start w:val="4"/>
    </w:lvl>
  </w:abstractNum>
  <w:abstractNum w:abstractNumId="44">
    <w:nsid w:val="579328B9"/>
    <w:multiLevelType w:val="hybridMultilevel"/>
    <w:lvl w:ilvl="0">
      <w:lvlJc w:val="left"/>
      <w:lvlText w:val="(%1)"/>
      <w:numFmt w:val="upperLetter"/>
      <w:start w:val="1"/>
    </w:lvl>
  </w:abstractNum>
  <w:abstractNum w:abstractNumId="45">
    <w:nsid w:val="5D205E20"/>
    <w:multiLevelType w:val="hybridMultilevel"/>
    <w:lvl w:ilvl="0">
      <w:lvlJc w:val="left"/>
      <w:lvlText w:val="(%1)"/>
      <w:numFmt w:val="lowerLetter"/>
      <w:start w:val="5"/>
    </w:lvl>
  </w:abstractNum>
  <w:abstractNum w:abstractNumId="46">
    <w:nsid w:val="11CCA8BA"/>
    <w:multiLevelType w:val="hybridMultilevel"/>
    <w:lvl w:ilvl="0">
      <w:lvlJc w:val="left"/>
      <w:lvlText w:val="(%1)"/>
      <w:numFmt w:val="lowerRoman"/>
      <w:start w:val="1"/>
    </w:lvl>
  </w:abstractNum>
  <w:abstractNum w:abstractNumId="47">
    <w:nsid w:val="4D32AB86"/>
    <w:multiLevelType w:val="hybridMultilevel"/>
    <w:lvl w:ilvl="0">
      <w:lvlJc w:val="left"/>
      <w:lvlText w:val="(%1)"/>
      <w:numFmt w:val="lowerLetter"/>
      <w:start w:val="2"/>
    </w:lvl>
  </w:abstractNum>
  <w:abstractNum w:abstractNumId="48">
    <w:nsid w:val="3F07ACC3"/>
    <w:multiLevelType w:val="hybridMultilevel"/>
    <w:lvl w:ilvl="0">
      <w:lvlJc w:val="left"/>
      <w:lvlText w:val="(%1)"/>
      <w:numFmt w:val="lowerLetter"/>
      <w:start w:val="3"/>
    </w:lvl>
  </w:abstractNum>
  <w:abstractNum w:abstractNumId="49">
    <w:nsid w:val="6B47F63E"/>
    <w:multiLevelType w:val="hybridMultilevel"/>
    <w:lvl w:ilvl="0">
      <w:lvlJc w:val="left"/>
      <w:lvlText w:val="(%1)"/>
      <w:numFmt w:val="lowerLetter"/>
      <w:start w:val="2"/>
    </w:lvl>
  </w:abstractNum>
  <w:abstractNum w:abstractNumId="50">
    <w:nsid w:val="5CB44A05"/>
    <w:multiLevelType w:val="hybridMultilevel"/>
    <w:lvl w:ilvl="0">
      <w:lvlJc w:val="left"/>
      <w:lvlText w:val="(%1)"/>
      <w:numFmt w:val="lowerLetter"/>
      <w:start w:val="4"/>
    </w:lvl>
  </w:abstractNum>
  <w:abstractNum w:abstractNumId="51">
    <w:nsid w:val="16CF80F1"/>
    <w:multiLevelType w:val="hybridMultilevel"/>
    <w:lvl w:ilvl="0">
      <w:lvlJc w:val="left"/>
      <w:lvlText w:val="(%1)"/>
      <w:numFmt w:val="lowerLetter"/>
      <w:start w:val="5"/>
    </w:lvl>
  </w:abstractNum>
  <w:abstractNum w:abstractNumId="52">
    <w:nsid w:val="1C695DEC"/>
    <w:multiLevelType w:val="hybridMultilevel"/>
    <w:lvl w:ilvl="0">
      <w:lvlJc w:val="left"/>
      <w:lvlText w:val="7"/>
      <w:numFmt w:val="bullet"/>
      <w:start w:val="1"/>
    </w:lvl>
  </w:abstractNum>
  <w:abstractNum w:abstractNumId="53">
    <w:nsid w:val="3FCFAED9"/>
    <w:multiLevelType w:val="hybridMultilevel"/>
    <w:lvl w:ilvl="0">
      <w:lvlJc w:val="left"/>
      <w:lvlText w:val="(%1)"/>
      <w:numFmt w:val="lowerLetter"/>
      <w:start w:val="1"/>
    </w:lvl>
    <w:lvl w:ilvl="1">
      <w:lvlJc w:val="left"/>
      <w:lvlText w:val="(%2)"/>
      <w:numFmt w:val="lowerRoman"/>
      <w:start w:val="1"/>
    </w:lvl>
  </w:abstractNum>
  <w:abstractNum w:abstractNumId="54">
    <w:nsid w:val="F856867"/>
    <w:multiLevelType w:val="hybridMultilevel"/>
    <w:lvl w:ilvl="0">
      <w:lvlJc w:val="left"/>
      <w:lvlText w:val="(%1)"/>
      <w:numFmt w:val="decimal"/>
      <w:start w:val="1"/>
    </w:lvl>
  </w:abstractNum>
  <w:abstractNum w:abstractNumId="55">
    <w:nsid w:val="11B1CC33"/>
    <w:multiLevelType w:val="hybridMultilevel"/>
    <w:lvl w:ilvl="0">
      <w:lvlJc w:val="left"/>
      <w:lvlText w:val="%1"/>
      <w:numFmt w:val="decimal"/>
      <w:start w:val="1"/>
    </w:lvl>
    <w:lvl w:ilvl="1">
      <w:lvlJc w:val="left"/>
      <w:lvlText w:val="(%2)"/>
      <w:numFmt w:val="lowerLetter"/>
      <w:start w:val="1"/>
    </w:lvl>
  </w:abstractNum>
  <w:abstractNum w:abstractNumId="56">
    <w:nsid w:val="2E22FBB7"/>
    <w:multiLevelType w:val="hybridMultilevel"/>
    <w:lvl w:ilvl="0">
      <w:lvlJc w:val="left"/>
      <w:lvlText w:val="(%1)"/>
      <w:numFmt w:val="decimal"/>
      <w:start w:val="1"/>
    </w:lvl>
    <w:lvl w:ilvl="1">
      <w:lvlJc w:val="left"/>
      <w:lvlText w:val="%2"/>
      <w:numFmt w:val="lowerLetter"/>
      <w:start w:val="1"/>
    </w:lvl>
  </w:abstractNum>
  <w:abstractNum w:abstractNumId="57">
    <w:nsid w:val="29934699"/>
    <w:multiLevelType w:val="hybridMultilevel"/>
    <w:lvl w:ilvl="0">
      <w:lvlJc w:val="left"/>
      <w:lvlText w:val="%1"/>
      <w:numFmt w:val="upperLetter"/>
      <w:start w:val="1"/>
    </w:lvl>
    <w:lvl w:ilvl="1">
      <w:lvlJc w:val="left"/>
      <w:lvlText w:val="(%2)"/>
      <w:numFmt w:val="decimal"/>
      <w:start w:val="10"/>
    </w:lvl>
    <w:lvl w:ilvl="2">
      <w:lvlJc w:val="left"/>
      <w:lvlText w:val="%3"/>
      <w:numFmt w:val="lowerLetter"/>
      <w:start w:val="1"/>
    </w:lvl>
  </w:abstractNum>
  <w:abstractNum w:abstractNumId="58">
    <w:nsid w:val="77485850"/>
    <w:multiLevelType w:val="hybridMultilevel"/>
    <w:lvl w:ilvl="0">
      <w:lvlJc w:val="left"/>
      <w:lvlText w:val="(%1)"/>
      <w:numFmt w:val="upperLetter"/>
      <w:start w:val="4"/>
    </w:lvl>
    <w:lvl w:ilvl="1">
      <w:lvlJc w:val="left"/>
      <w:lvlText w:val="(%2)"/>
      <w:numFmt w:val="decimal"/>
      <w:start w:val="11"/>
    </w:lvl>
    <w:lvl w:ilvl="2">
      <w:lvlJc w:val="left"/>
      <w:lvlText w:val="(%3)"/>
      <w:numFmt w:val="lowerLetter"/>
      <w:start w:val="3"/>
    </w:lvl>
  </w:abstractNum>
  <w:abstractNum w:abstractNumId="59">
    <w:nsid w:val="744939A3"/>
    <w:multiLevelType w:val="hybridMultilevel"/>
    <w:lvl w:ilvl="0">
      <w:lvlJc w:val="left"/>
      <w:lvlText w:val="(%1)"/>
      <w:numFmt w:val="lowerLetter"/>
      <w:start w:val="1"/>
    </w:lvl>
  </w:abstractNum>
  <w:abstractNum w:abstractNumId="60">
    <w:nsid w:val="4FA0D2E3"/>
    <w:multiLevelType w:val="hybridMultilevel"/>
    <w:lvl w:ilvl="0">
      <w:lvlJc w:val="left"/>
      <w:lvlText w:val="(%1)"/>
      <w:numFmt w:val="lowerLetter"/>
      <w:start w:val="1"/>
    </w:lvl>
    <w:lvl w:ilvl="1">
      <w:lvlJc w:val="left"/>
      <w:lvlText w:val="(%2)"/>
      <w:numFmt w:val="lowerRoman"/>
      <w:start w:val="1"/>
    </w:lvl>
  </w:abstractNum>
  <w:abstractNum w:abstractNumId="61">
    <w:nsid w:val="6B1D2C14"/>
    <w:multiLevelType w:val="hybridMultilevel"/>
    <w:lvl w:ilvl="0">
      <w:lvlJc w:val="left"/>
      <w:lvlText w:val="%1"/>
      <w:numFmt w:val="lowerLetter"/>
      <w:start w:val="1"/>
    </w:lvl>
    <w:lvl w:ilvl="1">
      <w:lvlJc w:val="left"/>
      <w:lvlText w:val="(%2)"/>
      <w:numFmt w:val="upperLetter"/>
      <w:start w:val="1"/>
    </w:lvl>
  </w:abstractNum>
  <w:abstractNum w:abstractNumId="62">
    <w:nsid w:val="68B867D3"/>
    <w:multiLevelType w:val="hybridMultilevel"/>
    <w:lvl w:ilvl="0">
      <w:lvlJc w:val="left"/>
      <w:lvlText w:val="(%1)"/>
      <w:numFmt w:val="lowerLetter"/>
      <w:start w:val="2"/>
    </w:lvl>
    <w:lvl w:ilvl="1">
      <w:lvlJc w:val="left"/>
      <w:lvlText w:val="%2"/>
      <w:numFmt w:val="upperLetter"/>
      <w:start w:val="1"/>
    </w:lvl>
  </w:abstractNum>
  <w:abstractNum w:abstractNumId="63">
    <w:nsid w:val="3F7F5DD9"/>
    <w:multiLevelType w:val="hybridMultilevel"/>
    <w:lvl w:ilvl="0">
      <w:lvlJc w:val="left"/>
      <w:lvlText w:val="%1"/>
      <w:numFmt w:val="lowerLetter"/>
      <w:start w:val="1"/>
    </w:lvl>
    <w:lvl w:ilvl="1">
      <w:lvlJc w:val="left"/>
      <w:lvlText w:val="(%2)"/>
      <w:numFmt w:val="lowerRoman"/>
      <w:start w:val="2"/>
    </w:lvl>
  </w:abstractNum>
  <w:abstractNum w:abstractNumId="64">
    <w:nsid w:val="2AE05A34"/>
    <w:multiLevelType w:val="hybridMultilevel"/>
    <w:lvl w:ilvl="0">
      <w:lvlJc w:val="left"/>
      <w:lvlText w:val="(%1)"/>
      <w:numFmt w:val="lowerLetter"/>
      <w:start w:val="3"/>
    </w:lvl>
    <w:lvl w:ilvl="1">
      <w:lvlJc w:val="left"/>
      <w:lvlText w:val="%2"/>
      <w:numFmt w:val="lowerRoman"/>
      <w:start w:val="1"/>
    </w:lvl>
  </w:abstractNum>
  <w:abstractNum w:abstractNumId="65">
    <w:nsid w:val="32794FF7"/>
    <w:multiLevelType w:val="hybridMultilevel"/>
    <w:lvl w:ilvl="0">
      <w:lvlJc w:val="left"/>
      <w:lvlText w:val="(%1)"/>
      <w:numFmt w:val="lowerLetter"/>
      <w:start w:val="5"/>
    </w:lvl>
  </w:abstractNum>
  <w:abstractNum w:abstractNumId="66">
    <w:nsid w:val="5454945E"/>
    <w:multiLevelType w:val="hybridMultilevel"/>
    <w:lvl w:ilvl="0">
      <w:lvlJc w:val="left"/>
      <w:lvlText w:val="(%1)"/>
      <w:numFmt w:val="lowerLetter"/>
      <w:start w:val="1"/>
    </w:lvl>
  </w:abstractNum>
  <w:abstractNum w:abstractNumId="67">
    <w:nsid w:val="4DEFDFA0"/>
    <w:multiLevelType w:val="hybridMultilevel"/>
    <w:lvl w:ilvl="0">
      <w:lvlJc w:val="left"/>
      <w:lvlText w:val="(%1)"/>
      <w:numFmt w:val="lowerLetter"/>
      <w:start w:val="1"/>
    </w:lvl>
  </w:abstractNum>
  <w:abstractNum w:abstractNumId="68">
    <w:nsid w:val="2123D5F2"/>
    <w:multiLevelType w:val="hybridMultilevel"/>
    <w:lvl w:ilvl="0">
      <w:lvlJc w:val="left"/>
      <w:lvlText w:val="(%1)"/>
      <w:numFmt w:val="lowerLetter"/>
      <w:start w:val="8"/>
    </w:lvl>
  </w:abstractNum>
  <w:abstractNum w:abstractNumId="69">
    <w:nsid w:val="135B8110"/>
    <w:multiLevelType w:val="hybridMultilevel"/>
    <w:lvl w:ilvl="0">
      <w:lvlJc w:val="left"/>
      <w:lvlText w:val="(%1)"/>
      <w:numFmt w:val="lowerLetter"/>
      <w:start w:val="1"/>
    </w:lvl>
  </w:abstractNum>
  <w:abstractNum w:abstractNumId="70">
    <w:nsid w:val="94927A8"/>
    <w:multiLevelType w:val="hybridMultilevel"/>
    <w:lvl w:ilvl="0">
      <w:lvlJc w:val="left"/>
      <w:lvlText w:val="(%1)"/>
      <w:numFmt w:val="lowerLetter"/>
      <w:start w:val="1"/>
    </w:lvl>
    <w:lvl w:ilvl="1">
      <w:lvlJc w:val="left"/>
      <w:lvlText w:val="(%2)"/>
      <w:numFmt w:val="lowerRoman"/>
      <w:start w:val="1"/>
    </w:lvl>
  </w:abstractNum>
  <w:abstractNum w:abstractNumId="71">
    <w:nsid w:val="DCDF8F6"/>
    <w:multiLevelType w:val="hybridMultilevel"/>
    <w:lvl w:ilvl="0">
      <w:lvlJc w:val="left"/>
      <w:lvlText w:val="(%1)"/>
      <w:numFmt w:val="lowerLetter"/>
      <w:start w:val="5"/>
    </w:lvl>
  </w:abstractNum>
  <w:abstractNum w:abstractNumId="72">
    <w:nsid w:val="52D7B105"/>
    <w:multiLevelType w:val="hybridMultilevel"/>
    <w:lvl w:ilvl="0">
      <w:lvlJc w:val="left"/>
      <w:lvlText w:val="(%1)"/>
      <w:numFmt w:val="lowerLetter"/>
      <w:start w:val="7"/>
    </w:lvl>
  </w:abstractNum>
  <w:abstractNum w:abstractNumId="73">
    <w:nsid w:val="2E8A6394"/>
    <w:multiLevelType w:val="hybridMultilevel"/>
    <w:lvl w:ilvl="0">
      <w:lvlJc w:val="left"/>
      <w:lvlText w:val="(%1)"/>
      <w:numFmt w:val="lowerLetter"/>
      <w:start w:val="1"/>
    </w:lvl>
  </w:abstractNum>
  <w:abstractNum w:abstractNumId="74">
    <w:nsid w:val="24E60401"/>
    <w:multiLevelType w:val="hybridMultilevel"/>
    <w:lvl w:ilvl="0">
      <w:lvlJc w:val="left"/>
      <w:lvlText w:val="(%1)"/>
      <w:numFmt w:val="lowerLetter"/>
      <w:start w:val="8"/>
    </w:lvl>
  </w:abstractNum>
  <w:abstractNum w:abstractNumId="75">
    <w:nsid w:val="2A6AD9BE"/>
    <w:multiLevelType w:val="hybridMultilevel"/>
    <w:lvl w:ilvl="0">
      <w:lvlJc w:val="left"/>
      <w:lvlText w:val="(%1)"/>
      <w:numFmt w:val="lowerLetter"/>
      <w:start w:val="2"/>
    </w:lvl>
    <w:lvl w:ilvl="1">
      <w:lvlJc w:val="left"/>
      <w:lvlText w:val="(%2)"/>
      <w:numFmt w:val="lowerRoman"/>
      <w:start w:val="1"/>
    </w:lvl>
  </w:abstractNum>
  <w:abstractNum w:abstractNumId="76">
    <w:nsid w:val="BAAC1B4"/>
    <w:multiLevelType w:val="hybridMultilevel"/>
    <w:lvl w:ilvl="0">
      <w:lvlJc w:val="left"/>
      <w:lvlText w:val="(%1)"/>
      <w:numFmt w:val="lowerLetter"/>
      <w:start w:val="1"/>
    </w:lvl>
  </w:abstractNum>
  <w:abstractNum w:abstractNumId="77">
    <w:nsid w:val="36B2ACBC"/>
    <w:multiLevelType w:val="hybridMultilevel"/>
    <w:lvl w:ilvl="0">
      <w:lvlJc w:val="left"/>
      <w:lvlText w:val="(%1)"/>
      <w:numFmt w:val="lowerLetter"/>
      <w:start w:val="3"/>
    </w:lvl>
  </w:abstractNum>
  <w:abstractNum w:abstractNumId="78">
    <w:nsid w:val="779D8544"/>
    <w:multiLevelType w:val="hybridMultilevel"/>
    <w:lvl w:ilvl="0">
      <w:lvlJc w:val="left"/>
      <w:lvlText w:val="(%1)"/>
      <w:numFmt w:val="lowerLetter"/>
      <w:start w:val="1"/>
    </w:lvl>
  </w:abstractNum>
  <w:abstractNum w:abstractNumId="79">
    <w:nsid w:val="4AB26E78"/>
    <w:multiLevelType w:val="hybridMultilevel"/>
    <w:lvl w:ilvl="0">
      <w:lvlJc w:val="left"/>
      <w:lvlText w:val="(%1)"/>
      <w:numFmt w:val="lowerLetter"/>
      <w:start w:val="12"/>
    </w:lvl>
  </w:abstractNum>
  <w:abstractNum w:abstractNumId="80">
    <w:nsid w:val="21FAA2FA"/>
    <w:multiLevelType w:val="hybridMultilevel"/>
    <w:lvl w:ilvl="0">
      <w:lvlJc w:val="left"/>
      <w:lvlText w:val="(%1)"/>
      <w:numFmt w:val="lowerLetter"/>
      <w:start w:val="1"/>
    </w:lvl>
  </w:abstractNum>
  <w:abstractNum w:abstractNumId="81">
    <w:nsid w:val="5451CF49"/>
    <w:multiLevelType w:val="hybridMultilevel"/>
    <w:lvl w:ilvl="0">
      <w:lvlJc w:val="left"/>
      <w:lvlText w:val="(%1)"/>
      <w:numFmt w:val="lowerLetter"/>
      <w:start w:val="1"/>
    </w:lvl>
  </w:abstractNum>
  <w:abstractNum w:abstractNumId="82">
    <w:nsid w:val="6181EF69"/>
    <w:multiLevelType w:val="hybridMultilevel"/>
    <w:lvl w:ilvl="0">
      <w:lvlJc w:val="left"/>
      <w:lvlText w:val="8"/>
      <w:numFmt w:val="bullet"/>
      <w:start w:val="1"/>
    </w:lvl>
  </w:abstractNum>
  <w:abstractNum w:abstractNumId="83">
    <w:nsid w:val="3E6400E6"/>
    <w:multiLevelType w:val="hybridMultilevel"/>
    <w:lvl w:ilvl="0">
      <w:lvlJc w:val="left"/>
      <w:lvlText w:val="(%1)"/>
      <w:numFmt w:val="lowerRoman"/>
      <w:start w:val="1"/>
    </w:lvl>
  </w:abstractNum>
  <w:abstractNum w:abstractNumId="84">
    <w:nsid w:val="14217E23"/>
    <w:multiLevelType w:val="hybridMultilevel"/>
    <w:lvl w:ilvl="0">
      <w:lvlJc w:val="left"/>
      <w:lvlText w:val="(%1)"/>
      <w:numFmt w:val="lowerRoman"/>
      <w:start w:val="2"/>
    </w:lvl>
  </w:abstractNum>
  <w:abstractNum w:abstractNumId="85">
    <w:nsid w:val="710757D0"/>
    <w:multiLevelType w:val="hybridMultilevel"/>
    <w:lvl w:ilvl="0">
      <w:lvlJc w:val="left"/>
      <w:lvlText w:val="(%1)"/>
      <w:numFmt w:val="upperLetter"/>
      <w:start w:val="1"/>
    </w:lvl>
  </w:abstractNum>
  <w:abstractNum w:abstractNumId="86">
    <w:nsid w:val="5015CD1A"/>
    <w:multiLevelType w:val="hybridMultilevel"/>
    <w:lvl w:ilvl="0">
      <w:lvlJc w:val="left"/>
      <w:lvlText w:val="(%1)"/>
      <w:numFmt w:val="upperLetter"/>
      <w:start w:val="3"/>
    </w:lvl>
  </w:abstractNum>
  <w:abstractNum w:abstractNumId="87">
    <w:nsid w:val="424479DA"/>
    <w:multiLevelType w:val="hybridMultilevel"/>
    <w:lvl w:ilvl="0">
      <w:lvlJc w:val="left"/>
      <w:lvlText w:val="%1"/>
      <w:numFmt w:val="lowerLetter"/>
      <w:start w:val="1"/>
    </w:lvl>
    <w:lvl w:ilvl="1">
      <w:lvlJc w:val="left"/>
      <w:lvlText w:val="(%2)"/>
      <w:numFmt w:val="lowerLetter"/>
      <w:start w:val="22"/>
    </w:lvl>
  </w:abstractNum>
  <w:abstractNum w:abstractNumId="88">
    <w:nsid w:val="1A9A9E69"/>
    <w:multiLevelType w:val="hybridMultilevel"/>
    <w:lvl w:ilvl="0">
      <w:lvlJc w:val="left"/>
      <w:lvlText w:val="(%1)"/>
      <w:numFmt w:val="lowerLetter"/>
      <w:start w:val="2"/>
    </w:lvl>
    <w:lvl w:ilvl="1">
      <w:lvlJc w:val="left"/>
      <w:lvlText w:val="%2"/>
      <w:numFmt w:val="lowerLetter"/>
      <w:start w:val="1"/>
    </w:lvl>
  </w:abstractNum>
  <w:abstractNum w:abstractNumId="89">
    <w:nsid w:val="475E256A"/>
    <w:multiLevelType w:val="hybridMultilevel"/>
    <w:lvl w:ilvl="0">
      <w:lvlJc w:val="left"/>
      <w:lvlText w:val="(%1)"/>
      <w:numFmt w:val="lowerLetter"/>
      <w:start w:val="3"/>
    </w:lvl>
  </w:abstractNum>
  <w:abstractNum w:abstractNumId="90">
    <w:nsid w:val="368DB37E"/>
    <w:multiLevelType w:val="hybridMultilevel"/>
    <w:lvl w:ilvl="0">
      <w:lvlJc w:val="left"/>
      <w:lvlText w:val="(%1)"/>
      <w:numFmt w:val="lowerLetter"/>
      <w:start w:val="5"/>
    </w:lvl>
  </w:abstractNum>
  <w:abstractNum w:abstractNumId="91">
    <w:nsid w:val="6A3B714C"/>
    <w:multiLevelType w:val="hybridMultilevel"/>
    <w:lvl w:ilvl="0">
      <w:lvlJc w:val="left"/>
      <w:lvlText w:val="(%1)"/>
      <w:numFmt w:val="lowerLetter"/>
      <w:start w:val="10"/>
    </w:lvl>
  </w:abstractNum>
  <w:abstractNum w:abstractNumId="92">
    <w:nsid w:val="327B517E"/>
    <w:multiLevelType w:val="hybridMultilevel"/>
    <w:lvl w:ilvl="0">
      <w:lvlJc w:val="left"/>
      <w:lvlText w:val="(%1)"/>
      <w:numFmt w:val="lowerLetter"/>
      <w:start w:val="1"/>
    </w:lvl>
  </w:abstractNum>
  <w:abstractNum w:abstractNumId="93">
    <w:nsid w:val="1F461B51"/>
    <w:multiLevelType w:val="hybridMultilevel"/>
    <w:lvl w:ilvl="0">
      <w:lvlJc w:val="left"/>
      <w:lvlText w:val="%1"/>
      <w:numFmt w:val="lowerLetter"/>
      <w:start w:val="1"/>
    </w:lvl>
    <w:lvl w:ilvl="1">
      <w:lvlJc w:val="left"/>
      <w:lvlText w:val="(%2)"/>
      <w:numFmt w:val="lowerRoman"/>
      <w:start w:val="1"/>
    </w:lvl>
  </w:abstractNum>
  <w:abstractNum w:abstractNumId="94">
    <w:nsid w:val="29BACF25"/>
    <w:multiLevelType w:val="hybridMultilevel"/>
    <w:lvl w:ilvl="0">
      <w:lvlJc w:val="left"/>
      <w:lvlText w:val="(%1)"/>
      <w:numFmt w:val="lowerLetter"/>
      <w:start w:val="3"/>
    </w:lvl>
    <w:lvl w:ilvl="1">
      <w:lvlJc w:val="left"/>
      <w:lvlText w:val="%2"/>
      <w:numFmt w:val="lowerRoman"/>
      <w:start w:val="1"/>
    </w:lvl>
  </w:abstractNum>
  <w:abstractNum w:abstractNumId="95">
    <w:nsid w:val="5D5BABB3"/>
    <w:multiLevelType w:val="hybridMultilevel"/>
    <w:lvl w:ilvl="0">
      <w:lvlJc w:val="left"/>
      <w:lvlText w:val="9"/>
      <w:numFmt w:val="bullet"/>
      <w:start w:val="1"/>
    </w:lvl>
  </w:abstractNum>
  <w:abstractNum w:abstractNumId="96">
    <w:nsid w:val="51BF6B48"/>
    <w:multiLevelType w:val="hybridMultilevel"/>
    <w:lvl w:ilvl="0">
      <w:lvlJc w:val="left"/>
      <w:lvlText w:val="(%1)"/>
      <w:numFmt w:val="lowerLetter"/>
      <w:start w:val="5"/>
    </w:lvl>
  </w:abstractNum>
  <w:abstractNum w:abstractNumId="97">
    <w:nsid w:val="7E0F6384"/>
    <w:multiLevelType w:val="hybridMultilevel"/>
    <w:lvl w:ilvl="0">
      <w:lvlJc w:val="left"/>
      <w:lvlText w:val="(%1)"/>
      <w:numFmt w:val="lowerLetter"/>
      <w:start w:val="2"/>
    </w:lvl>
  </w:abstractNum>
  <w:abstractNum w:abstractNumId="98">
    <w:nsid w:val="2B4B8B53"/>
    <w:multiLevelType w:val="hybridMultilevel"/>
    <w:lvl w:ilvl="0">
      <w:lvlJc w:val="left"/>
      <w:lvlText w:val="(%1)"/>
      <w:numFmt w:val="lowerLetter"/>
      <w:start w:val="4"/>
    </w:lvl>
  </w:abstractNum>
  <w:abstractNum w:abstractNumId="99">
    <w:nsid w:val="72E3413A"/>
    <w:multiLevelType w:val="hybridMultilevel"/>
    <w:lvl w:ilvl="0">
      <w:lvlJc w:val="left"/>
      <w:lvlText w:val="(%1)"/>
      <w:numFmt w:val="lowerRoman"/>
      <w:start w:val="1"/>
    </w:lvl>
  </w:abstractNum>
  <w:abstractNum w:abstractNumId="100">
    <w:nsid w:val="116AE494"/>
    <w:multiLevelType w:val="hybridMultilevel"/>
    <w:lvl w:ilvl="0">
      <w:lvlJc w:val="left"/>
      <w:lvlText w:val="(%1)"/>
      <w:numFmt w:val="lowerLetter"/>
      <w:start w:val="6"/>
    </w:lvl>
  </w:abstractNum>
  <w:abstractNum w:abstractNumId="101">
    <w:nsid w:val="3494B2FB"/>
    <w:multiLevelType w:val="hybridMultilevel"/>
    <w:lvl w:ilvl="0">
      <w:lvlJc w:val="left"/>
      <w:lvlText w:val="%1"/>
      <w:numFmt w:val="decimal"/>
      <w:start w:val="11"/>
    </w:lvl>
  </w:abstractNum>
  <w:abstractNum w:abstractNumId="102">
    <w:nsid w:val="B13A31"/>
    <w:multiLevelType w:val="hybridMultilevel"/>
    <w:lvl w:ilvl="0">
      <w:lvlJc w:val="left"/>
      <w:lvlText w:val="(%1)"/>
      <w:numFmt w:val="lowerLetter"/>
      <w:start w:val="25"/>
    </w:lvl>
    <w:lvl w:ilvl="1">
      <w:lvlJc w:val="left"/>
      <w:lvlText w:val="(%2)"/>
      <w:numFmt w:val="lowerLetter"/>
      <w:start w:val="1"/>
    </w:lvl>
  </w:abstractNum>
  <w:abstractNum w:abstractNumId="103">
    <w:nsid w:val="64429599"/>
    <w:multiLevelType w:val="hybridMultilevel"/>
    <w:lvl w:ilvl="0">
      <w:lvlJc w:val="left"/>
      <w:lvlText w:val="(%1)"/>
      <w:numFmt w:val="lowerLetter"/>
      <w:start w:val="2"/>
    </w:lvl>
  </w:abstractNum>
  <w:abstractNum w:abstractNumId="104">
    <w:nsid w:val="631F1690"/>
    <w:multiLevelType w:val="hybridMultilevel"/>
    <w:lvl w:ilvl="0">
      <w:lvlJc w:val="left"/>
      <w:lvlText w:val="X"/>
      <w:numFmt w:val="bullet"/>
      <w:start w:val="1"/>
    </w:lvl>
  </w:abstractNum>
  <w:abstractNum w:abstractNumId="105">
    <w:nsid w:val="25973E32"/>
    <w:multiLevelType w:val="hybridMultilevel"/>
    <w:lvl w:ilvl="0">
      <w:lvlJc w:val="left"/>
      <w:lvlText w:val="Y"/>
      <w:numFmt w:val="bullet"/>
      <w:start w:val="1"/>
    </w:lvl>
  </w:abstractNum>
  <w:abstractNum w:abstractNumId="106">
    <w:nsid w:val="EAD6F57"/>
    <w:multiLevelType w:val="hybridMultilevel"/>
    <w:lvl w:ilvl="0">
      <w:lvlJc w:val="left"/>
      <w:lvlText w:val="(%1)"/>
      <w:numFmt w:val="lowerLetter"/>
      <w:start w:val="3"/>
    </w:lvl>
  </w:abstractNum>
  <w:abstractNum w:abstractNumId="107">
    <w:nsid w:val="6EC9D844"/>
    <w:multiLevelType w:val="hybridMultilevel"/>
    <w:lvl w:ilvl="0">
      <w:lvlJc w:val="left"/>
      <w:lvlText w:val="(%1)"/>
      <w:numFmt w:val="decimal"/>
      <w:start w:val="1"/>
    </w:lvl>
  </w:abstractNum>
  <w:abstractNum w:abstractNumId="108">
    <w:nsid w:val="5C49EAEE"/>
    <w:multiLevelType w:val="hybridMultilevel"/>
    <w:lvl w:ilvl="0">
      <w:lvlJc w:val="left"/>
      <w:lvlText w:val="%1"/>
      <w:numFmt w:val="lowerLetter"/>
      <w:start w:val="1"/>
    </w:lvl>
    <w:lvl w:ilvl="1">
      <w:lvlJc w:val="left"/>
      <w:lvlText w:val="(%2)"/>
      <w:numFmt w:val="upperLetter"/>
      <w:start w:val="1"/>
    </w:lvl>
  </w:abstractNum>
  <w:abstractNum w:abstractNumId="109">
    <w:nsid w:val="64AF49B"/>
    <w:multiLevelType w:val="hybridMultilevel"/>
    <w:lvl w:ilvl="0">
      <w:lvlJc w:val="left"/>
      <w:lvlText w:val="(%1)"/>
      <w:numFmt w:val="lowerLetter"/>
      <w:start w:val="4"/>
    </w:lvl>
    <w:lvl w:ilvl="1">
      <w:lvlJc w:val="left"/>
      <w:lvlText w:val="%2"/>
      <w:numFmt w:val="upperLetter"/>
      <w:start w:val="1"/>
    </w:lvl>
  </w:abstractNum>
  <w:abstractNum w:abstractNumId="110">
    <w:nsid w:val="397C46BC"/>
    <w:multiLevelType w:val="hybridMultilevel"/>
    <w:lvl w:ilvl="0">
      <w:lvlJc w:val="left"/>
      <w:lvlText w:val="C"/>
      <w:numFmt w:val="bullet"/>
      <w:start w:val="1"/>
    </w:lvl>
  </w:abstractNum>
  <w:abstractNum w:abstractNumId="111">
    <w:nsid w:val="7E448DE9"/>
    <w:multiLevelType w:val="hybridMultilevel"/>
    <w:lvl w:ilvl="0">
      <w:lvlJc w:val="left"/>
      <w:lvlText w:val="(%1)"/>
      <w:numFmt w:val="lowerLetter"/>
      <w:start w:val="5"/>
    </w:lvl>
  </w:abstractNum>
  <w:abstractNum w:abstractNumId="112">
    <w:nsid w:val="5A9CC3E5"/>
    <w:multiLevelType w:val="hybridMultilevel"/>
    <w:lvl w:ilvl="0">
      <w:lvlJc w:val="left"/>
      <w:lvlText w:val="(%1)"/>
      <w:numFmt w:val="lowerLetter"/>
      <w:start w:val="6"/>
    </w:lvl>
  </w:abstractNum>
  <w:abstractNum w:abstractNumId="113">
    <w:nsid w:val="1AFE3625"/>
    <w:multiLevelType w:val="hybridMultilevel"/>
    <w:lvl w:ilvl="0">
      <w:lvlJc w:val="left"/>
      <w:lvlText w:val="(%1)"/>
      <w:numFmt w:val="lowerLetter"/>
      <w:start w:val="10"/>
    </w:lvl>
    <w:lvl w:ilvl="1">
      <w:lvlJc w:val="left"/>
      <w:lvlText w:val="(%2)"/>
      <w:numFmt w:val="lowerRoman"/>
      <w:start w:val="1"/>
    </w:lvl>
  </w:abstractNum>
  <w:abstractNum w:abstractNumId="114">
    <w:nsid w:val="3CA88ECF"/>
    <w:multiLevelType w:val="hybridMultilevel"/>
    <w:lvl w:ilvl="0">
      <w:lvlJc w:val="left"/>
      <w:lvlText w:val="(%1)"/>
      <w:numFmt w:val="lowerLetter"/>
      <w:start w:val="13"/>
    </w:lvl>
  </w:abstractNum>
  <w:abstractNum w:abstractNumId="115">
    <w:nsid w:val="6EBE4208"/>
    <w:multiLevelType w:val="hybridMultilevel"/>
    <w:lvl w:ilvl="0">
      <w:lvlJc w:val="left"/>
      <w:lvlText w:val="(%1)"/>
      <w:numFmt w:val="lowerLetter"/>
      <w:start w:val="14"/>
    </w:lvl>
  </w:abstractNum>
  <w:abstractNum w:abstractNumId="116">
    <w:nsid w:val="C058DF5"/>
    <w:multiLevelType w:val="hybridMultilevel"/>
    <w:lvl w:ilvl="0">
      <w:lvlJc w:val="left"/>
      <w:lvlText w:val="(%1)"/>
      <w:numFmt w:val="lowerLetter"/>
      <w:start w:val="1"/>
    </w:lvl>
    <w:lvl w:ilvl="1">
      <w:lvlJc w:val="left"/>
      <w:lvlText w:val="(%2)"/>
      <w:numFmt w:val="lowerRoman"/>
      <w:start w:val="1"/>
    </w:lvl>
  </w:abstractNum>
  <w:abstractNum w:abstractNumId="117">
    <w:nsid w:val="CBE5BE9"/>
    <w:multiLevelType w:val="hybridMultilevel"/>
    <w:lvl w:ilvl="0">
      <w:lvlJc w:val="left"/>
      <w:lvlText w:val="(%1)"/>
      <w:numFmt w:val="lowerLetter"/>
      <w:start w:val="2"/>
    </w:lvl>
  </w:abstractNum>
  <w:abstractNum w:abstractNumId="118">
    <w:nsid w:val="3102BBE2"/>
    <w:multiLevelType w:val="hybridMultilevel"/>
    <w:lvl w:ilvl="0">
      <w:lvlJc w:val="left"/>
      <w:lvlText w:val="(%1)"/>
      <w:numFmt w:val="lowerLetter"/>
      <w:start w:val="2"/>
    </w:lvl>
  </w:abstractNum>
  <w:abstractNum w:abstractNumId="119">
    <w:nsid w:val="26A02C5E"/>
    <w:multiLevelType w:val="hybridMultilevel"/>
    <w:lvl w:ilvl="0">
      <w:lvlJc w:val="left"/>
      <w:lvlText w:val="(%1)"/>
      <w:numFmt w:val="lowerLetter"/>
      <w:start w:val="1"/>
    </w:lvl>
  </w:abstractNum>
  <w:abstractNum w:abstractNumId="120">
    <w:nsid w:val="541C8153"/>
    <w:multiLevelType w:val="hybridMultilevel"/>
    <w:lvl w:ilvl="0">
      <w:lvlJc w:val="left"/>
      <w:lvlText w:val="(%1)"/>
      <w:numFmt w:val="lowerLetter"/>
      <w:start w:val="1"/>
    </w:lvl>
  </w:abstractNum>
  <w:abstractNum w:abstractNumId="121">
    <w:nsid w:val="67906F60"/>
    <w:multiLevelType w:val="hybridMultilevel"/>
    <w:lvl w:ilvl="0">
      <w:lvlJc w:val="left"/>
      <w:lvlText w:val="(%1)"/>
      <w:numFmt w:val="lowerLetter"/>
      <w:start w:val="2"/>
    </w:lvl>
    <w:lvl w:ilvl="1">
      <w:lvlJc w:val="left"/>
      <w:lvlText w:val="(%2)"/>
      <w:numFmt w:val="lowerLetter"/>
      <w:start w:val="9"/>
    </w:lvl>
  </w:abstractNum>
  <w:abstractNum w:abstractNumId="122">
    <w:nsid w:val="10DB9DAA"/>
    <w:multiLevelType w:val="hybridMultilevel"/>
    <w:lvl w:ilvl="0">
      <w:lvlJc w:val="left"/>
      <w:lvlText w:val="(%1)"/>
      <w:numFmt w:val="lowerRoman"/>
      <w:start w:val="2"/>
    </w:lvl>
  </w:abstractNum>
  <w:abstractNum w:abstractNumId="123">
    <w:nsid w:val="697D2D2"/>
    <w:multiLevelType w:val="hybridMultilevel"/>
    <w:lvl w:ilvl="0">
      <w:lvlJc w:val="left"/>
      <w:lvlText w:val="(%1)"/>
      <w:numFmt w:val="decimal"/>
      <w:start w:val="1"/>
    </w:lvl>
  </w:abstractNum>
  <w:abstractNum w:abstractNumId="124">
    <w:nsid w:val="6D68AB2"/>
    <w:multiLevelType w:val="hybridMultilevel"/>
    <w:lvl w:ilvl="0">
      <w:lvlJc w:val="left"/>
      <w:lvlText w:val="(%1)"/>
      <w:numFmt w:val="lowerLetter"/>
      <w:start w:val="3"/>
    </w:lvl>
    <w:lvl w:ilvl="1">
      <w:lvlJc w:val="left"/>
      <w:lvlText w:val="(%2)"/>
      <w:numFmt w:val="lowerRoman"/>
      <w:start w:val="1"/>
    </w:lvl>
  </w:abstractNum>
  <w:abstractNum w:abstractNumId="125">
    <w:nsid w:val="3A966CD0"/>
    <w:multiLevelType w:val="hybridMultilevel"/>
    <w:lvl w:ilvl="0">
      <w:lvlJc w:val="left"/>
      <w:lvlText w:val="(%1)"/>
      <w:numFmt w:val="lowerLetter"/>
      <w:start w:val="4"/>
    </w:lvl>
  </w:abstractNum>
  <w:abstractNum w:abstractNumId="126">
    <w:nsid w:val="63F37E85"/>
    <w:multiLevelType w:val="hybridMultilevel"/>
    <w:lvl w:ilvl="0">
      <w:lvlJc w:val="left"/>
      <w:lvlText w:val="(%1)"/>
      <w:numFmt w:val="lowerRoman"/>
      <w:start w:val="2"/>
    </w:lvl>
  </w:abstractNum>
  <w:abstractNum w:abstractNumId="127">
    <w:nsid w:val="5895F5FA"/>
    <w:multiLevelType w:val="hybridMultilevel"/>
    <w:lvl w:ilvl="0">
      <w:lvlJc w:val="left"/>
      <w:lvlText w:val="(%1)"/>
      <w:numFmt w:val="lowerLetter"/>
      <w:start w:val="2"/>
    </w:lvl>
  </w:abstractNum>
  <w:abstractNum w:abstractNumId="128">
    <w:nsid w:val="38A5D054"/>
    <w:multiLevelType w:val="hybridMultilevel"/>
    <w:lvl w:ilvl="0">
      <w:lvlJc w:val="left"/>
      <w:lvlText w:val="(%1)"/>
      <w:numFmt w:val="lowerLetter"/>
      <w:start w:val="1"/>
    </w:lvl>
  </w:abstractNum>
  <w:abstractNum w:abstractNumId="129">
    <w:nsid w:val="F3F09D8"/>
    <w:multiLevelType w:val="hybridMultilevel"/>
    <w:lvl w:ilvl="0">
      <w:lvlJc w:val="left"/>
      <w:lvlText w:val="(%1)"/>
      <w:numFmt w:val="lowerLetter"/>
      <w:start w:val="2"/>
    </w:lvl>
    <w:lvl w:ilvl="1">
      <w:lvlJc w:val="left"/>
      <w:lvlText w:val="(%2)"/>
      <w:numFmt w:val="lowerRoman"/>
      <w:start w:val="1"/>
    </w:lvl>
  </w:abstractNum>
  <w:abstractNum w:abstractNumId="130">
    <w:nsid w:val="4B793735"/>
    <w:multiLevelType w:val="hybridMultilevel"/>
    <w:lvl w:ilvl="0">
      <w:lvlJc w:val="left"/>
      <w:lvlText w:val="(%1)"/>
      <w:numFmt w:val="lowerLetter"/>
      <w:start w:val="4"/>
    </w:lvl>
  </w:abstractNum>
  <w:abstractNum w:abstractNumId="131">
    <w:nsid w:val="4A10B4E8"/>
    <w:multiLevelType w:val="hybridMultilevel"/>
    <w:lvl w:ilvl="0">
      <w:lvlJc w:val="left"/>
      <w:lvlText w:val="(%1)"/>
      <w:numFmt w:val="lowerLetter"/>
      <w:start w:val="2"/>
    </w:lvl>
  </w:abstractNum>
  <w:abstractNum w:abstractNumId="132">
    <w:nsid w:val="43D3BCD4"/>
    <w:multiLevelType w:val="hybridMultilevel"/>
    <w:lvl w:ilvl="0">
      <w:lvlJc w:val="left"/>
      <w:lvlText w:val="(%1)"/>
      <w:numFmt w:val="decimal"/>
      <w:start w:val="1"/>
    </w:lvl>
  </w:abstractNum>
  <w:abstractNum w:abstractNumId="133">
    <w:nsid w:val="4C2A7166"/>
    <w:multiLevelType w:val="hybridMultilevel"/>
    <w:lvl w:ilvl="0">
      <w:lvlJc w:val="left"/>
      <w:lvlText w:val="(%1)"/>
      <w:numFmt w:val="upperLetter"/>
      <w:start w:val="1"/>
    </w:lvl>
  </w:abstractNum>
  <w:abstractNum w:abstractNumId="134">
    <w:nsid w:val="2E534A82"/>
    <w:multiLevelType w:val="hybridMultilevel"/>
    <w:lvl w:ilvl="0">
      <w:lvlJc w:val="left"/>
      <w:lvlText w:val="%1"/>
      <w:numFmt w:val="decimal"/>
      <w:start w:val="15"/>
    </w:lvl>
  </w:abstractNum>
  <w:abstractNum w:abstractNumId="135">
    <w:nsid w:val="26F2D364"/>
    <w:multiLevelType w:val="hybridMultilevel"/>
    <w:lvl w:ilvl="0">
      <w:lvlJc w:val="left"/>
      <w:lvlText w:val="%1"/>
      <w:numFmt w:val="decimal"/>
      <w:start w:val="16"/>
    </w:lvl>
  </w:abstractNum>
  <w:abstractNum w:abstractNumId="136">
    <w:nsid w:val="71C1AF98"/>
    <w:multiLevelType w:val="hybridMultilevel"/>
    <w:lvl w:ilvl="0">
      <w:lvlJc w:val="left"/>
      <w:lvlText w:val="$"/>
      <w:numFmt w:val="bullet"/>
      <w:start w:val="1"/>
    </w:lvl>
  </w:abstractNum>
  <w:abstractNum w:abstractNumId="137">
    <w:nsid w:val="3D00B9D9"/>
    <w:multiLevelType w:val="hybridMultilevel"/>
    <w:lvl w:ilvl="0">
      <w:lvlJc w:val="left"/>
      <w:lvlText w:val="☐"/>
      <w:numFmt w:val="bullet"/>
      <w:start w:val="1"/>
    </w:lvl>
  </w:abstractNum>
  <w:abstractNum w:abstractNumId="138">
    <w:nsid w:val="15BCABA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39">
    <w:nsid w:val="4E0B9A87"/>
    <w:multiLevelType w:val="hybridMultilevel"/>
    <w:lvl w:ilvl="0">
      <w:lvlJc w:val="left"/>
      <w:lvlText w:val="%1"/>
      <w:numFmt w:val="lowerLetter"/>
      <w:start w:val="1"/>
    </w:lvl>
    <w:lvl w:ilvl="1">
      <w:lvlJc w:val="left"/>
      <w:lvlText w:val="(%2)"/>
      <w:numFmt w:val="lowerRoman"/>
      <w:start w:val="2"/>
    </w:lvl>
  </w:abstractNum>
  <w:abstractNum w:abstractNumId="140">
    <w:nsid w:val="434BAE75"/>
    <w:multiLevelType w:val="hybridMultilevel"/>
    <w:lvl w:ilvl="0">
      <w:lvlJc w:val="left"/>
      <w:lvlText w:val="%1."/>
      <w:numFmt w:val="lowerLetter"/>
      <w:start w:val="4"/>
    </w:lvl>
    <w:lvl w:ilvl="1">
      <w:lvlJc w:val="left"/>
      <w:lvlText w:val="(%2)"/>
      <w:numFmt w:val="lowerRoman"/>
      <w:start w:val="1"/>
    </w:lvl>
  </w:abstractNum>
  <w:abstractNum w:abstractNumId="141">
    <w:nsid w:val="4F38F265"/>
    <w:multiLevelType w:val="hybridMultilevel"/>
    <w:lvl w:ilvl="0">
      <w:lvlJc w:val="left"/>
      <w:lvlText w:val="(%1)"/>
      <w:numFmt w:val="lowerRoman"/>
      <w:start w:val="5"/>
    </w:lvl>
  </w:abstractNum>
  <w:abstractNum w:abstractNumId="142">
    <w:nsid w:val="4C502870"/>
    <w:multiLevelType w:val="hybridMultilevel"/>
    <w:lvl w:ilvl="0">
      <w:lvlJc w:val="left"/>
      <w:lvlText w:val="%1"/>
      <w:numFmt w:val="decimal"/>
      <w:start w:val="1"/>
    </w:lvl>
    <w:lvl w:ilvl="1">
      <w:lvlJc w:val="left"/>
      <w:lvlText w:val="%2."/>
      <w:numFmt w:val="lowerLetter"/>
      <w:start w:val="6"/>
    </w:lvl>
  </w:abstractNum>
  <w:abstractNum w:abstractNumId="143">
    <w:nsid w:val="1DE8725A"/>
    <w:multiLevelType w:val="hybridMultilevel"/>
    <w:lvl w:ilvl="0">
      <w:lvlJc w:val="left"/>
      <w:lvlText w:val="%1."/>
      <w:numFmt w:val="decimal"/>
      <w:start w:val="3"/>
    </w:lvl>
    <w:lvl w:ilvl="1">
      <w:lvlJc w:val="left"/>
      <w:lvlText w:val="%2."/>
      <w:numFmt w:val="lowerLetter"/>
      <w:start w:val="1"/>
    </w:lvl>
  </w:abstractNum>
  <w:abstractNum w:abstractNumId="144">
    <w:nsid w:val="6A37288A"/>
    <w:multiLevelType w:val="hybridMultilevel"/>
    <w:lvl w:ilvl="0">
      <w:lvlJc w:val="left"/>
      <w:lvlText w:val="%1"/>
      <w:numFmt w:val="lowerRoman"/>
      <w:start w:val="1"/>
    </w:lvl>
    <w:lvl w:ilvl="1">
      <w:lvlJc w:val="left"/>
      <w:lvlText w:val="%2."/>
      <w:numFmt w:val="lowerLetter"/>
      <w:start w:val="9"/>
    </w:lvl>
  </w:abstractNum>
  <w:abstractNum w:abstractNumId="145">
    <w:nsid w:val="8F8B73F"/>
    <w:multiLevelType w:val="hybridMultilevel"/>
    <w:lvl w:ilvl="0">
      <w:lvlJc w:val="left"/>
      <w:lvlText w:val="(%1)"/>
      <w:numFmt w:val="lowerRoman"/>
      <w:start w:val="2"/>
    </w:lvl>
    <w:lvl w:ilvl="1">
      <w:lvlJc w:val="left"/>
      <w:lvlText w:val="%2"/>
      <w:numFmt w:val="lowerLetter"/>
      <w:start w:val="1"/>
    </w:lvl>
  </w:abstractNum>
  <w:abstractNum w:abstractNumId="146">
    <w:nsid w:val="CA6B462"/>
    <w:multiLevelType w:val="hybridMultilevel"/>
    <w:lvl w:ilvl="0">
      <w:lvlJc w:val="left"/>
      <w:lvlText w:val="(%1)"/>
      <w:numFmt w:val="lowerRoman"/>
      <w:start w:val="4"/>
    </w:lvl>
    <w:lvl w:ilvl="1">
      <w:lvlJc w:val="left"/>
      <w:lvlText w:val="%2."/>
      <w:numFmt w:val="lowerLetter"/>
      <w:start w:val="10"/>
    </w:lvl>
  </w:abstractNum>
  <w:abstractNum w:abstractNumId="147">
    <w:nsid w:val="763CB680"/>
    <w:multiLevelType w:val="hybridMultilevel"/>
    <w:lvl w:ilvl="0">
      <w:lvlJc w:val="left"/>
      <w:lvlText w:val="%1"/>
      <w:numFmt w:val="lowerRoman"/>
      <w:start w:val="1"/>
    </w:lvl>
    <w:lvl w:ilvl="1">
      <w:lvlJc w:val="left"/>
      <w:lvlText w:val="%2."/>
      <w:numFmt w:val="lowerLetter"/>
      <w:start w:val="12"/>
    </w:lvl>
  </w:abstractNum>
  <w:abstractNum w:abstractNumId="148">
    <w:nsid w:val="15B71329"/>
    <w:multiLevelType w:val="hybridMultilevel"/>
    <w:lvl w:ilvl="0">
      <w:lvlJc w:val="left"/>
      <w:lvlText w:val="(%1)"/>
      <w:numFmt w:val="lowerRoman"/>
      <w:start w:val="1"/>
    </w:lvl>
    <w:lvl w:ilvl="1">
      <w:lvlJc w:val="left"/>
      <w:lvlText w:val="%2"/>
      <w:numFmt w:val="lowerLetter"/>
      <w:start w:val="1"/>
    </w:lvl>
  </w:abstractNum>
  <w:abstractNum w:abstractNumId="149">
    <w:nsid w:val="3DA97044"/>
    <w:multiLevelType w:val="hybridMultilevel"/>
    <w:lvl w:ilvl="0">
      <w:lvlJc w:val="left"/>
      <w:lvlText w:val="%1."/>
      <w:numFmt w:val="decimal"/>
      <w:start w:val="4"/>
    </w:lvl>
    <w:lvl w:ilvl="1">
      <w:lvlJc w:val="left"/>
      <w:lvlText w:val="%2."/>
      <w:numFmt w:val="lowerLetter"/>
      <w:start w:val="1"/>
    </w:lvl>
  </w:abstractNum>
  <w:abstractNum w:abstractNumId="150">
    <w:nsid w:val="1CDCE2DE"/>
    <w:multiLevelType w:val="hybridMultilevel"/>
    <w:lvl w:ilvl="0">
      <w:lvlJc w:val="left"/>
      <w:lvlText w:val="%1."/>
      <w:numFmt w:val="lowerLetter"/>
      <w:start w:val="6"/>
    </w:lvl>
  </w:abstractNum>
  <w:abstractNum w:abstractNumId="151">
    <w:nsid w:val="69D3947C"/>
    <w:multiLevelType w:val="hybridMultilevel"/>
    <w:lvl w:ilvl="0">
      <w:lvlJc w:val="left"/>
      <w:lvlText w:val="(%1)"/>
      <w:numFmt w:val="decimal"/>
      <w:start w:val="1"/>
    </w:lvl>
  </w:abstractNum>
  <w:abstractNum w:abstractNumId="152">
    <w:nsid w:val="2539DFA5"/>
    <w:multiLevelType w:val="hybridMultilevel"/>
    <w:lvl w:ilvl="0">
      <w:lvlJc w:val="left"/>
      <w:lvlText w:val="(%1)"/>
      <w:numFmt w:val="upperLetter"/>
      <w:start w:val="1"/>
    </w:lvl>
  </w:abstractNum>
  <w:abstractNum w:abstractNumId="153">
    <w:nsid w:val="2DB88089"/>
    <w:multiLevelType w:val="hybridMultilevel"/>
    <w:lvl w:ilvl="0">
      <w:lvlJc w:val="left"/>
      <w:lvlText w:val="%1."/>
      <w:numFmt w:val="lowerLetter"/>
      <w:start w:val="9"/>
    </w:lvl>
  </w:abstractNum>
  <w:abstractNum w:abstractNumId="154">
    <w:nsid w:val="706B674E"/>
    <w:multiLevelType w:val="hybridMultilevel"/>
    <w:lvl w:ilvl="0">
      <w:lvlJc w:val="left"/>
      <w:lvlText w:val="%1."/>
      <w:numFmt w:val="lowerLetter"/>
      <w:start w:val="12"/>
    </w:lvl>
  </w:abstractNum>
  <w:abstractNum w:abstractNumId="155">
    <w:nsid w:val="2C106A57"/>
    <w:multiLevelType w:val="hybridMultilevel"/>
    <w:lvl w:ilvl="0">
      <w:lvlJc w:val="left"/>
      <w:lvlText w:val="%1"/>
      <w:numFmt w:val="lowerLetter"/>
      <w:start w:val="1"/>
    </w:lvl>
    <w:lvl w:ilvl="1">
      <w:lvlJc w:val="left"/>
      <w:lvlText w:val="%2."/>
      <w:numFmt w:val="decimal"/>
      <w:start w:val="5"/>
    </w:lvl>
  </w:abstractNum>
  <w:abstractNum w:abstractNumId="156">
    <w:nsid w:val="684EED59"/>
    <w:multiLevelType w:val="hybridMultilevel"/>
    <w:lvl w:ilvl="0">
      <w:lvlJc w:val="left"/>
      <w:lvlText w:val="(%1)"/>
      <w:numFmt w:val="lowerLetter"/>
      <w:start w:val="25"/>
    </w:lvl>
    <w:lvl w:ilvl="1">
      <w:lvlJc w:val="left"/>
      <w:lvlText w:val="%2"/>
      <w:numFmt w:val="decimal"/>
      <w:start w:val="1"/>
    </w:lvl>
  </w:abstractNum>
  <w:abstractNum w:abstractNumId="157">
    <w:nsid w:val="545EE5D3"/>
    <w:multiLevelType w:val="hybridMultilevel"/>
    <w:lvl w:ilvl="0">
      <w:lvlJc w:val="left"/>
      <w:lvlText w:val="%1."/>
      <w:numFmt w:val="decimal"/>
      <w:start w:val="8"/>
    </w:lvl>
    <w:lvl w:ilvl="1">
      <w:lvlJc w:val="left"/>
      <w:lvlText w:val="%2."/>
      <w:numFmt w:val="lowerLetter"/>
      <w:start w:val="1"/>
    </w:lvl>
  </w:abstractNum>
  <w:abstractNum w:abstractNumId="158">
    <w:nsid w:val="4A66051"/>
    <w:multiLevelType w:val="hybridMultilevel"/>
    <w:lvl w:ilvl="0">
      <w:lvlJc w:val="left"/>
      <w:lvlText w:val="(%1)"/>
      <w:numFmt w:val="lowerRoman"/>
      <w:start w:val="7"/>
    </w:lvl>
    <w:lvl w:ilvl="1">
      <w:lvlJc w:val="left"/>
      <w:lvlText w:val="%2."/>
      <w:numFmt w:val="lowerLetter"/>
      <w:start w:val="9"/>
    </w:lvl>
  </w:abstractNum>
  <w:abstractNum w:abstractNumId="159">
    <w:nsid w:val="20F4BDAD"/>
    <w:multiLevelType w:val="hybridMultilevel"/>
    <w:lvl w:ilvl="0">
      <w:lvlJc w:val="left"/>
      <w:lvlText w:val="☐"/>
      <w:numFmt w:val="bullet"/>
      <w:start w:val="1"/>
    </w:lvl>
  </w:abstractNum>
  <w:abstractNum w:abstractNumId="160">
    <w:nsid w:val="639DEFAC"/>
    <w:multiLevelType w:val="hybridMultilevel"/>
    <w:lvl w:ilvl="0">
      <w:lvlJc w:val="left"/>
      <w:lvlText w:val="☐"/>
      <w:numFmt w:val="bullet"/>
      <w:start w:val="1"/>
    </w:lvl>
  </w:abstractNum>
  <w:abstractNum w:abstractNumId="161">
    <w:nsid w:val="501F9786"/>
    <w:multiLevelType w:val="hybridMultilevel"/>
    <w:lvl w:ilvl="0">
      <w:lvlJc w:val="left"/>
      <w:lvlText w:val="☐"/>
      <w:numFmt w:val="bullet"/>
      <w:start w:val="1"/>
    </w:lvl>
  </w:abstractNum>
  <w:abstractNum w:abstractNumId="162">
    <w:nsid w:val="6B057295"/>
    <w:multiLevelType w:val="hybridMultilevel"/>
    <w:lvl w:ilvl="0">
      <w:lvlJc w:val="left"/>
      <w:lvlText w:val="☐"/>
      <w:numFmt w:val="bullet"/>
      <w:start w:val="1"/>
    </w:lvl>
  </w:abstractNum>
  <w:abstractNum w:abstractNumId="163">
    <w:nsid w:val="2771AC80"/>
    <w:multiLevelType w:val="hybridMultilevel"/>
    <w:lvl w:ilvl="0">
      <w:lvlJc w:val="left"/>
      <w:lvlText w:val="%1."/>
      <w:numFmt w:val="decimal"/>
      <w:start w:val="1"/>
    </w:lvl>
  </w:abstractNum>
  <w:abstractNum w:abstractNumId="164">
    <w:nsid w:val="1C4A08E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65">
    <w:nsid w:val="1958BD17"/>
    <w:multiLevelType w:val="hybridMultilevel"/>
    <w:lvl w:ilvl="0">
      <w:lvlJc w:val="left"/>
      <w:lvlText w:val="%1"/>
      <w:numFmt w:val="lowerLetter"/>
      <w:start w:val="1"/>
    </w:lvl>
    <w:lvl w:ilvl="1">
      <w:lvlJc w:val="left"/>
      <w:lvlText w:val="(%2)"/>
      <w:numFmt w:val="lowerRoman"/>
      <w:start w:val="1"/>
    </w:lvl>
  </w:abstractNum>
  <w:abstractNum w:abstractNumId="166">
    <w:nsid w:val="4E647FE4"/>
    <w:multiLevelType w:val="hybridMultilevel"/>
    <w:lvl w:ilvl="0">
      <w:lvlJc w:val="left"/>
      <w:lvlText w:val="%1."/>
      <w:numFmt w:val="lowerLetter"/>
      <w:start w:val="5"/>
    </w:lvl>
    <w:lvl w:ilvl="1">
      <w:lvlJc w:val="left"/>
      <w:lvlText w:val="(%2)"/>
      <w:numFmt w:val="lowerRoman"/>
      <w:start w:val="1"/>
    </w:lvl>
  </w:abstractNum>
  <w:abstractNum w:abstractNumId="167">
    <w:nsid w:val="E0BB885"/>
    <w:multiLevelType w:val="hybridMultilevel"/>
    <w:lvl w:ilvl="0">
      <w:lvlJc w:val="left"/>
      <w:lvlText w:val="%1."/>
      <w:numFmt w:val="decimal"/>
      <w:start w:val="3"/>
    </w:lvl>
    <w:lvl w:ilvl="1">
      <w:lvlJc w:val="left"/>
      <w:lvlText w:val="%2."/>
      <w:numFmt w:val="lowerLetter"/>
      <w:start w:val="1"/>
    </w:lvl>
  </w:abstractNum>
  <w:abstractNum w:abstractNumId="168">
    <w:nsid w:val="565976F1"/>
    <w:multiLevelType w:val="hybridMultilevel"/>
    <w:lvl w:ilvl="0">
      <w:lvlJc w:val="left"/>
      <w:lvlText w:val="%1."/>
      <w:numFmt w:val="decimal"/>
      <w:start w:val="4"/>
    </w:lvl>
    <w:lvl w:ilvl="1">
      <w:lvlJc w:val="left"/>
      <w:lvlText w:val="%2."/>
      <w:numFmt w:val="lowerLetter"/>
      <w:start w:val="1"/>
    </w:lvl>
  </w:abstractNum>
  <w:abstractNum w:abstractNumId="169">
    <w:nsid w:val="64212B8C"/>
    <w:multiLevelType w:val="hybridMultilevel"/>
    <w:lvl w:ilvl="0">
      <w:lvlJc w:val="left"/>
      <w:lvlText w:val="(%1)"/>
      <w:numFmt w:val="lowerRoman"/>
      <w:start w:val="2"/>
    </w:lvl>
    <w:lvl w:ilvl="1">
      <w:lvlJc w:val="left"/>
      <w:lvlText w:val="%2."/>
      <w:numFmt w:val="lowerLetter"/>
      <w:start w:val="5"/>
    </w:lvl>
  </w:abstractNum>
  <w:abstractNum w:abstractNumId="170">
    <w:nsid w:val="5C17530C"/>
    <w:multiLevelType w:val="hybridMultilevel"/>
    <w:lvl w:ilvl="0">
      <w:lvlJc w:val="left"/>
      <w:lvlText w:val="(%1)"/>
      <w:numFmt w:val="decimal"/>
      <w:start w:val="1"/>
    </w:lvl>
  </w:abstractNum>
  <w:abstractNum w:abstractNumId="171">
    <w:nsid w:val="19A52566"/>
    <w:multiLevelType w:val="hybridMultilevel"/>
    <w:lvl w:ilvl="0">
      <w:lvlJc w:val="left"/>
      <w:lvlText w:val="(%1)"/>
      <w:numFmt w:val="upperLetter"/>
      <w:start w:val="2"/>
    </w:lvl>
  </w:abstractNum>
  <w:abstractNum w:abstractNumId="172">
    <w:nsid w:val="335A1DF1"/>
    <w:multiLevelType w:val="hybridMultilevel"/>
    <w:lvl w:ilvl="0">
      <w:lvlJc w:val="left"/>
      <w:lvlText w:val="%1."/>
      <w:numFmt w:val="decimal"/>
      <w:start w:val="5"/>
    </w:lvl>
  </w:abstractNum>
  <w:abstractNum w:abstractNumId="173">
    <w:nsid w:val="28677B7C"/>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174">
    <w:nsid w:val="378D97C0"/>
    <w:multiLevelType w:val="hybridMultilevel"/>
    <w:lvl w:ilvl="0">
      <w:lvlJc w:val="left"/>
      <w:lvlText w:val="(%1)"/>
      <w:numFmt w:val="lowerLetter"/>
      <w:start w:val="25"/>
    </w:lvl>
    <w:lvl w:ilvl="1">
      <w:lvlJc w:val="left"/>
      <w:lvlText w:val="%2."/>
      <w:numFmt w:val="decimal"/>
      <w:start w:val="9"/>
    </w:lvl>
    <w:lvl w:ilvl="2">
      <w:lvlJc w:val="left"/>
      <w:lvlText w:val="%3."/>
      <w:numFmt w:val="lowerLetter"/>
      <w:start w:val="1"/>
    </w:lvl>
  </w:abstractNum>
  <w:abstractNum w:abstractNumId="175">
    <w:nsid w:val="1D91467C"/>
    <w:multiLevelType w:val="hybridMultilevel"/>
    <w:lvl w:ilvl="0">
      <w:lvlJc w:val="left"/>
      <w:lvlText w:val="%1."/>
      <w:numFmt w:val="upperLetter"/>
      <w:start w:val="1"/>
    </w:lvl>
    <w:lvl w:ilvl="1">
      <w:lvlJc w:val="left"/>
      <w:lvlText w:val="☐"/>
      <w:numFmt w:val="bullet"/>
      <w:start w:val="1"/>
    </w:lvl>
  </w:abstractNum>
  <w:abstractNum w:abstractNumId="176">
    <w:nsid w:val="316032BB"/>
    <w:multiLevelType w:val="hybridMultilevel"/>
    <w:lvl w:ilvl="0">
      <w:lvlJc w:val="left"/>
      <w:lvlText w:val="☐"/>
      <w:numFmt w:val="bullet"/>
      <w:start w:val="1"/>
    </w:lvl>
  </w:abstractNum>
  <w:abstractNum w:abstractNumId="177">
    <w:nsid w:val="44344C22"/>
    <w:multiLevelType w:val="hybridMultilevel"/>
    <w:lvl w:ilvl="0">
      <w:lvlJc w:val="left"/>
      <w:lvlText w:val="%1."/>
      <w:numFmt w:val="decimal"/>
      <w:start w:val="1"/>
    </w:lvl>
    <w:lvl w:ilvl="1">
      <w:lvlJc w:val="left"/>
      <w:lvlText w:val="%2"/>
      <w:numFmt w:val="lowerLetter"/>
      <w:start w:val="1"/>
    </w:lvl>
  </w:abstractNum>
  <w:abstractNum w:abstractNumId="178">
    <w:nsid w:val="13CDFCFC"/>
    <w:multiLevelType w:val="hybridMultilevel"/>
    <w:lvl w:ilvl="0">
      <w:lvlJc w:val="left"/>
      <w:lvlText w:val="(%1)"/>
      <w:numFmt w:val="lowerRoman"/>
      <w:start w:val="1"/>
    </w:lvl>
  </w:abstractNum>
  <w:abstractNum w:abstractNumId="179">
    <w:nsid w:val="471745E4"/>
    <w:multiLevelType w:val="hybridMultilevel"/>
    <w:lvl w:ilvl="0">
      <w:lvlJc w:val="left"/>
      <w:lvlText w:val="%1"/>
      <w:numFmt w:val="lowerLetter"/>
      <w:start w:val="1"/>
    </w:lvl>
    <w:lvl w:ilvl="1">
      <w:lvlJc w:val="left"/>
      <w:lvlText w:val="(%2)"/>
      <w:numFmt w:val="lowerRoman"/>
      <w:start w:val="1"/>
    </w:lvl>
  </w:abstractNum>
  <w:abstractNum w:abstractNumId="180">
    <w:nsid w:val="1DDBC66"/>
    <w:multiLevelType w:val="hybridMultilevel"/>
    <w:lvl w:ilvl="0">
      <w:lvlJc w:val="left"/>
      <w:lvlText w:val="%1."/>
      <w:numFmt w:val="lowerLetter"/>
      <w:start w:val="5"/>
    </w:lvl>
    <w:lvl w:ilvl="1">
      <w:lvlJc w:val="left"/>
      <w:lvlText w:val="(%2)"/>
      <w:numFmt w:val="lowerRoman"/>
      <w:start w:val="1"/>
    </w:lvl>
  </w:abstractNum>
  <w:abstractNum w:abstractNumId="181">
    <w:nsid w:val="30AADFDA"/>
    <w:multiLevelType w:val="hybridMultilevel"/>
    <w:lvl w:ilvl="0">
      <w:lvlJc w:val="left"/>
      <w:lvlText w:val="%1."/>
      <w:numFmt w:val="decimal"/>
      <w:start w:val="3"/>
    </w:lvl>
    <w:lvl w:ilvl="1">
      <w:lvlJc w:val="left"/>
      <w:lvlText w:val="%2."/>
      <w:numFmt w:val="lowerLetter"/>
      <w:start w:val="1"/>
    </w:lvl>
  </w:abstractNum>
  <w:abstractNum w:abstractNumId="182">
    <w:nsid w:val="30EADA61"/>
    <w:multiLevelType w:val="hybridMultilevel"/>
    <w:lvl w:ilvl="0">
      <w:lvlJc w:val="left"/>
      <w:lvlText w:val="%1."/>
      <w:numFmt w:val="lowerLetter"/>
      <w:start w:val="6"/>
    </w:lvl>
  </w:abstractNum>
  <w:abstractNum w:abstractNumId="183">
    <w:nsid w:val="27179C0B"/>
    <w:multiLevelType w:val="hybridMultilevel"/>
    <w:lvl w:ilvl="0">
      <w:lvlJc w:val="left"/>
      <w:lvlText w:val="%1."/>
      <w:numFmt w:val="lowerLetter"/>
      <w:start w:val="9"/>
    </w:lvl>
  </w:abstractNum>
  <w:abstractNum w:abstractNumId="184">
    <w:nsid w:val="5E636063"/>
    <w:multiLevelType w:val="hybridMultilevel"/>
    <w:lvl w:ilvl="0">
      <w:lvlJc w:val="left"/>
      <w:lvlText w:val="%1"/>
      <w:numFmt w:val="decimal"/>
      <w:start w:val="1"/>
    </w:lvl>
    <w:lvl w:ilvl="1">
      <w:lvlJc w:val="left"/>
      <w:lvlText w:val="%2."/>
      <w:numFmt w:val="lowerLetter"/>
      <w:start w:val="18"/>
    </w:lvl>
  </w:abstractNum>
  <w:abstractNum w:abstractNumId="185">
    <w:nsid w:val="215641AF"/>
    <w:multiLevelType w:val="hybridMultilevel"/>
    <w:lvl w:ilvl="0">
      <w:lvlJc w:val="left"/>
      <w:lvlText w:val="%1."/>
      <w:numFmt w:val="decimal"/>
      <w:start w:val="4"/>
    </w:lvl>
    <w:lvl w:ilvl="1">
      <w:lvlJc w:val="left"/>
      <w:lvlText w:val="%2."/>
      <w:numFmt w:val="lowerLetter"/>
      <w:start w:val="1"/>
    </w:lvl>
  </w:abstractNum>
  <w:abstractNum w:abstractNumId="186">
    <w:nsid w:val="53280662"/>
    <w:multiLevelType w:val="hybridMultilevel"/>
    <w:lvl w:ilvl="0">
      <w:lvlJc w:val="left"/>
      <w:lvlText w:val="%1."/>
      <w:numFmt w:val="lowerLetter"/>
      <w:start w:val="6"/>
    </w:lvl>
  </w:abstractNum>
  <w:abstractNum w:abstractNumId="187">
    <w:nsid w:val="46B24DBC"/>
    <w:multiLevelType w:val="hybridMultilevel"/>
    <w:lvl w:ilvl="0">
      <w:lvlJc w:val="left"/>
      <w:lvlText w:val="(%1)"/>
      <w:numFmt w:val="decimal"/>
      <w:start w:val="1"/>
    </w:lvl>
  </w:abstractNum>
  <w:abstractNum w:abstractNumId="188">
    <w:nsid w:val="75B52783"/>
    <w:multiLevelType w:val="hybridMultilevel"/>
    <w:lvl w:ilvl="0">
      <w:lvlJc w:val="left"/>
      <w:lvlText w:val="(%1)"/>
      <w:numFmt w:val="upperLetter"/>
      <w:start w:val="2"/>
    </w:lvl>
  </w:abstractNum>
  <w:abstractNum w:abstractNumId="189">
    <w:nsid w:val="57CE66B4"/>
    <w:multiLevelType w:val="hybridMultilevel"/>
    <w:lvl w:ilvl="0">
      <w:lvlJc w:val="left"/>
      <w:lvlText w:val="%1."/>
      <w:numFmt w:val="lowerRoman"/>
      <w:start w:val="1"/>
    </w:lvl>
  </w:abstractNum>
  <w:abstractNum w:abstractNumId="190">
    <w:nsid w:val="67A70B69"/>
    <w:multiLevelType w:val="hybridMultilevel"/>
    <w:lvl w:ilvl="0">
      <w:lvlJc w:val="left"/>
      <w:lvlText w:val="%1."/>
      <w:numFmt w:val="decimal"/>
      <w:start w:val="5"/>
    </w:lvl>
  </w:abstractNum>
  <w:abstractNum w:abstractNumId="191">
    <w:nsid w:val="5953172F"/>
    <w:multiLevelType w:val="hybridMultilevel"/>
    <w:lvl w:ilvl="0">
      <w:lvlJc w:val="left"/>
      <w:lvlText w:val="%1"/>
      <w:numFmt w:val="lowerRoman"/>
      <w:start w:val="1"/>
    </w:lvl>
    <w:lvl w:ilvl="1">
      <w:lvlJc w:val="left"/>
      <w:lvlText w:val="%2."/>
      <w:numFmt w:val="decimal"/>
      <w:start w:val="6"/>
    </w:lvl>
    <w:lvl w:ilvl="2">
      <w:lvlJc w:val="left"/>
      <w:lvlText w:val="%3"/>
      <w:numFmt w:val="lowerLetter"/>
      <w:start w:val="1"/>
    </w:lvl>
  </w:abstractNum>
  <w:abstractNum w:abstractNumId="192">
    <w:nsid w:val="27EDFE3A"/>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abstractNum>
  <w:abstractNum w:abstractNumId="193">
    <w:nsid w:val="52AC7DFF"/>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194">
    <w:nsid w:val="C4C3AF"/>
    <w:multiLevelType w:val="hybridMultilevel"/>
    <w:lvl w:ilvl="0">
      <w:lvlJc w:val="left"/>
      <w:lvlText w:val="(%1)"/>
      <w:numFmt w:val="lowerLetter"/>
      <w:start w:val="25"/>
    </w:lvl>
    <w:lvl w:ilvl="1">
      <w:lvlJc w:val="left"/>
      <w:lvlText w:val="%2."/>
      <w:numFmt w:val="decimal"/>
      <w:start w:val="9"/>
    </w:lvl>
    <w:lvl w:ilvl="2">
      <w:lvlJc w:val="left"/>
      <w:lvlText w:val="%3"/>
      <w:numFmt w:val="lowerLetter"/>
      <w:start w:val="1"/>
    </w:lvl>
  </w:abstractNum>
  <w:abstractNum w:abstractNumId="195">
    <w:nsid w:val="44380727"/>
    <w:multiLevelType w:val="hybridMultilevel"/>
    <w:lvl w:ilvl="0">
      <w:lvlJc w:val="left"/>
      <w:lvlText w:val="%1."/>
      <w:numFmt w:val="upperLetter"/>
      <w:start w:val="1"/>
    </w:lvl>
    <w:lvl w:ilvl="1">
      <w:lvlJc w:val="left"/>
      <w:lvlText w:val="☐"/>
      <w:numFmt w:val="bullet"/>
      <w:start w:val="1"/>
    </w:lvl>
  </w:abstractNum>
  <w:abstractNum w:abstractNumId="196">
    <w:nsid w:val="6C053B16"/>
    <w:multiLevelType w:val="hybridMultilevel"/>
    <w:lvl w:ilvl="0">
      <w:lvlJc w:val="left"/>
      <w:lvlText w:val="☐"/>
      <w:numFmt w:val="bullet"/>
      <w:start w:val="1"/>
    </w:lvl>
  </w:abstractNum>
  <w:abstractNum w:abstractNumId="197">
    <w:nsid w:val="4F294393"/>
    <w:multiLevelType w:val="hybridMultilevel"/>
    <w:lvl w:ilvl="0">
      <w:lvlJc w:val="left"/>
      <w:lvlText w:val="%1."/>
      <w:numFmt w:val="decimal"/>
      <w:start w:val="1"/>
    </w:lvl>
  </w:abstractNum>
  <w:abstractNum w:abstractNumId="198">
    <w:nsid w:val="5243BFAC"/>
    <w:multiLevelType w:val="hybridMultilevel"/>
    <w:lvl w:ilvl="0">
      <w:lvlJc w:val="left"/>
      <w:lvlText w:val="(%1)"/>
      <w:numFmt w:val="lowerRoman"/>
      <w:start w:val="2"/>
    </w:lvl>
  </w:abstractNum>
  <w:abstractNum w:abstractNumId="199">
    <w:nsid w:val="425EB207"/>
    <w:multiLevelType w:val="hybridMultilevel"/>
    <w:lvl w:ilvl="0">
      <w:lvlJc w:val="left"/>
      <w:lvlText w:val="(%1)"/>
      <w:numFmt w:val="lowerRoman"/>
      <w:start w:val="1"/>
    </w:lvl>
  </w:abstractNum>
  <w:abstractNum w:abstractNumId="200">
    <w:nsid w:val="334A6F1F"/>
    <w:multiLevelType w:val="hybridMultilevel"/>
    <w:lvl w:ilvl="0">
      <w:lvlJc w:val="left"/>
      <w:lvlText w:val="%1."/>
      <w:numFmt w:val="decimal"/>
      <w:start w:val="4"/>
    </w:lvl>
  </w:abstractNum>
  <w:abstractNum w:abstractNumId="201">
    <w:nsid w:val="2E5B12B8"/>
    <w:multiLevelType w:val="hybridMultilevel"/>
    <w:lvl w:ilvl="0">
      <w:lvlJc w:val="left"/>
      <w:lvlText w:val="%1."/>
      <w:numFmt w:val="decimal"/>
      <w:start w:val="5"/>
    </w:lvl>
  </w:abstractNum>
  <w:abstractNum w:abstractNumId="202">
    <w:nsid w:val="5C03D76D"/>
    <w:multiLevelType w:val="hybridMultilevel"/>
    <w:lvl w:ilvl="0">
      <w:lvlJc w:val="left"/>
      <w:lvlText w:val="%1."/>
      <w:numFmt w:val="decimal"/>
      <w:start w:val="6"/>
    </w:lvl>
  </w:abstractNum>
  <w:abstractNum w:abstractNumId="203">
    <w:nsid w:val="66A48D11"/>
    <w:multiLevelType w:val="hybridMultilevel"/>
    <w:lvl w:ilvl="0">
      <w:lvlJc w:val="left"/>
      <w:lvlText w:val="%1."/>
      <w:numFmt w:val="decimal"/>
      <w:start w:val="7"/>
    </w:lvl>
  </w:abstractNum>
  <w:abstractNum w:abstractNumId="204">
    <w:nsid w:val="56C28E34"/>
    <w:multiLevelType w:val="hybridMultilevel"/>
    <w:lvl w:ilvl="0">
      <w:lvlJc w:val="left"/>
      <w:lvlText w:val="%1."/>
      <w:numFmt w:val="decimal"/>
      <w:start w:val="8"/>
    </w:lvl>
  </w:abstractNum>
  <w:abstractNum w:abstractNumId="205">
    <w:nsid w:val="13916F2D"/>
    <w:multiLevelType w:val="hybridMultilevel"/>
    <w:lvl w:ilvl="0">
      <w:lvlJc w:val="left"/>
      <w:lvlText w:val="%1."/>
      <w:numFmt w:val="decimal"/>
      <w:start w:val="9"/>
    </w:lvl>
  </w:abstractNum>
  <w:abstractNum w:abstractNumId="206">
    <w:nsid w:val="435D38D"/>
    <w:multiLevelType w:val="hybridMultilevel"/>
    <w:lvl w:ilvl="0">
      <w:lvlJc w:val="left"/>
      <w:lvlText w:val="%1."/>
      <w:numFmt w:val="decimal"/>
      <w:start w:val="1"/>
    </w:lvl>
    <w:lvl w:ilvl="1">
      <w:lvlJc w:val="left"/>
      <w:lvlText w:val="(%2)"/>
      <w:numFmt w:val="lowerLetter"/>
      <w:start w:val="1"/>
    </w:lvl>
  </w:abstractNum>
  <w:abstractNum w:abstractNumId="207">
    <w:nsid w:val="822C0EF"/>
    <w:multiLevelType w:val="hybridMultilevel"/>
    <w:lvl w:ilvl="0">
      <w:lvlJc w:val="left"/>
      <w:lvlText w:val="%1"/>
      <w:numFmt w:val="decimal"/>
      <w:start w:val="1"/>
    </w:lvl>
    <w:lvl w:ilvl="1">
      <w:lvlJc w:val="left"/>
      <w:lvlText w:val="(%2)"/>
      <w:numFmt w:val="lowerLetter"/>
      <w:start w:val="3"/>
    </w:lvl>
  </w:abstractNum>
  <w:abstractNum w:abstractNumId="208">
    <w:nsid w:val="57C5BB4F"/>
    <w:multiLevelType w:val="hybridMultilevel"/>
    <w:lvl w:ilvl="0">
      <w:lvlJc w:val="left"/>
      <w:lvlText w:val="%1."/>
      <w:numFmt w:val="decimal"/>
      <w:start w:val="2"/>
    </w:lvl>
    <w:lvl w:ilvl="1">
      <w:lvlJc w:val="left"/>
      <w:lvlText w:val="(%2)"/>
      <w:numFmt w:val="lowerLetter"/>
      <w:start w:val="1"/>
    </w:lvl>
  </w:abstractNum>
  <w:abstractNum w:abstractNumId="209">
    <w:nsid w:val="1803D089"/>
    <w:multiLevelType w:val="hybridMultilevel"/>
    <w:lvl w:ilvl="0">
      <w:lvlJc w:val="left"/>
      <w:lvlText w:val="(%1)"/>
      <w:numFmt w:val="lowerLetter"/>
      <w:start w:val="2"/>
    </w:lvl>
  </w:abstractNum>
  <w:abstractNum w:abstractNumId="210">
    <w:nsid w:val="4F3A06D4"/>
    <w:multiLevelType w:val="hybridMultilevel"/>
    <w:lvl w:ilvl="0">
      <w:lvlJc w:val="left"/>
      <w:lvlText w:val="(%1)"/>
      <w:numFmt w:val="lowerLetter"/>
      <w:start w:val="4"/>
    </w:lvl>
    <w:lvl w:ilvl="1">
      <w:lvlJc w:val="left"/>
      <w:lvlText w:val="(%2)"/>
      <w:numFmt w:val="lowerLetter"/>
      <w:start w:val="9"/>
    </w:lvl>
  </w:abstractNum>
  <w:abstractNum w:abstractNumId="211">
    <w:nsid w:val="59A377B6"/>
    <w:multiLevelType w:val="hybridMultilevel"/>
    <w:lvl w:ilvl="0">
      <w:lvlJc w:val="left"/>
      <w:lvlText w:val="%1"/>
      <w:numFmt w:val="lowerLetter"/>
      <w:start w:val="1"/>
    </w:lvl>
    <w:lvl w:ilvl="1">
      <w:lvlJc w:val="left"/>
      <w:lvlText w:val="(%2)"/>
      <w:numFmt w:val="lowerRoman"/>
      <w:start w:val="2"/>
    </w:lvl>
  </w:abstractNum>
  <w:abstractNum w:abstractNumId="212">
    <w:nsid w:val="48AEB063"/>
    <w:multiLevelType w:val="hybridMultilevel"/>
    <w:lvl w:ilvl="0">
      <w:lvlJc w:val="left"/>
      <w:lvlText w:val="(%1)"/>
      <w:numFmt w:val="lowerLetter"/>
      <w:start w:val="7"/>
    </w:lvl>
    <w:lvl w:ilvl="1">
      <w:lvlJc w:val="left"/>
      <w:lvlText w:val="%2"/>
      <w:numFmt w:val="lowerRoman"/>
      <w:start w:val="1"/>
    </w:lvl>
  </w:abstractNum>
  <w:abstractNum w:abstractNumId="213">
    <w:nsid w:val="24E13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8"/>
    </w:lvl>
  </w:abstractNum>
  <w:abstractNum w:abstractNumId="214">
    <w:nsid w:val="BB13C1"/>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215">
    <w:nsid w:val="271210C7"/>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16">
    <w:nsid w:val="217B22E4"/>
    <w:multiLevelType w:val="hybridMultilevel"/>
    <w:lvl w:ilvl="0">
      <w:lvlJc w:val="left"/>
      <w:lvlText w:val="%1"/>
      <w:numFmt w:val="decimal"/>
      <w:start w:val="1"/>
    </w:lvl>
    <w:lvl w:ilvl="1">
      <w:lvlJc w:val="left"/>
      <w:lvlText w:val="(%2)"/>
      <w:numFmt w:val="lowerLetter"/>
      <w:start w:val="5"/>
    </w:lvl>
  </w:abstractNum>
  <w:abstractNum w:abstractNumId="217">
    <w:nsid w:val="53E31A24"/>
    <w:multiLevelType w:val="hybridMultilevel"/>
    <w:lvl w:ilvl="0">
      <w:lvlJc w:val="left"/>
      <w:lvlText w:val="%1."/>
      <w:numFmt w:val="decimal"/>
      <w:start w:val="4"/>
    </w:lvl>
    <w:lvl w:ilvl="1">
      <w:lvlJc w:val="left"/>
      <w:lvlText w:val="(%2)"/>
      <w:numFmt w:val="lowerLetter"/>
      <w:start w:val="1"/>
    </w:lvl>
  </w:abstractNum>
  <w:abstractNum w:abstractNumId="218">
    <w:nsid w:val="6DC45E83"/>
    <w:multiLevelType w:val="hybridMultilevel"/>
    <w:lvl w:ilvl="0">
      <w:lvlJc w:val="left"/>
      <w:lvlText w:val="%1."/>
      <w:numFmt w:val="decimal"/>
      <w:start w:val="5"/>
    </w:lvl>
    <w:lvl w:ilvl="1">
      <w:lvlJc w:val="left"/>
      <w:lvlText w:val="(%2)"/>
      <w:numFmt w:val="lowerLetter"/>
      <w:start w:val="1"/>
    </w:lvl>
  </w:abstractNum>
  <w:abstractNum w:abstractNumId="219">
    <w:nsid w:val="17304A67"/>
    <w:multiLevelType w:val="hybridMultilevel"/>
    <w:lvl w:ilvl="0">
      <w:lvlJc w:val="left"/>
      <w:lvlText w:val="%1"/>
      <w:numFmt w:val="lowerLetter"/>
      <w:start w:val="1"/>
    </w:lvl>
    <w:lvl w:ilvl="1">
      <w:lvlJc w:val="left"/>
      <w:lvlText w:val="(%2)"/>
      <w:numFmt w:val="lowerLetter"/>
      <w:start w:val="2"/>
    </w:lvl>
  </w:abstractNum>
  <w:abstractNum w:abstractNumId="220">
    <w:nsid w:val="2BB180D8"/>
    <w:multiLevelType w:val="hybridMultilevel"/>
    <w:lvl w:ilvl="0">
      <w:lvlJc w:val="left"/>
      <w:lvlText w:val="(%1)"/>
      <w:numFmt w:val="lowerLetter"/>
      <w:start w:val="61"/>
    </w:lvl>
    <w:lvl w:ilvl="1">
      <w:lvlJc w:val="left"/>
      <w:lvlText w:val="(%2)"/>
      <w:numFmt w:val="lowerLetter"/>
      <w:start w:val="7"/>
    </w:lvl>
  </w:abstractNum>
  <w:abstractNum w:abstractNumId="221">
    <w:nsid w:val="556B69ED"/>
    <w:multiLevelType w:val="hybridMultilevel"/>
    <w:lvl w:ilvl="0">
      <w:lvlJc w:val="left"/>
      <w:lvlText w:val="(%1)"/>
      <w:numFmt w:val="lowerLetter"/>
      <w:start w:val="8"/>
    </w:lvl>
  </w:abstractNum>
  <w:abstractNum w:abstractNumId="222">
    <w:nsid w:val="70836196"/>
    <w:multiLevelType w:val="hybridMultilevel"/>
    <w:lvl w:ilvl="0">
      <w:lvlJc w:val="left"/>
      <w:lvlText w:val="%1"/>
      <w:numFmt w:val="decimal"/>
      <w:start w:val="1"/>
    </w:lvl>
    <w:lvl w:ilvl="1">
      <w:lvlJc w:val="left"/>
      <w:lvlText w:val="(%2)"/>
      <w:numFmt w:val="lowerLetter"/>
      <w:start w:val="19"/>
    </w:lvl>
  </w:abstractNum>
  <w:abstractNum w:abstractNumId="223">
    <w:nsid w:val="539F7F12"/>
    <w:multiLevelType w:val="hybridMultilevel"/>
    <w:lvl w:ilvl="0">
      <w:lvlJc w:val="left"/>
      <w:lvlText w:val="%1."/>
      <w:numFmt w:val="decimal"/>
      <w:start w:val="6"/>
    </w:lvl>
    <w:lvl w:ilvl="1">
      <w:lvlJc w:val="left"/>
      <w:lvlText w:val="%2"/>
      <w:numFmt w:val="lowerLetter"/>
      <w:start w:val="1"/>
    </w:lvl>
  </w:abstractNum>
  <w:abstractNum w:abstractNumId="224">
    <w:nsid w:val="2817E7EC"/>
    <w:multiLevelType w:val="hybridMultilevel"/>
    <w:lvl w:ilvl="0">
      <w:lvlJc w:val="left"/>
      <w:lvlText w:val="%1."/>
      <w:numFmt w:val="decimal"/>
      <w:start w:val="7"/>
    </w:lvl>
    <w:lvl w:ilvl="1">
      <w:lvlJc w:val="left"/>
      <w:lvlText w:val="(%2)"/>
      <w:numFmt w:val="lowerLetter"/>
      <w:start w:val="1"/>
    </w:lvl>
  </w:abstractNum>
  <w:abstractNum w:abstractNumId="225">
    <w:nsid w:val="71482545"/>
    <w:multiLevelType w:val="hybridMultilevel"/>
    <w:lvl w:ilvl="0">
      <w:lvlJc w:val="left"/>
      <w:lvlText w:val="(%1)"/>
      <w:numFmt w:val="lowerLetter"/>
      <w:start w:val="2"/>
    </w:lvl>
  </w:abstractNum>
  <w:abstractNum w:abstractNumId="226">
    <w:nsid w:val="17D78639"/>
    <w:multiLevelType w:val="hybridMultilevel"/>
    <w:lvl w:ilvl="0">
      <w:lvlJc w:val="left"/>
      <w:lvlText w:val="%1"/>
      <w:numFmt w:val="decimal"/>
      <w:start w:val="1"/>
    </w:lvl>
    <w:lvl w:ilvl="1">
      <w:lvlJc w:val="left"/>
      <w:lvlText w:val="(%2)"/>
      <w:numFmt w:val="lowerLetter"/>
      <w:start w:val="5"/>
    </w:lvl>
  </w:abstractNum>
  <w:abstractNum w:abstractNumId="227">
    <w:nsid w:val="141D2302"/>
    <w:multiLevelType w:val="hybridMultilevel"/>
    <w:lvl w:ilvl="0">
      <w:lvlJc w:val="left"/>
      <w:lvlText w:val="%1."/>
      <w:numFmt w:val="decimal"/>
      <w:start w:val="9"/>
    </w:lvl>
    <w:lvl w:ilvl="1">
      <w:lvlJc w:val="left"/>
      <w:lvlText w:val="(%2)"/>
      <w:numFmt w:val="lowerLetter"/>
      <w:start w:val="1"/>
    </w:lvl>
  </w:abstractNum>
  <w:abstractNum w:abstractNumId="228">
    <w:nsid w:val="407168D8"/>
    <w:multiLevelType w:val="hybridMultilevel"/>
    <w:lvl w:ilvl="0">
      <w:lvlJc w:val="left"/>
      <w:lvlText w:val="(%1)"/>
      <w:numFmt w:val="lowerLetter"/>
      <w:start w:val="2"/>
    </w:lvl>
  </w:abstractNum>
  <w:abstractNum w:abstractNumId="229">
    <w:nsid w:val="6A1B45E5"/>
    <w:multiLevelType w:val="hybridMultilevel"/>
    <w:lvl w:ilvl="0">
      <w:lvlJc w:val="left"/>
      <w:lvlText w:val="%1."/>
      <w:numFmt w:val="decimal"/>
      <w:start w:val="11"/>
    </w:lvl>
    <w:lvl w:ilvl="1">
      <w:lvlJc w:val="left"/>
      <w:lvlText w:val="(%2)"/>
      <w:numFmt w:val="lowerLetter"/>
      <w:start w:val="1"/>
    </w:lvl>
  </w:abstractNum>
  <w:abstractNum w:abstractNumId="230">
    <w:nsid w:val="567BD50A"/>
    <w:multiLevelType w:val="hybridMultilevel"/>
    <w:lvl w:ilvl="0">
      <w:lvlJc w:val="left"/>
      <w:lvlText w:val="(%1)"/>
      <w:numFmt w:val="upperLetter"/>
      <w:start w:val="2"/>
    </w:lvl>
    <w:lvl w:ilvl="1">
      <w:lvlJc w:val="left"/>
      <w:lvlText w:val="(%2)"/>
      <w:numFmt w:val="lowerLetter"/>
      <w:start w:val="13"/>
    </w:lvl>
  </w:abstractNum>
  <w:abstractNum w:abstractNumId="231">
    <w:nsid w:val="73BBD7F8"/>
    <w:multiLevelType w:val="hybridMultilevel"/>
    <w:lvl w:ilvl="0">
      <w:lvlJc w:val="left"/>
      <w:lvlText w:val="(%1)"/>
      <w:numFmt w:val="lowerLetter"/>
      <w:start w:val="14"/>
    </w:lvl>
  </w:abstractNum>
  <w:abstractNum w:abstractNumId="232">
    <w:nsid w:val="1876589D"/>
    <w:multiLevelType w:val="hybridMultilevel"/>
    <w:lvl w:ilvl="0">
      <w:lvlJc w:val="left"/>
      <w:lvlText w:val="%1"/>
      <w:numFmt w:val="decimal"/>
      <w:start w:val="1"/>
    </w:lvl>
    <w:lvl w:ilvl="1">
      <w:lvlJc w:val="left"/>
      <w:lvlText w:val="(%2)"/>
      <w:numFmt w:val="lowerLetter"/>
      <w:start w:val="23"/>
    </w:lvl>
  </w:abstractNum>
  <w:abstractNum w:abstractNumId="233">
    <w:nsid w:val="327FAC77"/>
    <w:multiLevelType w:val="hybridMultilevel"/>
    <w:lvl w:ilvl="0">
      <w:lvlJc w:val="left"/>
      <w:lvlText w:val="%1."/>
      <w:numFmt w:val="decimal"/>
      <w:start w:val="12"/>
    </w:lvl>
    <w:lvl w:ilvl="1">
      <w:lvlJc w:val="left"/>
      <w:lvlText w:val="(%2)"/>
      <w:numFmt w:val="lowerLetter"/>
      <w:start w:val="1"/>
    </w:lvl>
  </w:abstractNum>
  <w:abstractNum w:abstractNumId="234">
    <w:nsid w:val="5A606509"/>
    <w:multiLevelType w:val="hybridMultilevel"/>
    <w:lvl w:ilvl="0">
      <w:lvlJc w:val="left"/>
      <w:lvlText w:val="(%1)"/>
      <w:numFmt w:val="lowerLetter"/>
      <w:start w:val="7"/>
    </w:lvl>
  </w:abstractNum>
  <w:abstractNum w:abstractNumId="235">
    <w:nsid w:val="6F38E6D1"/>
    <w:multiLevelType w:val="hybridMultilevel"/>
    <w:lvl w:ilvl="0">
      <w:lvlJc w:val="left"/>
      <w:lvlText w:val="(%1)"/>
      <w:numFmt w:val="lowerLetter"/>
      <w:start w:val="12"/>
    </w:lvl>
    <w:lvl w:ilvl="1">
      <w:lvlJc w:val="left"/>
      <w:lvlText w:val="*"/>
      <w:numFmt w:val="bullet"/>
      <w:start w:val="1"/>
    </w:lvl>
  </w:abstractNum>
  <w:abstractNum w:abstractNumId="236">
    <w:nsid w:val="46111BA5"/>
    <w:multiLevelType w:val="hybridMultilevel"/>
    <w:lvl w:ilvl="0">
      <w:lvlJc w:val="left"/>
      <w:lvlText w:val="(%1)"/>
      <w:numFmt w:val="lowerLetter"/>
      <w:start w:val="1"/>
    </w:lvl>
    <w:lvl w:ilvl="1">
      <w:lvlJc w:val="left"/>
      <w:lvlText w:val="(%2)"/>
      <w:numFmt w:val="lowerRoman"/>
      <w:start w:val="1"/>
    </w:lvl>
  </w:abstractNum>
  <w:abstractNum w:abstractNumId="237">
    <w:nsid w:val="5E963896"/>
    <w:multiLevelType w:val="hybridMultilevel"/>
    <w:lvl w:ilvl="0">
      <w:lvlJc w:val="left"/>
      <w:lvlText w:val="(%1)"/>
      <w:numFmt w:val="lowerLetter"/>
      <w:start w:val="3"/>
    </w:lvl>
  </w:abstractNum>
  <w:abstractNum w:abstractNumId="238">
    <w:nsid w:val="775BA7C1"/>
    <w:multiLevelType w:val="hybridMultilevel"/>
    <w:lvl w:ilvl="0">
      <w:lvlJc w:val="left"/>
      <w:lvlText w:val="(%1)"/>
      <w:numFmt w:val="lowerLetter"/>
      <w:start w:val="1"/>
    </w:lvl>
  </w:abstractNum>
  <w:abstractNum w:abstractNumId="239">
    <w:nsid w:val="1DD6D6F4"/>
    <w:multiLevelType w:val="hybridMultilevel"/>
    <w:lvl w:ilvl="0">
      <w:lvlJc w:val="left"/>
      <w:lvlText w:val="(%1)"/>
      <w:numFmt w:val="lowerLetter"/>
      <w:start w:val="1"/>
    </w:lvl>
    <w:lvl w:ilvl="1">
      <w:lvlJc w:val="left"/>
      <w:lvlText w:val="(%2)"/>
      <w:numFmt w:val="lowerRoman"/>
      <w:start w:val="1"/>
    </w:lvl>
  </w:abstractNum>
  <w:abstractNum w:abstractNumId="240">
    <w:nsid w:val="769A091F"/>
    <w:multiLevelType w:val="hybridMultilevel"/>
    <w:lvl w:ilvl="0">
      <w:lvlJc w:val="left"/>
      <w:lvlText w:val="(%1)"/>
      <w:numFmt w:val="lowerRoman"/>
      <w:start w:val="4"/>
    </w:lvl>
    <w:lvl w:ilvl="1">
      <w:lvlJc w:val="left"/>
      <w:lvlText w:val="(%2)"/>
      <w:numFmt w:val="decimal"/>
      <w:start w:val="1"/>
    </w:lvl>
  </w:abstractNum>
  <w:abstractNum w:abstractNumId="241">
    <w:nsid w:val="4695AE95"/>
    <w:multiLevelType w:val="hybridMultilevel"/>
    <w:lvl w:ilvl="0">
      <w:lvlJc w:val="left"/>
      <w:lvlText w:val="(%1)"/>
      <w:numFmt w:val="lowerLetter"/>
      <w:start w:val="3"/>
    </w:lvl>
  </w:abstractNum>
  <w:abstractNum w:abstractNumId="242">
    <w:nsid w:val="777A4EAA"/>
    <w:multiLevelType w:val="hybridMultilevel"/>
    <w:lvl w:ilvl="0">
      <w:lvlJc w:val="left"/>
      <w:lvlText w:val="(%1)"/>
      <w:numFmt w:val="lowerLetter"/>
      <w:start w:val="1"/>
    </w:lvl>
  </w:abstractNum>
  <w:abstractNum w:abstractNumId="243">
    <w:nsid w:val="3F48B982"/>
    <w:multiLevelType w:val="hybridMultilevel"/>
    <w:lvl w:ilvl="0">
      <w:lvlJc w:val="left"/>
      <w:lvlText w:val="(%1)"/>
      <w:numFmt w:val="lowerLetter"/>
      <w:start w:val="3"/>
    </w:lvl>
  </w:abstractNum>
  <w:abstractNum w:abstractNumId="244">
    <w:nsid w:val="46BA8FCA"/>
    <w:multiLevelType w:val="hybridMultilevel"/>
    <w:lvl w:ilvl="0">
      <w:lvlJc w:val="left"/>
      <w:lvlText w:val="(%1)"/>
      <w:numFmt w:val="lowerLetter"/>
      <w:start w:val="1"/>
    </w:lvl>
  </w:abstractNum>
  <w:abstractNum w:abstractNumId="245">
    <w:nsid w:val="7835626C"/>
    <w:multiLevelType w:val="hybridMultilevel"/>
    <w:lvl w:ilvl="0">
      <w:lvlJc w:val="left"/>
      <w:lvlText w:val="(%1)"/>
      <w:numFmt w:val="lowerLetter"/>
      <w:start w:val="3"/>
    </w:lvl>
  </w:abstractNum>
  <w:abstractNum w:abstractNumId="246">
    <w:nsid w:val="665ACA49"/>
    <w:multiLevelType w:val="hybridMultilevel"/>
    <w:lvl w:ilvl="0">
      <w:lvlJc w:val="left"/>
      <w:lvlText w:val="(%1)"/>
      <w:numFmt w:val="lowerRoman"/>
      <w:start w:val="2"/>
    </w:lvl>
  </w:abstractNum>
  <w:abstractNum w:abstractNumId="247">
    <w:nsid w:val="6835B2AE"/>
    <w:multiLevelType w:val="hybridMultilevel"/>
    <w:lvl w:ilvl="0">
      <w:lvlJc w:val="left"/>
      <w:lvlText w:val="(%1)"/>
      <w:numFmt w:val="lowerLetter"/>
      <w:start w:val="1"/>
    </w:lvl>
    <w:lvl w:ilvl="1">
      <w:lvlJc w:val="left"/>
      <w:lvlText w:val="(%2)"/>
      <w:numFmt w:val="lowerRoman"/>
      <w:start w:val="1"/>
    </w:lvl>
  </w:abstractNum>
  <w:abstractNum w:abstractNumId="248">
    <w:nsid w:val="4C187C90"/>
    <w:multiLevelType w:val="hybridMultilevel"/>
    <w:lvl w:ilvl="0">
      <w:lvlJc w:val="left"/>
      <w:lvlText w:val="%1"/>
      <w:numFmt w:val="lowerLetter"/>
      <w:start w:val="1"/>
    </w:lvl>
    <w:lvl w:ilvl="1">
      <w:lvlJc w:val="left"/>
      <w:lvlText w:val="(%2)"/>
      <w:numFmt w:val="lowerLetter"/>
      <w:start w:val="35"/>
    </w:lvl>
  </w:abstractNum>
  <w:abstractNum w:abstractNumId="249">
    <w:nsid w:val="541F28CD"/>
    <w:multiLevelType w:val="hybridMultilevel"/>
    <w:lvl w:ilvl="0">
      <w:lvlJc w:val="left"/>
      <w:lvlText w:val="(%1)"/>
      <w:numFmt w:val="lowerLetter"/>
      <w:start w:val="5"/>
    </w:lvl>
    <w:lvl w:ilvl="1">
      <w:lvlJc w:val="left"/>
      <w:lvlText w:val="%2"/>
      <w:numFmt w:val="lowerLetter"/>
      <w:start w:val="1"/>
    </w:lvl>
  </w:abstractNum>
  <w:abstractNum w:abstractNumId="250">
    <w:nsid w:val="7F65FD16"/>
    <w:multiLevelType w:val="hybridMultilevel"/>
    <w:lvl w:ilvl="0">
      <w:lvlJc w:val="left"/>
      <w:lvlText w:val="(%1)"/>
      <w:numFmt w:val="lowerLetter"/>
      <w:start w:val="1"/>
    </w:lvl>
    <w:lvl w:ilvl="1">
      <w:lvlJc w:val="left"/>
      <w:lvlText w:val="(%2)"/>
      <w:numFmt w:val="lowerRoman"/>
      <w:start w:val="1"/>
    </w:lvl>
  </w:abstractNum>
  <w:abstractNum w:abstractNumId="251">
    <w:nsid w:val="77C9FD68"/>
    <w:multiLevelType w:val="hybridMultilevel"/>
    <w:lvl w:ilvl="0">
      <w:lvlJc w:val="left"/>
      <w:lvlText w:val="(%1)"/>
      <w:numFmt w:val="lowerRoman"/>
      <w:start w:val="1"/>
    </w:lvl>
  </w:abstractNum>
  <w:abstractNum w:abstractNumId="252">
    <w:nsid w:val="298A92BA"/>
    <w:multiLevelType w:val="hybridMultilevel"/>
    <w:lvl w:ilvl="0">
      <w:lvlJc w:val="left"/>
      <w:lvlText w:val="(%1)"/>
      <w:numFmt w:val="lowerLetter"/>
      <w:start w:val="1"/>
    </w:lvl>
  </w:abstractNum>
  <w:abstractNum w:abstractNumId="253">
    <w:nsid w:val="6FE95EAC"/>
    <w:multiLevelType w:val="hybridMultilevel"/>
    <w:lvl w:ilvl="0">
      <w:lvlJc w:val="left"/>
      <w:lvlText w:val="(%1)"/>
      <w:numFmt w:val="lowerLetter"/>
      <w:start w:val="1"/>
    </w:lvl>
  </w:abstractNum>
  <w:abstractNum w:abstractNumId="254">
    <w:nsid w:val="4B697C7A"/>
    <w:multiLevelType w:val="hybridMultilevel"/>
    <w:lvl w:ilvl="0">
      <w:lvlJc w:val="left"/>
      <w:lvlText w:val="%1."/>
      <w:numFmt w:val="decimal"/>
      <w:start w:val="1"/>
    </w:lvl>
    <w:lvl w:ilvl="1">
      <w:lvlJc w:val="left"/>
      <w:lvlText w:val="(%2)"/>
      <w:numFmt w:val="lowerLetter"/>
      <w:start w:val="1"/>
    </w:lvl>
  </w:abstractNum>
  <w:abstractNum w:abstractNumId="255">
    <w:nsid w:val="51A27AA6"/>
    <w:multiLevelType w:val="hybridMultilevel"/>
    <w:lvl w:ilvl="0">
      <w:lvlJc w:val="left"/>
      <w:lvlText w:val="(%1)"/>
      <w:numFmt w:val="lowerLetter"/>
      <w:start w:val="4"/>
    </w:lvl>
  </w:abstractNum>
  <w:abstractNum w:abstractNumId="256">
    <w:nsid w:val="613183F2"/>
    <w:multiLevelType w:val="hybridMultilevel"/>
    <w:lvl w:ilvl="0">
      <w:lvlJc w:val="left"/>
      <w:lvlText w:val="%1."/>
      <w:numFmt w:val="decimal"/>
      <w:start w:val="2"/>
    </w:lvl>
    <w:lvl w:ilvl="1">
      <w:lvlJc w:val="left"/>
      <w:lvlText w:val="(%2)"/>
      <w:numFmt w:val="lowerLetter"/>
      <w:start w:val="1"/>
    </w:lvl>
  </w:abstractNum>
  <w:abstractNum w:abstractNumId="257">
    <w:nsid w:val="634102B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258">
    <w:nsid w:val="65BF9DA8"/>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259">
    <w:nsid w:val="21A2ECCA"/>
    <w:multiLevelType w:val="hybridMultilevel"/>
    <w:lvl w:ilvl="0">
      <w:lvlJc w:val="left"/>
      <w:lvlText w:val="(%1)"/>
      <w:numFmt w:val="lowerLetter"/>
      <w:start w:val="61"/>
    </w:lvl>
    <w:lvl w:ilvl="1">
      <w:lvlJc w:val="left"/>
      <w:lvlText w:val="%2."/>
      <w:numFmt w:val="decimal"/>
      <w:start w:val="6"/>
    </w:lvl>
    <w:lvl w:ilvl="2">
      <w:lvlJc w:val="left"/>
      <w:lvlText w:val="(%3)"/>
      <w:numFmt w:val="lowerLetter"/>
      <w:start w:val="1"/>
    </w:lvl>
  </w:abstractNum>
  <w:abstractNum w:abstractNumId="260">
    <w:nsid w:val="4D5C4899"/>
    <w:multiLevelType w:val="hybridMultilevel"/>
    <w:lvl w:ilvl="0">
      <w:lvlJc w:val="left"/>
      <w:lvlText w:val="%1"/>
      <w:numFmt w:val="lowerLetter"/>
      <w:start w:val="1"/>
    </w:lvl>
    <w:lvl w:ilvl="1">
      <w:lvlJc w:val="left"/>
      <w:lvlText w:val="(%2)"/>
      <w:numFmt w:val="lowerLetter"/>
      <w:start w:val="2"/>
    </w:lvl>
  </w:abstractNum>
  <w:abstractNum w:abstractNumId="261">
    <w:nsid w:val="3C3B72B2"/>
    <w:multiLevelType w:val="hybridMultilevel"/>
    <w:lvl w:ilvl="0">
      <w:lvlJc w:val="left"/>
      <w:lvlText w:val="(%1)"/>
      <w:numFmt w:val="lowerLetter"/>
      <w:start w:val="61"/>
    </w:lvl>
    <w:lvl w:ilvl="1">
      <w:lvlJc w:val="left"/>
      <w:lvlText w:val="(%2)"/>
      <w:numFmt w:val="lowerLetter"/>
      <w:start w:val="3"/>
    </w:lvl>
  </w:abstractNum>
  <w:abstractNum w:abstractNumId="262">
    <w:nsid w:val="155EC4C2"/>
    <w:multiLevelType w:val="hybridMultilevel"/>
    <w:lvl w:ilvl="0">
      <w:lvlJc w:val="left"/>
      <w:lvlText w:val="(%1)"/>
      <w:numFmt w:val="lowerLetter"/>
      <w:start w:val="5"/>
    </w:lvl>
  </w:abstractNum>
  <w:abstractNum w:abstractNumId="263">
    <w:nsid w:val="65D2A137"/>
    <w:multiLevelType w:val="hybridMultilevel"/>
    <w:lvl w:ilvl="0">
      <w:lvlJc w:val="left"/>
      <w:lvlText w:val="%1."/>
      <w:numFmt w:val="decimal"/>
      <w:start w:val="7"/>
    </w:lvl>
    <w:lvl w:ilvl="1">
      <w:lvlJc w:val="left"/>
      <w:lvlText w:val="(%2)"/>
      <w:numFmt w:val="lowerLetter"/>
      <w:start w:val="1"/>
    </w:lvl>
  </w:abstractNum>
  <w:abstractNum w:abstractNumId="264">
    <w:nsid w:val="6EBB1F2A"/>
    <w:multiLevelType w:val="hybridMultilevel"/>
    <w:lvl w:ilvl="0">
      <w:lvlJc w:val="left"/>
      <w:lvlText w:val="(%1)"/>
      <w:numFmt w:val="lowerLetter"/>
      <w:start w:val="2"/>
    </w:lvl>
  </w:abstractNum>
  <w:abstractNum w:abstractNumId="265">
    <w:nsid w:val="6FBF29CB"/>
    <w:multiLevelType w:val="hybridMultilevel"/>
    <w:lvl w:ilvl="0">
      <w:lvlJc w:val="left"/>
      <w:lvlText w:val="%1."/>
      <w:numFmt w:val="decimal"/>
      <w:start w:val="8"/>
    </w:lvl>
  </w:abstractNum>
  <w:abstractNum w:abstractNumId="266">
    <w:nsid w:val="550B8808"/>
    <w:multiLevelType w:val="hybridMultilevel"/>
    <w:lvl w:ilvl="0">
      <w:lvlJc w:val="left"/>
      <w:lvlText w:val="%1."/>
      <w:numFmt w:val="decimal"/>
      <w:start w:val="13"/>
    </w:lvl>
  </w:abstractNum>
  <w:abstractNum w:abstractNumId="267">
    <w:nsid w:val="34CC3ACF"/>
    <w:multiLevelType w:val="hybridMultilevel"/>
    <w:lvl w:ilvl="0">
      <w:lvlJc w:val="left"/>
      <w:lvlText w:val="%1."/>
      <w:numFmt w:val="decimal"/>
      <w:start w:val="14"/>
    </w:lvl>
  </w:abstractNum>
  <w:abstractNum w:abstractNumId="268">
    <w:nsid w:val="4E556261"/>
    <w:multiLevelType w:val="hybridMultilevel"/>
    <w:lvl w:ilvl="0">
      <w:lvlJc w:val="left"/>
      <w:lvlText w:val="%1."/>
      <w:numFmt w:val="decimal"/>
      <w:start w:val="17"/>
    </w:lvl>
  </w:abstractNum>
  <w:abstractNum w:abstractNumId="269">
    <w:nsid w:val="4C672FC9"/>
    <w:multiLevelType w:val="hybridMultilevel"/>
    <w:lvl w:ilvl="0">
      <w:lvlJc w:val="left"/>
      <w:lvlText w:val="%1."/>
      <w:numFmt w:val="decimal"/>
      <w:start w:val="22"/>
    </w:lvl>
  </w:abstractNum>
  <w:abstractNum w:abstractNumId="270">
    <w:nsid w:val="52A311C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2022-07-26T09:17:56Z</dcterms:created>
  <dcterms:modified xsi:type="dcterms:W3CDTF">2022-07-26T09:17:56Z</dcterms:modified>
</cp:coreProperties>
</file>