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333-275112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2</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30, 2023</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Prospectus Supplement dated July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2765425</wp:posOffset>
            </wp:positionH>
            <wp:positionV relativeFrom="paragraph">
              <wp:posOffset>142875</wp:posOffset>
            </wp:positionV>
            <wp:extent cx="1611630" cy="6000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1630" cy="600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38,951,765 Shares of Common Stock</w:t>
      </w:r>
    </w:p>
    <w:p>
      <w:pPr>
        <w:spacing w:after="0" w:line="148"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this prospectus supplement, the accompanying prospectus supplement and the accompanying base prospectus, we are offering 38,951,765 shares of our common stock, par value $0.0001 per share, to Triton Funds LP (“Triton”) pursuant to our previously announced Common Stock Purchase Agreement with Triton dated July 24, 2024 (the “CSPA”). These shares are being issued as part of the commitment by Triton to purchase from time to time up to $25,000,000 of shares of our common stock pursuant to the CSPA.</w:t>
      </w:r>
    </w:p>
    <w:p>
      <w:pPr>
        <w:spacing w:after="0" w:line="9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sale we request under the CSPA (a “Purchase Notice”), absent waiver from Triton in accordance with the CSPA, may be for a number of shares of our common stock that does not exceed 4.9% of our outstanding shares, which 4.9% amount is currently 7,790,353 shares, as of the date of the CSPA (the “Commitment Shares”). Triton has committed to purchase the Commitment Shares at 80% of the lowest traded price of our common stock five days prior to the closing date for that tranche of shares (the “Purchase Price”).</w:t>
      </w:r>
    </w:p>
    <w:p>
      <w:pPr>
        <w:spacing w:after="0" w:line="9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issued a purchase notice for 7,790,353 shares on July 31, 2024 (the “First Purchase Notice”). The closing under the First Purchase Notice took place on August 2, 2024 at a price per share of $0.02384 raising gross proceeds of $185,722.</w:t>
      </w:r>
    </w:p>
    <w:p>
      <w:pPr>
        <w:spacing w:after="0" w:line="81"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issued a second purchase notice for 15,580,706 shares on July 31 (the “Second Purchase Notice”). The closing under the Second Purchase Notice took place on August 5, 2024, at a price per share of $0.02384 raising gross proceeds of $371,444.</w:t>
      </w:r>
    </w:p>
    <w:p>
      <w:pPr>
        <w:spacing w:after="0" w:line="81" w:lineRule="exact"/>
        <w:rPr>
          <w:sz w:val="24"/>
          <w:szCs w:val="24"/>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issued a third purchase notice for 15,580,706 shares on August 1 (the “Third Purchase Notice”). The closing under the Third Purchase Notice took place on August 6, 2024, at a price per share of $0.01808 raising gross proceeds of $281,699.</w:t>
      </w:r>
    </w:p>
    <w:p>
      <w:pPr>
        <w:spacing w:after="0" w:line="81"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also cover the sale of these shares by Triton to the public. Triton is deemed to be an “underwriter” within the meaning of the Securities Act of 1933, as amended (the “Securities Act”), and the compensation and discounts received by Triton will be deemed to be underwriting commissions or discounts. We will pay for expenses of this offering. For additional information on the methods of sale that may be used by Triton, see the section entitled “Plan of Distribution” on page S-14.</w:t>
      </w:r>
    </w:p>
    <w:p>
      <w:pPr>
        <w:spacing w:after="0" w:line="9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“PRST”. On August 6, 2024, the closing price of our common stock, as reported on the Nasdaq Global Market, was $0.031 per share.</w:t>
      </w:r>
    </w:p>
    <w:p>
      <w:pPr>
        <w:spacing w:after="0" w:line="77"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please read carefully the discussion of material risks of investing in our common stock under the heading “Risk Factors” beginning on page S-5 of the accompanying prospectus supplement and in the documents incorporated by reference into the accompanying prospectus supplement.</w:t>
      </w:r>
    </w:p>
    <w:p>
      <w:pPr>
        <w:spacing w:after="0" w:line="90"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In particular, you should note that the Company is required to raise $2.0 million on or before each of August 1, 2024, August 15, 2024 and August 29, 2024 (each, a “Forbearance Date”) for a cumulative total of $6.0 million in order to prevent its senior secured lender from exercising remedies against the Company, including but not limited to an Article 9 foreclosure, which would result in the Company’s common stock, including the common stock offered hereby, becoming worthless. The Company has obtained a further waiver of the August 1, 2024 deadline and is required to raise $4.0 million on or before August 15, 2024. There is no guarantee from any third-party for such amounts. Accordingly, you will lose all of your investment if this offering, pursuant to the Company’s agreement with Triton, does not raise the amounts described above.</w:t>
      </w:r>
    </w:p>
    <w:p>
      <w:pPr>
        <w:spacing w:after="0" w:line="101"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The Company is required to raise an additional $32.0 million by no later than the Forbearance Date in order to facilitate negotiations with its senior secured lender for the assignment and restructuring of its loan. The Company has received no indications of interest from outside investors to make such investment since the opportunity to seek such an investment was granted on May 16, 2024. While there exists a possibility that such an investment may be secured, the Company considers this outcome to be extremely unlikely. Accordingly, the Company believes that it is extremely likely that you will lose all of your investment in this offering because the senior secured lender will be free to exercise remedies at that time.</w:t>
      </w:r>
    </w:p>
    <w:p>
      <w:pPr>
        <w:spacing w:after="0" w:line="101"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direct use of proceeds for this offering is working capital and other general corporate purposes. However, indirectly the funds raised in this offering may solely benefit our senior secured lender with whom we are currently cooperating to find a potential purchaser for our business in the event of an Article 9 foreclosure. By funding our business through this offering until such a purchaser is located, the date on which our lender would need to fund our business and operations prior to any such sale is deferred.</w:t>
      </w:r>
    </w:p>
    <w:p>
      <w:pPr>
        <w:spacing w:after="0" w:line="95" w:lineRule="exact"/>
        <w:rPr>
          <w:sz w:val="24"/>
          <w:szCs w:val="24"/>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Company expects that its stock will be delisted from the Nasdaq Stock Market (“Nasdaq”) on or about August 8, 2024. The liquidity of the Company’s common stock may be materially adversely affected.</w:t>
      </w:r>
    </w:p>
    <w:p>
      <w:pPr>
        <w:spacing w:after="0" w:line="74"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Company is examining whether it will be eligible to terminate the registration of its common stock under the Exchange Act of 1934, as amended. If eligible, such termination would result in the Company ceasing to file Forms 10-K, 10-Q and 8-K in the near future. The Company’s common stock would remain outstanding, but its liquidity may be materially adversely affected.</w:t>
      </w:r>
    </w:p>
    <w:p>
      <w:pPr>
        <w:spacing w:after="0" w:line="90"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determined if this prospectus is truthful or complete. Any representation to the contrary is a criminal offense.</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prospectus supplement is dated August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991"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20" w:type="dxa"/>
            <w:vAlign w:val="bottom"/>
            <w:gridSpan w:val="6"/>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0" w:type="dxa"/>
            <w:vAlign w:val="bottom"/>
          </w:tcPr>
          <w:p>
            <w:pPr>
              <w:spacing w:after="0"/>
              <w:rPr>
                <w:sz w:val="24"/>
                <w:szCs w:val="24"/>
                <w:color w:val="auto"/>
              </w:rPr>
            </w:pPr>
          </w:p>
        </w:tc>
      </w:tr>
      <w:tr>
        <w:trPr>
          <w:trHeight w:val="459"/>
        </w:trPr>
        <w:tc>
          <w:tcPr>
            <w:tcW w:w="7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190"/>
        </w:trPr>
        <w:tc>
          <w:tcPr>
            <w:tcW w:w="10240" w:type="dxa"/>
            <w:vAlign w:val="bottom"/>
            <w:gridSpan w:val="25"/>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THE OFFERING</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S-1</w:t>
            </w:r>
          </w:p>
        </w:tc>
      </w:tr>
      <w:tr>
        <w:trPr>
          <w:trHeight w:val="432"/>
        </w:trPr>
        <w:tc>
          <w:tcPr>
            <w:tcW w:w="7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0" w:type="dxa"/>
            <w:vAlign w:val="bottom"/>
            <w:tcBorders>
              <w:top w:val="single" w:sz="8" w:color="CCEEFF"/>
            </w:tcBorders>
            <w:gridSpan w:val="7"/>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9"/>
              </w:rPr>
              <w:t>PROSPECTUS SUPPLEMENT DATED JULY 25, 2024</w:t>
            </w:r>
          </w:p>
        </w:tc>
        <w:tc>
          <w:tcPr>
            <w:tcW w:w="1000" w:type="dxa"/>
            <w:vAlign w:val="bottom"/>
            <w:tcBorders>
              <w:top w:val="single" w:sz="8" w:color="CCEEFF"/>
            </w:tcBorders>
          </w:tcPr>
          <w:p>
            <w:pPr>
              <w:spacing w:after="0"/>
              <w:rPr>
                <w:sz w:val="24"/>
                <w:szCs w:val="24"/>
                <w:color w:val="auto"/>
              </w:rPr>
            </w:pPr>
          </w:p>
        </w:tc>
      </w:tr>
      <w:tr>
        <w:trPr>
          <w:trHeight w:val="459"/>
        </w:trPr>
        <w:tc>
          <w:tcPr>
            <w:tcW w:w="7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155"/>
        </w:trPr>
        <w:tc>
          <w:tcPr>
            <w:tcW w:w="10240" w:type="dxa"/>
            <w:vAlign w:val="bottom"/>
            <w:gridSpan w:val="25"/>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w:t>
            </w: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6"/>
        </w:trPr>
        <w:tc>
          <w:tcPr>
            <w:tcW w:w="102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694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102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CORPORATE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2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175"/>
        </w:trPr>
        <w:tc>
          <w:tcPr>
            <w:tcW w:w="102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2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U.S. FEDERAL TAX CONSIDERATIONS FOR NON-U.S. HOLDERS OF OUR COMMON STOCK</w:t>
            </w:r>
          </w:p>
        </w:tc>
        <w:tc>
          <w:tcPr>
            <w:tcW w:w="18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176"/>
        </w:trPr>
        <w:tc>
          <w:tcPr>
            <w:tcW w:w="102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175"/>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780" w:type="dxa"/>
            <w:vAlign w:val="bottom"/>
            <w:tcBorders>
              <w:top w:val="single" w:sz="8" w:color="CCEEFF"/>
            </w:tcBorders>
            <w:gridSpan w:val="2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0"/>
        </w:trPr>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102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5"/>
        </w:trPr>
        <w:tc>
          <w:tcPr>
            <w:tcW w:w="6340" w:type="dxa"/>
            <w:vAlign w:val="bottom"/>
            <w:tcBorders>
              <w:top w:val="single" w:sz="8" w:color="0000EE"/>
            </w:tcBorders>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390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22"/>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102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10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COMMON STOCK AND PREFERRED STOCK</w:t>
            </w:r>
          </w:p>
        </w:tc>
        <w:tc>
          <w:tcPr>
            <w:tcW w:w="514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02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24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7760" w:type="dxa"/>
            <w:vAlign w:val="bottom"/>
            <w:tcBorders>
              <w:top w:val="single" w:sz="8" w:color="CCEEFF"/>
            </w:tcBorders>
            <w:gridSpan w:val="11"/>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202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8220" w:type="dxa"/>
            <w:vAlign w:val="bottom"/>
            <w:tcBorders>
              <w:top w:val="single" w:sz="8" w:color="CCEEFF"/>
            </w:tcBorders>
            <w:gridSpan w:val="1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72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2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780" w:type="dxa"/>
            <w:vAlign w:val="bottom"/>
            <w:tcBorders>
              <w:top w:val="single" w:sz="8" w:color="CCEEFF"/>
            </w:tcBorders>
            <w:gridSpan w:val="2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25"/>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the accompanying prospectus supplement and the accompanying prospectus.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supplement and the accompanying prospectus. You should assume that the information contained in this prospectus supplement, the accompanying prospectus supplement and the accompanying prospectus is accurate only as of the date on the front of the document and that any information contained in any document we have incorporated by reference is accurate only as of the date of the document incorporated by reference, regardless of the time of delivery of this prospectus supplement, the accompanying prospectus supplement, the accompanying prospectus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Offered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ind w:right="760"/>
        <w:spacing w:after="0" w:line="532" w:lineRule="auto"/>
        <w:rPr>
          <w:sz w:val="20"/>
          <w:szCs w:val="20"/>
          <w:color w:val="auto"/>
        </w:rPr>
      </w:pPr>
      <w:r>
        <w:rPr>
          <w:rFonts w:ascii="Times New Roman" w:cs="Times New Roman" w:eastAsia="Times New Roman" w:hAnsi="Times New Roman"/>
          <w:sz w:val="18"/>
          <w:szCs w:val="18"/>
          <w:color w:val="auto"/>
        </w:rPr>
        <w:t>Symbol for our common stock on Nasdaq Antidilution Shares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Resale</w:t>
      </w:r>
    </w:p>
    <w:p>
      <w:pPr>
        <w:spacing w:after="0" w:line="20" w:lineRule="exact"/>
        <w:rPr>
          <w:sz w:val="20"/>
          <w:szCs w:val="20"/>
          <w:color w:val="auto"/>
        </w:rPr>
      </w:pPr>
      <w:r>
        <w:rPr>
          <w:sz w:val="20"/>
          <w:szCs w:val="20"/>
          <w:color w:val="auto"/>
        </w:rPr>
        <w:br w:type="column"/>
      </w:r>
    </w:p>
    <w:p>
      <w:pPr>
        <w:ind w:left="44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38,951,765 shares of common stock of Presto Automation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Triton Funds LP pursuant to the Common Stock Purchase Agreement dated July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$0.02384 with respect to 7,790,353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$0.02384 with respect to 15,580,706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$0.01808 with respect to 15,580,706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$838,865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proceeds from this offering will be used for working capital and general corporate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“PRST”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offering has triggered anti-dilution adjustments that require us to issue 880,014,650 additional shares whether directly or pursuant to the exercise of warrants or conversion of convertible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supplement and the accompanying prospectus also cover the resale of shares by Triton Funds LP to the public. See “Plan of Distribution” in the accompanying prospectus supplement.</w:t>
      </w:r>
    </w:p>
    <w:p>
      <w:pPr>
        <w:spacing w:after="0" w:line="3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780" w:space="720"/>
            <w:col w:w="67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30, 2023)</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on Form S-3 (File No. 333-275112) that we initially filed with the SEC on October 20, 2023, and was declared effective on October 30, 2023. Under this shelf registration process, we may, from time to time, sell any combination of the securities described in the accompanying prospectus in one or more offerings up to a total dollar amount of $75,000,000.</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provides specific details regarding the issuance of up to $25,000,000 of shares of our common stock pursuant to the CSPA. To the extent there is a conflict between the information contained in this prospectus supplement and accompanying prospectus, you should rely on the information in this prospectus supplement. Generally, when we refer to this prospectus supplement, we are referring to both parts of this document combined together with all documents incorporated by reference. This prospectus supplement, the accompanying prospectus and the documents we incorporate by reference herein and therein include important information about us and our common stock, and other information you should know before investing. You should read this prospectus supplement, the accompanying prospectus and the documents incorporated by reference in this prospectus supplement and the accompanying prospectus before making an investment decision. You should also read and consider the information in the documents referred to in the sections of this prospectus supplement entitled “Where You Can Find More Information” and “Incorporation of Certain Documents by Reference.”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(this “Offering”) and also adds to and updates information contained in the accompanying prospectus and the documents incorporated by reference into this prospectus supplement and the accompanying prospectus. The second part is the accompanying prospectus, which gives more general information about the shares of our common stock and other securities we may offer from time to time under our shelf registration statement, some of which does not apply to the common stock offered by this prospectus supplement.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or contained in or incorporated by reference into the accompanying prospectus to which we have referred you. We have not authorized anyone to provide you with information that is different. If anyone provides you with different or inconsistent information, you should not rely on it. The information contained in, or incorporated by reference into, this prospectus supplement and contained in, or incorporated by reference into, the accompanying prospectus is accurate only as of the respective dates thereof, regardless of the time of delivery of this prospectus supplement and the accompanying prospectus or of any sale of securities.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offering to sell, and are seeking offers to buy, the shares of common stock only in jurisdictions where such offers and sales are permitted. The distribution of this prospectus supplement and the accompanying prospectus and the offering of the shares of common stock in certain states or jurisdictions or to certain persons within such states and jurisdictions may be restricted by law.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state or jurisdiction in which it is unlawful for such person to make such an offer or solicitation.</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“Presto,” “we,” “us” and “our” refer to Presto Automation Inc. and its consolidated subsidiaries, unless otherwise specified.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or the Securities Act, and Section 21E of the Securities Exchange Act of 1934, as amended, or the Exchange Act, and are based on our management’s beliefs and assumptions and on information currently available to our management. Forward-looking statements include information concerning our possible or assumed future results of our business and statements regarding our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are discussed in the section titled “Risk Factors” included in our Annual Report on Form 10-K for the year ended June 30, 2023 filed with the SEC on October 11, 2023, as amended by Amendment No. 1 on Form 10-K/A filed with the SEC on October 12, 2023 (the “2023 Form 10-K”), and other risk factors detailed from time to time in filings with the SEC. 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79851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5020" cy="798512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This summary does not contain all of the information that you should consider before deciding whether to invest in our common stock. You should read this entire prospectus supplement carefully, including accompanying prospectus, the “Risk Factors” section in this prospectus supplement, the risks set forth under the heading “Risk Factors” in the 2023 Form 10-K, and the other documents incorporated by reference in this prospectus supplement and the accompanying prospectus, prior to making an investment decision. References in this prospectus supplement to “we,” “us,” “our,” the “Company,” and “Presto” refer to Presto Automation Inc. unless otherwise stated or the context otherwise requires.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Presto provides enterprise-grade AI and automation solutions to the restaurant industry. Presto’s solutions are designed to decrease labor costs, improve staff productivity, increase revenue and enhance the guest experience. We offer our industry-leading AI solution, Presto Voice, to quick service restaurants (QSR), and we have some of the most recognized restaurant names in the United States as our customers.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 pay-at-table tablet solution. As a result of the Presto Voice opportunities, we have taken decisive action to focus on this solution and, as has been disclosed previously, we exited the Presto Touch business line with the expiration of our final customer contracts at the end of June 2024. Our Presto Voice product line addresses the pressing needs of drive-thru restaurant operators by improving order accuracy, reducing labor costs and increasing revenue through menu upselling, while also providing guests with an improved drive-thru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on May 16, 2024, the Company entered into a Cooperation Agreement, as amended on July 19, 2024 (the “Cooperation Agreement”), with Metropolitan Partners Group Administration, LLC, the administrative, payment and collateral agent (the “Agent”) under the Credit Agreement, dated as of September 21, 2022 (as amended, the “Credit Agreement”), Metropolitan Levered Partners Fund VII, LP, Metropolitan Partners Fund VII, LP, Metropolitan Offshore Partners Fund VII, LP and CEOF Holdings LP (collectively, the “Lenders”). Capitalized terms used and not defined below have the meanings set forth in the Credit Agreement.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Cooperation Agreement provides that the Lenders will not exercise remedies as a result of certain continuing events of default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subject to the following agreements and conditions (the “Forbearance”):</w:t>
      </w:r>
    </w:p>
    <w:p>
      <w:pPr>
        <w:spacing w:after="0" w:line="207" w:lineRule="exact"/>
        <w:rPr>
          <w:sz w:val="20"/>
          <w:szCs w:val="20"/>
          <w:color w:val="auto"/>
        </w:rPr>
      </w:pPr>
    </w:p>
    <w:p>
      <w:pPr>
        <w:ind w:left="960" w:right="20" w:hanging="320"/>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raises net cash proceeds equal to or greater than $1.5 million in a private offering by July 22, 2024, the Agent and the Lenders agree to extend the Forbearance termination date (the “Termination Date”) to August 1, 2024;</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raises additional net cash proceeds equal to or greater than $2.0 million (for a total of $3.5 million) or more by August 1, 2024, the Termination Date shall be automatically extended to August 15, 2024;</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raises additional net cash proceeds equal to or greater than $2.0 million (for a total of $5.5 million) or more by August 15, 2024, the Termination Date shall be automatically extended to August 29, 2024; and</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raises additional net cash proceeds equal to or greater than $2.0 million (for a total of $7.5 million) or more by August 29, 2024, the Termination Date shall be automatically extended to September 15, 2024.</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Assuming continued Forbearance, the Lenders have agreed to engage in good faith discussions to conclude a binding agreement (the “Offer”) with a third-party submitted by any Loan Party or Significant Stakeholder (as defined in the Cooperation Agreement) to purchase all of the Lenders’ rights and obligations under the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Offer is (A) for a cash purchase price of at least $20.0 million, (B) accompanied by a binding commitment by the Borrower to issue one or more promissory notes to the Lenders (the “Convertible Notes”) in an aggregate principal amount equal to fifty percent (50%) of the outstanding balance of the Obligations (as defined in the Credit Agreement) less the proposed cash purchase price, which Convertible Notes shall be convertible into equity of the Company of the same class and on the same terms as are set out in that certain convertible subordinated note issued to Remus Capital Series B II, L.P. on January 30, 2024, and (C) accompanied by evidence, in form and substance satisfactory to the Lenders in their sole discretion, reflecting that the Offer will provide us with operating capital of not less than $12.0 million, not including the cash purchase price described in subparagraph (A) above. To the extent that the operating capital is less than $18.0 million, the amount of the convertible note described above will be increased by a dollar amount equal the reduction in operating capital below $18.0 million.</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8808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5020" cy="8808085"/>
                    </a:xfrm>
                    <a:prstGeom prst="rect">
                      <a:avLst/>
                    </a:prstGeom>
                    <a:noFill/>
                  </pic:spPr>
                </pic:pic>
              </a:graphicData>
            </a:graphic>
          </wp:anchor>
        </w:drawing>
        <w:t>Status of Capital Raise</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Efforts to raise capital to achieve the $32.0 million investment described above have been led solely by the Company’s director, Krishna Gupta:</w:t>
      </w:r>
    </w:p>
    <w:p>
      <w:pPr>
        <w:spacing w:after="0" w:line="237" w:lineRule="exact"/>
        <w:rPr>
          <w:sz w:val="20"/>
          <w:szCs w:val="20"/>
          <w:color w:val="auto"/>
        </w:rPr>
      </w:pPr>
    </w:p>
    <w:p>
      <w:pPr>
        <w:ind w:left="960" w:right="20" w:hanging="320"/>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indication of interest from a third party investor to invest any amount in the Company since the Cooperation Agreement was signed on May 16, 2024; and</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Gupta has indicated to the board that Remus Capital has “circled” $10.0 million; however, despite requests by the board, Mr. Gupta has not provided any evidence of the existence of such funds.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While there exists a possibility that such an investment may be secured before Forbearance terminates, the Company considers this outcome extremely unlikely. Accordingly, the Company believes that it is extremely likely that you will lose all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Nasdaq Listing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the Company received a delisting notification from Nasdaq based on its failure to maintain a $1 per share bid price. This offering will almost certainly violate Nasdaq Listing Rule 5635(d). As a result, the Company expects to lose the appeal that it has submitted to Nasdaq to become compliant with Nasdaq listing requirements, and the Company expects that its common stock will be delisted on or about August 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Issuance of Anti-dilution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July 16, 2024, the Company’s shareholders approved the issuance of shares and the potential issuance of shares underlying notes and warrants, in each case, pursuant to anti-dilution rights granted to holders of the Company’s securities:</w:t>
      </w:r>
    </w:p>
    <w:p>
      <w:pPr>
        <w:spacing w:after="0" w:line="162" w:lineRule="exact"/>
        <w:rPr>
          <w:sz w:val="20"/>
          <w:szCs w:val="20"/>
          <w:color w:val="auto"/>
        </w:rPr>
      </w:pPr>
    </w:p>
    <w:p>
      <w:pPr>
        <w:jc w:val="both"/>
        <w:ind w:left="960" w:right="20" w:hanging="320"/>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50,471,013 shares to Presto CA LLC (“CA”), an affiliate of Cleveland Avenue LLC (“Cleveland Avenue”). Cleveland Avenue is a significant stockholder of the Company, and Keith Kravcik, a director of the Company, is the Chief Investment Officer of all of Cleveland Avenue’s various Investment Funds, including the funds invested in the Company;</w:t>
      </w:r>
    </w:p>
    <w:p>
      <w:pPr>
        <w:spacing w:after="0" w:line="17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37,112,611 shares to investors in the Company’s registered direct offerings in November 2023 and May 2024 that held such shares as of the anti-dilution trigger date;</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136,765,002 shares underlying warrants issued to the Lenders; and</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137,913,043 shares underlying convertible notes issued in January 2024.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examining the steps that are required to issue such securities in compliance with applicable securities laws, including the filing of a resale registration statement on Form S-1 with respect to some or all of such securities. The Company has insufficient funds currently to complete such actions given its liquidity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Business Update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currently has cash and cash equivalents sufficient to operate its business through the end of July 2024. The Company requires approximately $3.0 million each month to operate its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agreed to pay its Lenders $375,000 in interest and to reimburse them $210,000 in fees and expenses on or before August 9, 2024. The Company’s failure to make such payments is an event of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Franchisee Update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brand owner, with whom the Company does not have a direct agreement, whose franchisees account for approximately 90% of the Company’s installed base, recently advised those franchisees that they may face potential lawsuits for infringing the California Invasion of Privacy Act (the “Act”) as a result of the use of drive-through AI technology. This follows a purported class action lawsuit filed in California in February 2024 alleging that the use of drive-through AI technology such as the Presto Voice solution constitutes wiretapping under the Act due to a lack of consent from drive-through customers. The lawsuit was withdrawn by the plaintiff and dismissed without prejudice, meaning that the claim could be filed again. As a result of the brand owner’s advice, two franchisees, operating 40 locations in which the Company’s technology is installed, have recently paused further installations. The Company cannot be certain whether there will be any additional impact.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on or connected to our website is not a part of or incorporated by reference into this prospectus supplement.</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7" w:name="page8"/>
    <w:bookmarkEnd w:id="7"/>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Common stock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Anti-dilution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ind w:left="15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-268605</wp:posOffset>
            </wp:positionV>
            <wp:extent cx="7145020" cy="8688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5020" cy="868807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$25.0 million of shares of common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348,675,034 shares of common stock, which assumes the sale of shares our common stock at a price of $0.0717 per share, which was the closing price of our common stock on the date of the CSPA, for the up to $25,000,000 of shares of our common stock we may sell to Triton from time to time. The actual sale price will likely be lower. The actual number of shares of our common stock issued will vary depending on the sales prices under this Offering.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sale we request under the CSPA (a “Purchase Notice”) may be for a number of shares of our common stock that does not exceed 4.9% of our outstanding shares, which 4.9% amount is currently 7,790,353 shares, as of the date of the CSPA (the “Commitment Shares”). Triton has committed to purchase the Commitment Shares at 80% of the lowest traded price of the common stock five days prior to the closing date for that tranche of shares (the “Purchase Price”).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direct use of proceeds is for working capital and other general corporate purposes. However, indirectly the funds raised in this offering may solely benefit our senior secured lender with whom we are currently cooperating to find a potential purchaser for our business in the event of an Article 9 foreclosure. By funding our business through this offering until such a purchaser is located, the date on which our lender would need to fund our business and operations prior to any such sale is deferred. See “Use of Proceeds.”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“PRST.”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Purchase Price of our common stock in this Offering is less than $0.05175 per share, the Offering will trigger anti-dilution adjustment provisions in our existing agreements. See “Summary — Potential Anti-Dilution Impact of this Offering.” See the information below for the number of shares issued or issuable.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In particular, you should note that the Company is required to raise $2.0 million on or before each of August 1, 2024, August 15, 2024 and August 29, 2024 (each, a “Forbearance Date”) for a cumulative total of $6.0 million in order to prevent its senior secured lender from exercising remedies against the Company, including but not limited to an Article 9 foreclosure, which would result in the Company’s common stock, including the common stock offered hereby, becoming worthless. There is no guarantee from any third-party for such amounts. Accordingly, you will lose all of your investment if this offering, pursuant to the Company’s agreement with Triton, does not raise the amounts described above.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required to raise an additional $32.0 million by no later than the Forbearance Date in order to facilitate negotiations with its senior secured lender for the assignment and restructuring of their loan. The Company has received no indications of interest from outside investors to make such investment since the opportunity to seek such an investment was granted on May 16, 2024. While there exists a possibility that such investment may be secured, the Company considers this outcome to be extremely unlikely. Accordingly, the Company believes that it is extremely likely that you will lose all of your investment in this offering because the senior secured lender will be free to exercise remedies at that time.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direct use of proceeds for this offering is working capital and other general corporate purposes. However, indirectly the funds raised in this offering may solely benefit our senior secured lender with whom we are currently cooperating to find a potential purchaser for our business in the event of an Article 9 foreclosure. By funding our business through this offering until such a purchaser is located, the date on which our lender would need to fund our business and operations prior to any such sale is deferred.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offering will almost certainly violate the Nasdaq Stock Market LLC (“Nasdaq”) Listing Rule 5635(d). As a result, the Company expects to lose the appeal that it has submitted to Nasdaq to delay delisting, and the Company expects that its stock will be delisted from Nasdaq on or about August 8,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the section titled “Risk Factors,” and the other information included, or incorporated by reference, in this prospectus supplement for a discussion of some of the risks and uncertainties you should carefully consider before deciding to invest in our common stock.</w:t>
      </w:r>
    </w:p>
    <w:p>
      <w:pPr>
        <w:spacing w:after="0" w:line="200" w:lineRule="exact"/>
        <w:rPr>
          <w:sz w:val="20"/>
          <w:szCs w:val="20"/>
          <w:color w:val="auto"/>
        </w:rPr>
      </w:pPr>
    </w:p>
    <w:p>
      <w:pPr>
        <w:sectPr>
          <w:pgSz w:w="11900" w:h="16838" w:orient="portrait"/>
          <w:cols w:equalWidth="0" w:num="2">
            <w:col w:w="2660" w:space="640"/>
            <w:col w:w="7700"/>
          </w:cols>
          <w:pgMar w:left="460" w:top="927" w:right="439" w:bottom="1440" w:gutter="0" w:footer="0" w:header="0"/>
        </w:sect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24765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type w:val="continuous"/>
        </w:sectPr>
      </w:pPr>
    </w:p>
    <w:bookmarkStart w:id="8" w:name="page9"/>
    <w:bookmarkEnd w:id="8"/>
    <w:p>
      <w:pPr>
        <w:ind w:left="20" w:firstLine="64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5541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5020" cy="5541645"/>
                    </a:xfrm>
                    <a:prstGeom prst="rect">
                      <a:avLst/>
                    </a:prstGeom>
                    <a:noFill/>
                  </pic:spPr>
                </pic:pic>
              </a:graphicData>
            </a:graphic>
          </wp:anchor>
        </w:drawing>
        <w:t>Unless otherwise indicated, all information in this prospectus relating to the number of shares of our common stock outstanding is based on 158,986,810 shares of common stock outstanding as of June 30, 2024 and does not include:</w:t>
      </w:r>
    </w:p>
    <w:p>
      <w:pPr>
        <w:spacing w:after="0" w:line="162" w:lineRule="exact"/>
        <w:rPr>
          <w:sz w:val="20"/>
          <w:szCs w:val="20"/>
          <w:color w:val="auto"/>
        </w:rPr>
      </w:pPr>
    </w:p>
    <w:p>
      <w:pPr>
        <w:ind w:left="980" w:hanging="320"/>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certain outstanding warrants outstanding as of June 30, 2024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 Underlying Warrants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9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23,653,259</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639,026</w:t>
            </w:r>
          </w:p>
        </w:tc>
        <w:tc>
          <w:tcPr>
            <w:tcW w:w="1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294,725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71,101</w:t>
            </w:r>
          </w:p>
        </w:tc>
        <w:tc>
          <w:tcPr>
            <w:tcW w:w="1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584,648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8,625,000</w:t>
            </w:r>
          </w:p>
        </w:tc>
        <w:tc>
          <w:tcPr>
            <w:tcW w:w="1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170,993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w:t>
            </w:r>
          </w:p>
        </w:tc>
      </w:tr>
      <w:tr>
        <w:trPr>
          <w:trHeight w:val="234"/>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7,625,000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w:t>
            </w:r>
          </w:p>
        </w:tc>
      </w:tr>
    </w:tbl>
    <w:p>
      <w:pPr>
        <w:spacing w:after="0" w:line="179" w:lineRule="exact"/>
        <w:rPr>
          <w:sz w:val="20"/>
          <w:szCs w:val="20"/>
          <w:color w:val="auto"/>
        </w:rPr>
      </w:pPr>
    </w:p>
    <w:p>
      <w:pPr>
        <w:jc w:val="both"/>
        <w:ind w:left="980" w:right="20" w:hanging="320"/>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2,961,738 shares of common stock underlying outstanding restricted stock units (“RSUs”) as of June 30, 2024 and 5,112,153 shares issuable upon the exercise of stock options outstanding as of June 30, 2024 previously granted under the Company’s equity incentive plans;</w:t>
      </w:r>
    </w:p>
    <w:p>
      <w:pPr>
        <w:spacing w:after="0" w:line="175" w:lineRule="exact"/>
        <w:rPr>
          <w:rFonts w:ascii="Times New Roman" w:cs="Times New Roman" w:eastAsia="Times New Roman" w:hAnsi="Times New Roman"/>
          <w:sz w:val="18"/>
          <w:szCs w:val="18"/>
          <w:color w:val="auto"/>
        </w:rPr>
      </w:pPr>
    </w:p>
    <w:p>
      <w:pPr>
        <w:ind w:left="980" w:right="20" w:hanging="320"/>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136,765,001 shares of common stock underlying warrants with an exercise price of $0.01 per share held by the Agent and the Lenders in connection with anti-dilution protections under the warrants;</w:t>
      </w:r>
    </w:p>
    <w:p>
      <w:pPr>
        <w:spacing w:after="0" w:line="161" w:lineRule="exact"/>
        <w:rPr>
          <w:rFonts w:ascii="Times New Roman" w:cs="Times New Roman" w:eastAsia="Times New Roman" w:hAnsi="Times New Roman"/>
          <w:sz w:val="18"/>
          <w:szCs w:val="18"/>
          <w:color w:val="auto"/>
        </w:rPr>
      </w:pPr>
    </w:p>
    <w:p>
      <w:pPr>
        <w:ind w:left="980" w:hanging="320"/>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50,471,013 shares of common stock issuable to Presto CA pursuant to anti-dilution protections previously granted to Presto CA, an affiliate of our shareholder, Cleveland Avenue, but that have not been issued as of the date hereof;</w:t>
      </w:r>
    </w:p>
    <w:p>
      <w:pPr>
        <w:spacing w:after="0" w:line="161" w:lineRule="exact"/>
        <w:rPr>
          <w:rFonts w:ascii="Times New Roman" w:cs="Times New Roman" w:eastAsia="Times New Roman" w:hAnsi="Times New Roman"/>
          <w:sz w:val="18"/>
          <w:szCs w:val="18"/>
          <w:color w:val="auto"/>
        </w:rPr>
      </w:pPr>
    </w:p>
    <w:p>
      <w:pPr>
        <w:ind w:left="980" w:right="20" w:hanging="320"/>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47,406,279 shares of common stock issuable to investors who participated in the Company’s registered direct offering dated November 17, 2023, but that have not been issued as of the date hereof;</w:t>
      </w:r>
    </w:p>
    <w:p>
      <w:pPr>
        <w:spacing w:after="0" w:line="161" w:lineRule="exact"/>
        <w:rPr>
          <w:rFonts w:ascii="Times New Roman" w:cs="Times New Roman" w:eastAsia="Times New Roman" w:hAnsi="Times New Roman"/>
          <w:sz w:val="18"/>
          <w:szCs w:val="18"/>
          <w:color w:val="auto"/>
        </w:rPr>
      </w:pPr>
    </w:p>
    <w:p>
      <w:pPr>
        <w:ind w:left="980" w:right="20" w:hanging="320"/>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10,293,668 shares of common stock issuable to investors who participated in the May Offering, but that have not been issued as of the date hereof;</w:t>
      </w:r>
    </w:p>
    <w:p>
      <w:pPr>
        <w:spacing w:after="0" w:line="161" w:lineRule="exact"/>
        <w:rPr>
          <w:rFonts w:ascii="Times New Roman" w:cs="Times New Roman" w:eastAsia="Times New Roman" w:hAnsi="Times New Roman"/>
          <w:sz w:val="18"/>
          <w:szCs w:val="18"/>
          <w:color w:val="auto"/>
        </w:rPr>
      </w:pPr>
    </w:p>
    <w:p>
      <w:pPr>
        <w:ind w:left="980" w:right="20" w:hanging="320"/>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137,913,043 shares of common stock issuable to the January 2024 Noteholders pursuant to anti-adjustment provisions in the January 2024 Notes; and</w:t>
      </w:r>
    </w:p>
    <w:p>
      <w:pPr>
        <w:spacing w:after="0" w:line="161"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20,625,000 shares of common stock issuable underlying convertible notes issued to Remus Capital Series B II, L.P, on July 19, 2024.</w:t>
      </w:r>
    </w:p>
    <w:p>
      <w:pPr>
        <w:spacing w:after="0" w:line="225" w:lineRule="exact"/>
        <w:rPr>
          <w:sz w:val="20"/>
          <w:szCs w:val="20"/>
          <w:color w:val="auto"/>
        </w:rPr>
      </w:pPr>
    </w:p>
    <w:p>
      <w:pPr>
        <w:ind w:left="20"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reflects or assumes no exercise, vesting or termination of options, RSUs or warrants outstanding as of June 30, 2024.</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and evaluate all of the information included and incorporated by reference in this prospectus, including the risk factors below, in the 2023 Form 10-K (which is incorporated by reference into this prospectus supplement), and other filings we make with the SEC, which are incorporated by reference into this prospectus supplement. It is possible that our business, financial condition, liquidity or results of operations could be materially adversely affected by any of these risks.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believe that it is extremely likely that you will lose all of your investment if you purchase shares in our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arrangement entered into with our senior secured lender creates a rolling termination date to their agreement to forbear from the exercise of remedies assuming we raise $2.0 million on or before each of August 1, 2024, August 15, 2024 and August 29, 2024 (each, a “Forbearance Date”) for a cumulative total of $6.0 in order to prevent the lender from exercising remedies against the Company, including but not limited to an Article 9 foreclosure, which would result in the Company’s common stock, including the common stock offered hereby, becoming worthless.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also required to raise an additional $32.0 million by no later than the Forbearance Date in order to facilitate negotiations with its senior secured lender for the assignment and restructuring of their loan. The Company has received no indications of interest from outside investors to make such investment since the opportunity to seek such an investment was granted on May 16, 2024. While there exists a possibility that such an investment may be secured, the Company considers that outcome to be extremely unlikely. Accordingly, the Company believes that it is extremely likely that you will lose all of your investment in this offering because the senior secured lender will be free to exercise remedies at that time.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lose all of your investment if we are unable to raise $2.0 million by the end of the three approximately two-week periods ending September 15, 2024.</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required to raise $2.0 million on or before each of August 1, 2024, August 15, 2024 and August 29, 2024 for a cumulative total of $6.0 million in order to prevent its senior secured lender from exercising remedies against the Company, including but not limited to an Article 9 foreclosure, which would result in the Company’s common stock, including the common stock offered hereby, becoming worthless. There is no guarantee from any third party for the amounts set forth above. Accordingly, you will lose all of your investment if this offering, pursuant to the Company’s agreement with Triton, does not raise the successive amounts described above.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very high probability that our lenders will exercise remedies and seek to sell our business or assets in an Article 9 foreclosure. Accordingly, the funds raised in this offering may solely benefit our lenders.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direct use of proceeds for this offering is working capital and other general corporate purposes. However, indirectly the funds raised in this offering may solely benefit our senior secured lender with whom we are currently cooperating to find a potential purchaser for our business in the event of an Article 9 foreclosure. By funding our business through this offering until such a purchaser is located, the date on which our lender needs to fund our business and operations prior to any such sale is deferred. You should be aware that there is a substantial likelihood that your investment may not benefit you.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be delisted from Nasdaq on or about August 8, 2024 which may materially adversely impact the liquidity of our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offering will almost certainly violate Nasdaq Rule 5635(d). As a result, the Company expects to lose the appeal that it has submitted to Nasdaq to delay delisting, and the Company expects that its stock will be delisted from Nasdaq on or about August 8, 2024. Our shares are then expected to trade in the over-the-counter market which may significantly impact their liquidity and our ability to raise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additional capital to sustain our operations, and to the extent additional financing is unavailable or is only available on unfavorable terms, or if certain investors exercise their veto rights and block us from raising additional capital, we will be forced to initiate insolvency proceedings.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raise additional financing in the near term, we will become insolvent and investors will lose the entirety of their investment. Further, as described in our Current Report on Form 8-K filed with the SEC on November 16, 2023, pursuant to a contractual arrangement, KKG Enterprises LLC and CA, each affiliates of certain significant stockholders and directors of the Company, have veto rights over our ability to issue shares of our common stock or shares of our subsidiaries, or securities convertible into or exercisable for common stock, subject to certain limited exceptions, which could have a material adverse effect on our ability to raise additional financing if such veto rights are exercised.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This offering will result in massive dilution to our existing equityholders.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outstanding approximately 159 million shares of common stock. This does not include 116,453,042 shares that we have committed to issue pursuant to anti-dilution rights and a further 157,088,300 shares underlying warrants issued to the Lenders and up to 188,848,319 shares underlying convertible notes issued to investors as of June 30, 2024. In order to raise $6.0 million, assuming a 20% discount to the closing price of our shares immediately prior to this prospectus, we would need to issue approximately 112 million additional shares. This level of dilution, together with the issuance of the previously mentioned antidilution shares, is likely to have a significant impact on the price of our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structure of the offering with Triton is likely to cause a significant decline in our share price.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Triton has committed to purchase shares that we seek to put to it pursuant to a purchase notice that we deliver for a price equal to 80% of the lowest trading price during the 5 trading days before closing. Closing is three trading days after we give Triton a notice. When we entered into a similar agreement with Triton previously, our share price prior to signing the agreement was $0.15. When we concluded the purchases thereunder, the share price was $0.10, but had dropped to as low as approximately $0.08. We expect that a similar reduction in share price may occur as a result of our current agreement with Triton.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provide any assurances that customers will maintain their relationships with us as they learn about our financial position from disclosures related to this offering and in our other public communications.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financial position and the proximity of our company to an event of default under our credit facility may cause customers to reconsider their relationships with us. Customers make a significant investment when committing to use our technology and may terminate their commitment to us or delay any decision to purchase our product unless and until we are able to achieve a more stable financial position. This could impact our ability to maintain existing customer relationships and/or secure new business, further challenging our efforts to improve our financial situation.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granted anti-dilution protection to certain of our investors, which will cause additional significant dilution to our stockholders and may have a material adverse impact on the market price of our common stock and make it more difficult for us to raise funds through future equity offerings.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immediate dilutive effects described in “The Offering”, we have granted anti-dilution protections to holders of our shares, warrants and convertible notes that will result in the issuance of additional shares as a result of this offering if the issuance price is less than $0.05175 and would result in the issuance of additional shares as a result of future offerings below certain threshold prices. Moreover, the perceived risk of dilution and the resulting downward pressure on our common stock price could encourage investors to engage in short sales of our common stock, which could further contribute to price declines in our common stock. The fact that certain of our stockholders and our warrantholders can sell substantial amounts of our common stock in the public market, whether or not sales have occurred or are occurring, as well as the existence of anti-dilution provisions granted in most of our recent equity financings, could make it more difficult for us to raise additional funds through the sale of equity or equity-related securities in the future at a time and price that we deem reasonable or appropriate, or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and trading volume have and may in the future experience significantly volatility, and at times, shares of our common stock have been, and may continue to be, thinly traded, which may contribute to volatility in our stock price and less liquidity for investors.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trading volume of our common stock has varied greatly in the past and may continue to do so in the future. At times our trading volume may be characterized as thinly traded. As a result of this thin trading market or “float” for our common stock, our common stock has been, and may continue to be, less liquid than the common stock of companies with broader public ownership. Conversely, at times, we have experienced very significant trading volume in our stock the drivers of which are not clear to us. If our common stock is thinly traded, the trading of a relatively small volume of our common stock may have a greater impact on the trading price of our common stock than would be the case if our float were larger. In addition, the high volume of trading in our stock could end suddenly, particularly if we elect to effect a reverse-stock-split as our shareholders as authorized our board to do at some point in the future. As a result, the trading prices of our common stock may be more volatile than the common stock of companies with broader public ownership, and an investor be unable to liquidate an investment in our common stock at attractive prices.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or the perception that these sales may occur, could cause the market price of our common stock to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may occur, could cause the market price of our common stock to decline. This could also impair our ability to raise additional capital through the sale of our equity securities. We may issue additional shares of common stock, which may dilute existing shareholders, including purchasers of the common stock offered 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direct use of proceeds is for working capital and other general corporate purposes. However, indirectly the funds raised in this offering may solely benefit our senior secured lender with whom we are currently cooperating to find a potential purchaser for our business in the event of an Article 9 foreclosure. By funding our business through this offering until such a purchaser is located, the date on which our lender would need to fund our business and operations prior to any such sale is deferred.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 NON-U.S. HOLDERS OF OUR COMMON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applicable to Non-U.S. holders (as defined below) of the acquisition, ownership and disposition of our common stock purchased in accordance with this prospectus supplement, but does not purport to be a complete analysis of all potential tax consequences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0"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wash sale,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1300" w:right="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(other than a partnership or entity or arrangement classified as a partnership for U.S. federal income tax purposes) that is, for U.S. federal income tax purposes, not a U.S.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“U.S. person” is any person that, for U.S. federal income tax purposes, is or is treated as any of the following:</w:t>
      </w:r>
    </w:p>
    <w:p>
      <w:pPr>
        <w:spacing w:after="0" w:line="22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from other property subsequently paid or credited to such holder.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distribution in excess of current and accumulated earnings and profits will constitute a return of capital that will be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Times New Roman" w:cs="Times New Roman" w:eastAsia="Times New Roman" w:hAnsi="Times New Roman"/>
          <w:sz w:val="18"/>
          <w:szCs w:val="18"/>
          <w:i w:val="1"/>
          <w:iCs w:val="1"/>
          <w:color w:val="auto"/>
        </w:rPr>
        <w:t>Gain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Taxable Exchange or Other Taxable Disposition of Common Stock</w:t>
      </w:r>
      <w:r>
        <w:rPr>
          <w:rFonts w:ascii="Times New Roman" w:cs="Times New Roman" w:eastAsia="Times New Roman" w:hAnsi="Times New Roman"/>
          <w:sz w:val="18"/>
          <w:szCs w:val="18"/>
          <w:color w:val="auto"/>
        </w:rPr>
        <w:t>” below. In addition, if we determine that we are likely to be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real property holding corporation” (see “</w:t>
      </w:r>
      <w:r>
        <w:rPr>
          <w:rFonts w:ascii="Times New Roman" w:cs="Times New Roman" w:eastAsia="Times New Roman" w:hAnsi="Times New Roman"/>
          <w:sz w:val="18"/>
          <w:szCs w:val="18"/>
          <w:i w:val="1"/>
          <w:iCs w:val="1"/>
          <w:color w:val="auto"/>
        </w:rPr>
        <w:t>Gain on Sale, Taxable Exchange or Other Taxable Disposition of Common Stock</w:t>
      </w:r>
      <w:r>
        <w:rPr>
          <w:rFonts w:ascii="Times New Roman" w:cs="Times New Roman" w:eastAsia="Times New Roman" w:hAnsi="Times New Roman"/>
          <w:sz w:val="18"/>
          <w:szCs w:val="18"/>
          <w:color w:val="auto"/>
        </w:rPr>
        <w:t>” below), we generally will withhold 15% of any distribution that exceeds our current and accumulated earnings and profits.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Common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ind w:left="1300" w:right="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present in the United States for 183 days or more in the taxable year of disposition and certain other requirements are met;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our warrants, if any,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such lower rate as may be specified by an applicable income tax treaty) on a portion of its effectively connected earnings and profits for the taxable year that are attributable to such gain, as adjusted for certain items.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30% rate (or such lower rate as may be specified by an applicable income tax treaty), but may be offset by U.S. source capital losses realized during the same taxable year (even though the individual is not considered a resident of the United States), provided the Non-U.S. holder has timely filed U.S. federal income tax returns with respect to such losses. Non-U.S. holders should consult any applicable income tax treaties that may provide for different rules.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on the sale, exchange or other disposition of our common stock will be subject to tax at generally applicable U.S. federal income tax rates as if the Non-U.S. holder were a U.S. resident.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Payments of distributions on our common stock will not be subject to backup withholding, provided the applicable withholding agent does not have actual knowledge or reason to know the holder is a U.S. person and the holder either certifies its non-U.S. status, such as by furnishing a valid IRS Form W-8BEN, W-8BEN-E, W-8ECI, or W-8EXP,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 or organized.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CSPA, we have the right, but not the obligation, to sell to Triton up to $25,000,000 of our shares of common stock, par value $0.0001 per share, offered by this prospectus supplement and the accompanying prospectus at our request any time during the Commitment Period.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sale we request pursuant to a Purchase Notice under the CSPA may be for a number of shares of our common stock that does not exceed 4.9% of our outstanding shares, which 4.9% amount is currently 7,790,353 shares, as of the date of the CSPA (the “Commitment Shares”). Triton has committed to purchase the Commitment Shares at 80% of the lowest traded price of the common stock five days prior to the closing date of such tranche of shares.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of common stock that we may from time to time issue to Triton under this prospectus supplement may be subsequently sold or distributed from time to time by Triton, as a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Any resale of the shares of our common stock offered by this prospectus supplement could be effected in one or more of the following methods:</w:t>
      </w:r>
    </w:p>
    <w:p>
      <w:pPr>
        <w:spacing w:after="0" w:line="183"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Triton may also sell the shares of common stock under Rule 144 under the Securities Act, if available, rather than under this prospectus supplement.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Triton is deemed an “underwriter” within the meaning of Section 2(a)(11) of the Securities Act.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Triton has informed us that it intends to use an unaffiliated broker-dealer to effectuate sales, if any, of the common stock that it may acquire from us pursuant to the CSPA. Such sales will be made at prices and at terms then prevailing or at prices related to the then current market price. Each such unaffiliated broker-dealer will be an underwriter within the meaning of Section 2(a)(11) of the Securities Act. Triton has informed us that each such broker-dealer will receive commissions from Triton that will not exceed customary brokerage commissions.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Brokers, dealers, underwriters, or agents participating in any distribution of the shares of our common stock offered by this prospectus supplement may receive compensation in the form of commissions, discounts, or concessions from the seller and/or purchasers of the common stock for whom the broker-dealers may act as agent. The compensation paid to a particular broker-dealer may be less than or in excess of customary commissions. Neither we nor Triton can presently estimate the amount of compensation that any agent will receive.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know of no existing arrangements between Triton or any other stockholder, broker, dealer, underwriter or agent relating to the sale or distribution of the shares of common stock offered by this prospectus supplement. At the time a particular offer of shares is made, a prospectus supplement, if required under the Securities Act, will be distributed that will set forth the names of any agents, underwriters or dealers and any compensation from the selling stockholder, and any other required information.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pay our expenses incident to this offering, which we estimate to be approximately $200,000. We have agreed to indemnify Triton and certain other persons against certain liabilities in connection with the offering of shares of our common stock offered hereby, and if such indemnity is unavailable, to contribute amounts required to be paid in respect of such liabilities.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Triton has covenanted that neither Triton nor any affiliate of Triton acting on its behalf or pursuant to any understanding with it, will execute any short sales of our common stock during the term of the CSPA.</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advised Triton that it is required to comply with Regulation M promulgated under the Securities Exchange Act of 1934, as amended (the “Exchange Act”). With certain exceptions, Regulation M precludes a selling stockholder, any affiliated purchasers, and any broker-dealer or other person who participates in a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supplement.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CSPA does not purport to be a complete statement of its terms and conditions. A copy of the CSPA is filed as an exhibit to a current report on Form 8-K filed with the SEC under the Exchange Act, and incorporated by reference in this prospectus supplement. See “Incorporation of Certain Documents by Reference” and “Where You Can Find More Information.”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action has been or will be taken in any jurisdiction (except in the United States) that would permit a public offering of the securities offered by this prospectus supplement and accompanying prospectus, or the possession, circulation, or distribution of this prospectus supplement and accompanying prospectus or any other material relating to us or the securities offered hereby in any jurisdiction where action for that purpose is required. Accordingly, the securities offered hereby may not be offered or sold, directly or indirectly, and neither of this prospectus supplement and accompanying prospectus nor any other offering material or advertisements in connection with the securities offered hereby may be distributed or published, in or from any country or jurisdiction except in compliance with any applicable rules and regulations of any such country or jurisdiction. Triton may arrange to sell securities offered by this prospectus supplement and accompanying prospectus in certain jurisdictions outside the United States, either directly or through affiliates, where they are permitted to do so.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Paul Hastings LLP, New York, New York.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website at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that contains reports, proxy and information statements, and other information regarding issuers that file electronically with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Romeo Power, Inc. You may also access our reports and proxy statements free of charge at our Internet website, </w:t>
      </w:r>
      <w:r>
        <w:rPr>
          <w:rFonts w:ascii="Times New Roman" w:cs="Times New Roman" w:eastAsia="Times New Roman" w:hAnsi="Times New Roman"/>
          <w:sz w:val="18"/>
          <w:szCs w:val="18"/>
          <w:i w:val="1"/>
          <w:iCs w:val="1"/>
          <w:color w:val="auto"/>
        </w:rPr>
        <w:t>http://www.romeopower.com</w:t>
      </w:r>
      <w:r>
        <w:rPr>
          <w:rFonts w:ascii="Times New Roman" w:cs="Times New Roman" w:eastAsia="Times New Roman" w:hAnsi="Times New Roman"/>
          <w:sz w:val="18"/>
          <w:szCs w:val="18"/>
          <w:color w:val="auto"/>
        </w:rPr>
        <w:t>. The information contained in, or that can be accessed through, our website is not part of this prospectus supplement.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 This prospectus supplement and the accompanying prospectus do not contain all of the information set forth in the registration statement and exhibits and schedules to the registration statement. For further information with respect to the Company and its securities, reference is made to the registration statement, including the exhibits and schedules to the registration statement. Statements contained in this prospectus supplement and the accompanying prospectus as to the contents of any contract or other document referred to in this prospectus supplement and the accompanying prospectus are not necessarily complete and, where that contract is an exhibit to the registration statement, each statement is qualified in all respects by reference to the exhibit to which the reference relates.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into this prospectus supplement the documents listed below, which we have filed with the SEC,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spacing w:after="0" w:line="192" w:lineRule="exact"/>
        <w:rPr>
          <w:sz w:val="20"/>
          <w:szCs w:val="20"/>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35">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September 30, 2023, filed with the SEC on November 20, 2023, our Quarterly Report on </w:t>
      </w:r>
      <w:hyperlink r:id="rId3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December 31, 2023, submitted to the SEC on February 20, 2024 and deemed filed with the SEC on February 21, 2024 and our Quarterly Report on </w:t>
      </w:r>
      <w:hyperlink r:id="rId3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submitted to the SEC on May 20, 2024 and deemed filed with the SEC on May 21, 2024;</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9">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41">
        <w:r>
          <w:rPr>
            <w:rFonts w:ascii="Times New Roman" w:cs="Times New Roman" w:eastAsia="Times New Roman" w:hAnsi="Times New Roman"/>
            <w:sz w:val="18"/>
            <w:szCs w:val="18"/>
            <w:u w:val="single" w:color="auto"/>
            <w:color w:val="0000EE"/>
          </w:rPr>
          <w:t>October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Item 2.02 and the exhibits furnished under Item 9.01 therein), </w:t>
      </w:r>
      <w:hyperlink r:id="rId42">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November 21, 2023</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December 5, 2023</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December 12, 2023</w:t>
        </w:r>
      </w:hyperlink>
      <w:r>
        <w:rPr>
          <w:rFonts w:ascii="Times New Roman" w:cs="Times New Roman" w:eastAsia="Times New Roman" w:hAnsi="Times New Roman"/>
          <w:sz w:val="18"/>
          <w:szCs w:val="18"/>
          <w:color w:val="auto"/>
        </w:rPr>
        <w:t xml:space="preserve">, </w:t>
      </w:r>
      <w:hyperlink r:id="rId46">
        <w:r>
          <w:rPr>
            <w:rFonts w:ascii="Times New Roman" w:cs="Times New Roman" w:eastAsia="Times New Roman" w:hAnsi="Times New Roman"/>
            <w:sz w:val="18"/>
            <w:szCs w:val="18"/>
            <w:u w:val="single" w:color="auto"/>
            <w:color w:val="0000EE"/>
          </w:rPr>
          <w:t>December 14,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(excluding Item 7.01 and the exhibits furnished under Item 9.01 therein),</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December 22,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January 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January 22,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February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 xml:space="preserve">February 2,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subsequent Form 8-K/A filed on</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February 20,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February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July 3, 2024</w:t>
        </w:r>
      </w:hyperlink>
      <w:hyperlink r:id="rId5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 xml:space="preserve">July 22, 2024 </w:t>
        </w:r>
      </w:hyperlink>
      <w:hyperlink r:id="rId5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7">
        <w:r>
          <w:rPr>
            <w:rFonts w:ascii="Times New Roman" w:cs="Times New Roman" w:eastAsia="Times New Roman" w:hAnsi="Times New Roman"/>
            <w:sz w:val="18"/>
            <w:szCs w:val="18"/>
            <w:u w:val="single" w:color="auto"/>
            <w:color w:val="0000EE"/>
          </w:rPr>
          <w:t>July 25, 2024</w:t>
        </w:r>
      </w:hyperlink>
      <w:hyperlink r:id="rId54">
        <w:r>
          <w:rPr>
            <w:rFonts w:ascii="Times New Roman" w:cs="Times New Roman" w:eastAsia="Times New Roman" w:hAnsi="Times New Roman"/>
            <w:sz w:val="18"/>
            <w:szCs w:val="18"/>
            <w:color w:val="000000"/>
          </w:rPr>
          <w:t>; and</w:t>
        </w:r>
      </w:hyperlink>
    </w:p>
    <w:p>
      <w:pPr>
        <w:spacing w:after="0" w:line="187" w:lineRule="exact"/>
        <w:rPr>
          <w:rFonts w:ascii="Times New Roman" w:cs="Times New Roman" w:eastAsia="Times New Roman" w:hAnsi="Times New Roman"/>
          <w:sz w:val="18"/>
          <w:szCs w:val="18"/>
          <w:color w:val="0000EE"/>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9">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for the year ended June 30, 2023).</w:t>
      </w:r>
    </w:p>
    <w:p>
      <w:pPr>
        <w:spacing w:after="0" w:line="17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spacing w:after="0" w:line="176"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provide, without charge, upon written or oral request, a copy of any or all of the documents that are incorporated by reference in this prospectus supplement, excluding any exhibits to those documents unless such exhibits are specifically incorporated by reference herein.</w:t>
      </w:r>
    </w:p>
    <w:p>
      <w:pPr>
        <w:spacing w:after="0" w:line="162"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You should direct requests for documents to:</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Primary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16,823,660 Shares of Common Stock Issuable Upon Exercise of Outstanding Warrants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52,709,824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7,625,000 Warrants to Purchase Shares of Common Stock Offered by the Selling Securityholders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spacing w:after="0" w:line="188" w:lineRule="exact"/>
        <w:rPr>
          <w:sz w:val="20"/>
          <w:szCs w:val="20"/>
          <w:color w:val="auto"/>
        </w:rPr>
      </w:pPr>
    </w:p>
    <w:p>
      <w:pPr>
        <w:jc w:val="both"/>
        <w:ind w:left="980" w:hanging="648"/>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54"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88"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left="980" w:right="2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p>
      <w:pPr>
        <w:spacing w:after="0" w:line="179"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5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p>
      <w:pPr>
        <w:spacing w:after="0" w:line="187"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Times New Roman" w:cs="Times New Roman" w:eastAsia="Times New Roman" w:hAnsi="Times New Roman"/>
          <w:sz w:val="18"/>
          <w:szCs w:val="18"/>
          <w:i w:val="1"/>
          <w:iCs w:val="1"/>
          <w:color w:val="auto"/>
        </w:rPr>
        <w:t>Risk Factors—Risks Relating to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Warrants</w:t>
      </w:r>
      <w:r>
        <w:rPr>
          <w:rFonts w:ascii="Times New Roman" w:cs="Times New Roman" w:eastAsia="Times New Roman" w:hAnsi="Times New Roman"/>
          <w:sz w:val="18"/>
          <w:szCs w:val="18"/>
          <w:color w:val="auto"/>
        </w:rPr>
        <w:t>” in our Annual Report on Form 10-K for the fiscal year ended June 30, 2023 for more information.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4 of this prospectus and similar sections contained in the documents incorporated by reference into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October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STOCK AND PREFERRED STOCK</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75"/>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46932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extLst>
                    </a:blip>
                    <a:srcRect/>
                    <a:stretch>
                      <a:fillRect/>
                    </a:stretch>
                  </pic:blipFill>
                  <pic:spPr bwMode="auto">
                    <a:xfrm>
                      <a:off x="0" y="0"/>
                      <a:ext cx="7153275" cy="4693285"/>
                    </a:xfrm>
                    <a:prstGeom prst="rect">
                      <a:avLst/>
                    </a:prstGeom>
                    <a:noFill/>
                  </pic:spPr>
                </pic:pic>
              </a:graphicData>
            </a:graphic>
          </wp:anchor>
        </w:drawing>
        <w:t>SUMMARY OF THE PROSPECTUS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w:t>
      </w:r>
      <w:r>
        <w:rPr>
          <w:rFonts w:ascii="Times New Roman" w:cs="Times New Roman" w:eastAsia="Times New Roman" w:hAnsi="Times New Roman"/>
          <w:sz w:val="18"/>
          <w:szCs w:val="18"/>
          <w:color w:val="auto"/>
          <w:highlight w:val="white"/>
        </w:rPr>
        <w:t>See the section titled “Where You Can Find More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27" w:right="41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 AND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980" w:hanging="64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ind w:left="980" w:hanging="648"/>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Form, Transfer and Exchange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left="980" w:right="20" w:hanging="648"/>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Presto) is a corporation, organized and validly existing under the laws of any U.S. domestic jurisdiction and expressly assumes our obligations on the debt securities and under the indenture; and</w:t>
      </w:r>
    </w:p>
    <w:p>
      <w:pPr>
        <w:spacing w:after="0" w:line="161" w:lineRule="exact"/>
        <w:rPr>
          <w:rFonts w:ascii="Times New Roman" w:cs="Times New Roman" w:eastAsia="Times New Roman" w:hAnsi="Times New Roman"/>
          <w:sz w:val="18"/>
          <w:szCs w:val="18"/>
          <w:color w:val="auto"/>
        </w:rPr>
      </w:pPr>
    </w:p>
    <w:p>
      <w:pPr>
        <w:ind w:right="240" w:firstLine="332"/>
        <w:spacing w:after="0" w:line="498" w:lineRule="auto"/>
        <w:tabs>
          <w:tab w:leader="none" w:pos="9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(as defined below) or Event of Default shall have occurred and be continuing. Notwithstanding the above, any of our subsidiaries may consolidate with, merge into or transfer all or part of its properties to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225" w:lineRule="exact"/>
        <w:rPr>
          <w:sz w:val="20"/>
          <w:szCs w:val="20"/>
          <w:color w:val="auto"/>
        </w:rPr>
      </w:pPr>
    </w:p>
    <w:p>
      <w:pPr>
        <w:jc w:val="both"/>
        <w:ind w:left="980" w:hanging="648"/>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p>
      <w:pPr>
        <w:spacing w:after="0" w:line="17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Presto;</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62" w:lineRule="exact"/>
        <w:rPr>
          <w:sz w:val="20"/>
          <w:szCs w:val="20"/>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980" w:hanging="648"/>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176" w:lineRule="exact"/>
        <w:rPr>
          <w:sz w:val="20"/>
          <w:szCs w:val="20"/>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52"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8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52"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p>
      <w:pPr>
        <w:spacing w:after="0" w:line="20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252"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20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will provide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will provide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left="980" w:hanging="648"/>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jc w:val="both"/>
        <w:ind w:left="980" w:hanging="648"/>
        <w:spacing w:after="0" w:line="25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87"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series of warrants in respect of which this prospectus is being delivered, including the following:</w:t>
      </w:r>
    </w:p>
    <w:p>
      <w:pPr>
        <w:spacing w:after="0" w:line="162" w:lineRule="exact"/>
        <w:rPr>
          <w:sz w:val="20"/>
          <w:szCs w:val="20"/>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the warrants may be payable;</w:t>
      </w:r>
    </w:p>
    <w:p>
      <w:pPr>
        <w:spacing w:after="0" w:line="22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underlying warrant securities purchasable upon exercise of the warrants and the number of such underlying warrant securities issuable upon exercise of the warrants;</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underlying warrant securities purchasable upon exercise of the warrants may be purchased;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that right will expire (subject to any extension);</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 or bearer form;</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which may be exercised at any one time;</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underlying warrant securities with which the warrants are issued and the number of the warrants issued with each underlying warrant security;</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underlying warrant securities will be separately transferable;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United States federal income tax considerations applicable to the issuance or exercise of the warrants; and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rights, the rights agreement relating to the rights and the rights certificates representing rights will be described in the applicable prospectus supplement, including, as applicable:</w:t>
      </w:r>
    </w:p>
    <w:p>
      <w:pPr>
        <w:spacing w:after="0" w:line="162" w:lineRule="exact"/>
        <w:rPr>
          <w:sz w:val="20"/>
          <w:szCs w:val="20"/>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rights;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rights;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rights will be separately transferable;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will expire; and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 the following:</w:t>
      </w:r>
    </w:p>
    <w:p>
      <w:pPr>
        <w:spacing w:after="0" w:line="225" w:lineRule="exact"/>
        <w:rPr>
          <w:sz w:val="20"/>
          <w:szCs w:val="20"/>
          <w:color w:val="auto"/>
        </w:rPr>
      </w:pPr>
    </w:p>
    <w:p>
      <w:pPr>
        <w:ind w:left="980" w:hanging="648"/>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225" w:lineRule="exact"/>
        <w:rPr>
          <w:sz w:val="20"/>
          <w:szCs w:val="20"/>
          <w:color w:val="auto"/>
        </w:rPr>
      </w:pPr>
    </w:p>
    <w:p>
      <w:pPr>
        <w:ind w:left="980" w:hanging="648"/>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2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Securities Exchange Act of 1934, as amended, or Exchange Act.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62" w:lineRule="exact"/>
        <w:rPr>
          <w:sz w:val="20"/>
          <w:szCs w:val="20"/>
          <w:color w:val="auto"/>
        </w:rPr>
      </w:pPr>
    </w:p>
    <w:p>
      <w:pPr>
        <w:jc w:val="both"/>
        <w:ind w:left="980" w:hanging="648"/>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7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spacing w:after="0" w:line="183" w:lineRule="exact"/>
        <w:rPr>
          <w:sz w:val="20"/>
          <w:szCs w:val="20"/>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Founder Shares;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Business Combination PIPE Shares;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161" w:lineRule="exact"/>
        <w:rPr>
          <w:rFonts w:ascii="Times New Roman" w:cs="Times New Roman" w:eastAsia="Times New Roman" w:hAnsi="Times New Roman"/>
          <w:sz w:val="18"/>
          <w:szCs w:val="18"/>
          <w:color w:val="auto"/>
        </w:rPr>
      </w:pPr>
    </w:p>
    <w:p>
      <w:pPr>
        <w:jc w:val="both"/>
        <w:ind w:left="980" w:right="20" w:hanging="648"/>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980" w:right="20" w:hanging="648"/>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p>
      <w:pPr>
        <w:spacing w:after="0" w:line="17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4,760,500 June 2023 PIPE Shares;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October 2023 PIPE Shares; and</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by Metropolitan and the Metropolitan Entities (all warrants listed below are referred to herein as the “penny warrants”), which consist of:</w:t>
      </w:r>
    </w:p>
    <w:p>
      <w:pPr>
        <w:spacing w:after="0" w:line="161"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 of Common Stock issuable upon the exercise of warrants to purchase shares of our Common Stock, at an exercise price of $0.01 per share, subject to adjustment (the “May 2023 Resale Warrants”), held by the Selling Securityholders;</w:t>
      </w:r>
    </w:p>
    <w:p>
      <w:pPr>
        <w:spacing w:after="0" w:line="16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both"/>
        <w:spacing w:after="0" w:line="254"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line="282" w:lineRule="auto"/>
        <w:rPr>
          <w:sz w:val="20"/>
          <w:szCs w:val="20"/>
          <w:color w:val="auto"/>
        </w:rPr>
      </w:pPr>
      <w:r>
        <w:rPr>
          <w:rFonts w:ascii="Times New Roman" w:cs="Times New Roman" w:eastAsia="Times New Roman" w:hAnsi="Times New Roman"/>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7"/>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322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7"/>
            <w:vMerge w:val="continue"/>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2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gridSpan w:val="2"/>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120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102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Stock</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6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80Five LLC</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Acadia Woods Partners,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w w:val="99"/>
              </w:rPr>
              <w:t>LLC</w:t>
            </w:r>
            <w:r>
              <w:rPr>
                <w:rFonts w:ascii="Times New Roman" w:cs="Times New Roman" w:eastAsia="Times New Roman" w:hAnsi="Times New Roman"/>
                <w:sz w:val="26"/>
                <w:szCs w:val="26"/>
                <w:color w:val="auto"/>
                <w:w w:val="99"/>
                <w:vertAlign w:val="superscript"/>
              </w:rPr>
              <w:t>(4)</w:t>
            </w: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Adam Eskin</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Adam Feil</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 Marjan Limited</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Alexander Nevinskiy</w:t>
            </w:r>
            <w:r>
              <w:rPr>
                <w:rFonts w:ascii="Times New Roman" w:cs="Times New Roman" w:eastAsia="Times New Roman" w:hAnsi="Times New Roman"/>
                <w:sz w:val="26"/>
                <w:szCs w:val="26"/>
                <w:color w:val="auto"/>
                <w:vertAlign w:val="superscript"/>
              </w:rPr>
              <w:t>(30)(32)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Aloha Partners, LLC</w:t>
            </w:r>
            <w:r>
              <w:rPr>
                <w:rFonts w:ascii="Times New Roman" w:cs="Times New Roman" w:eastAsia="Times New Roman" w:hAnsi="Times New Roman"/>
                <w:sz w:val="26"/>
                <w:szCs w:val="26"/>
                <w:color w:val="auto"/>
                <w:vertAlign w:val="superscript"/>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Amir Ali Mithani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Amy Doshi &amp; Sarin Swami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Arbat​</w:t>
            </w:r>
          </w:p>
        </w:tc>
        <w:tc>
          <w:tcPr>
            <w:tcW w:w="1980" w:type="dxa"/>
            <w:vAlign w:val="bottom"/>
            <w:gridSpan w:val="3"/>
          </w:tcPr>
          <w:p>
            <w:pPr>
              <w:jc w:val="center"/>
              <w:ind w:right="280"/>
              <w:spacing w:after="0" w:line="243" w:lineRule="exact"/>
              <w:rPr>
                <w:sz w:val="20"/>
                <w:szCs w:val="20"/>
                <w:color w:val="auto"/>
              </w:rPr>
            </w:pPr>
            <w:r>
              <w:rPr>
                <w:rFonts w:ascii="Times New Roman" w:cs="Times New Roman" w:eastAsia="Times New Roman" w:hAnsi="Times New Roman"/>
                <w:sz w:val="16"/>
                <w:szCs w:val="16"/>
                <w:color w:val="auto"/>
                <w:w w:val="92"/>
              </w:rPr>
              <w:t>Capital Group Ltd</w:t>
            </w:r>
            <w:r>
              <w:rPr>
                <w:rFonts w:ascii="Times New Roman" w:cs="Times New Roman" w:eastAsia="Times New Roman" w:hAnsi="Times New Roman"/>
                <w:sz w:val="26"/>
                <w:szCs w:val="26"/>
                <w:color w:val="auto"/>
                <w:w w:val="92"/>
                <w:vertAlign w:val="superscript"/>
              </w:rPr>
              <w:t>.(29)(30)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101,100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Art Spigel</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Biren Gosalia</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Blind 1212, LLC</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447,274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447,274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Brock Strasbourger</w:t>
            </w:r>
            <w:r>
              <w:rPr>
                <w:rFonts w:ascii="Times New Roman" w:cs="Times New Roman" w:eastAsia="Times New Roman" w:hAnsi="Times New Roman"/>
                <w:sz w:val="26"/>
                <w:szCs w:val="26"/>
                <w:color w:val="auto"/>
                <w:vertAlign w:val="superscript"/>
              </w:rPr>
              <w:t>(3)(34)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390,905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390,905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Cabbaj Capital Ltd.</w:t>
            </w:r>
            <w:r>
              <w:rPr>
                <w:rFonts w:ascii="Times New Roman" w:cs="Times New Roman" w:eastAsia="Times New Roman" w:hAnsi="Times New Roman"/>
                <w:sz w:val="26"/>
                <w:szCs w:val="26"/>
                <w:color w:val="auto"/>
                <w:vertAlign w:val="superscript"/>
              </w:rPr>
              <w:t>(7)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Cartoris Limited</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252,687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167,687</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CEOF Holdings LP</w:t>
            </w:r>
            <w:r>
              <w:rPr>
                <w:rFonts w:ascii="Times New Roman" w:cs="Times New Roman" w:eastAsia="Times New Roman" w:hAnsi="Times New Roman"/>
                <w:sz w:val="26"/>
                <w:szCs w:val="26"/>
                <w:color w:val="auto"/>
                <w:vertAlign w:val="superscript"/>
              </w:rPr>
              <w:t>(21)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1,021,457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1,021,457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Chardan Capital Markets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29"/>
                <w:szCs w:val="29"/>
                <w:color w:val="auto"/>
                <w:w w:val="85"/>
                <w:vertAlign w:val="subscript"/>
              </w:rPr>
              <w:t>LLC</w:t>
            </w:r>
            <w:r>
              <w:rPr>
                <w:rFonts w:ascii="Times New Roman" w:cs="Times New Roman" w:eastAsia="Times New Roman" w:hAnsi="Times New Roman"/>
                <w:sz w:val="13"/>
                <w:szCs w:val="13"/>
                <w:color w:val="auto"/>
                <w:w w:val="85"/>
              </w:rPr>
              <w:t>(23)</w:t>
            </w: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Chardan International</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4"/>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2,983,171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2,983,171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Chris Ahrens</w:t>
            </w:r>
            <w:r>
              <w:rPr>
                <w:rFonts w:ascii="Times New Roman" w:cs="Times New Roman" w:eastAsia="Times New Roman" w:hAnsi="Times New Roman"/>
                <w:sz w:val="26"/>
                <w:szCs w:val="26"/>
                <w:color w:val="auto"/>
                <w:vertAlign w:val="superscript"/>
              </w:rPr>
              <w:t>(3)(38)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Cindat USA LLC</w:t>
            </w:r>
            <w:r>
              <w:rPr>
                <w:rFonts w:ascii="Times New Roman" w:cs="Times New Roman" w:eastAsia="Times New Roman" w:hAnsi="Times New Roman"/>
                <w:sz w:val="26"/>
                <w:szCs w:val="26"/>
                <w:color w:val="auto"/>
                <w:vertAlign w:val="superscript"/>
              </w:rPr>
              <w:t>(17)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1,374,148</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1,374,148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Cleveland​</w:t>
            </w:r>
          </w:p>
        </w:tc>
        <w:tc>
          <w:tcPr>
            <w:tcW w:w="1680" w:type="dxa"/>
            <w:vAlign w:val="bottom"/>
            <w:gridSpan w:val="2"/>
          </w:tcPr>
          <w:p>
            <w:pPr>
              <w:jc w:val="center"/>
              <w:ind w:right="620"/>
              <w:spacing w:after="0" w:line="243" w:lineRule="exact"/>
              <w:rPr>
                <w:sz w:val="20"/>
                <w:szCs w:val="20"/>
                <w:color w:val="auto"/>
              </w:rPr>
            </w:pPr>
            <w:r>
              <w:rPr>
                <w:rFonts w:ascii="Times New Roman" w:cs="Times New Roman" w:eastAsia="Times New Roman" w:hAnsi="Times New Roman"/>
                <w:sz w:val="16"/>
                <w:szCs w:val="16"/>
                <w:color w:val="auto"/>
                <w:w w:val="93"/>
              </w:rPr>
              <w:t>Avenue LLC</w:t>
            </w:r>
            <w:r>
              <w:rPr>
                <w:rFonts w:ascii="Times New Roman" w:cs="Times New Roman" w:eastAsia="Times New Roman" w:hAnsi="Times New Roman"/>
                <w:sz w:val="26"/>
                <w:szCs w:val="26"/>
                <w:color w:val="auto"/>
                <w:w w:val="93"/>
                <w:vertAlign w:val="superscript"/>
              </w:rPr>
              <w:t>(33)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Cliff Moskowitz</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Connective Capital Emerging</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4"/>
          </w:tcPr>
          <w:p>
            <w:pPr>
              <w:ind w:left="180"/>
              <w:spacing w:after="0" w:line="256" w:lineRule="exact"/>
              <w:rPr>
                <w:sz w:val="20"/>
                <w:szCs w:val="20"/>
                <w:color w:val="auto"/>
              </w:rPr>
            </w:pPr>
            <w:r>
              <w:rPr>
                <w:rFonts w:ascii="Times New Roman" w:cs="Times New Roman" w:eastAsia="Times New Roman" w:hAnsi="Times New Roman"/>
                <w:sz w:val="16"/>
                <w:szCs w:val="16"/>
                <w:color w:val="auto"/>
              </w:rPr>
              <w:t>Energy QP, LP</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68,137</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68,137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Connective Capital I QP, LP</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31,863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Cosme Fagundo</w:t>
            </w:r>
            <w:r>
              <w:rPr>
                <w:rFonts w:ascii="Times New Roman" w:cs="Times New Roman" w:eastAsia="Times New Roman" w:hAnsi="Times New Roman"/>
                <w:sz w:val="26"/>
                <w:szCs w:val="26"/>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Dan Bordessa</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David Allan DeHorn</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Dentons US LLP</w:t>
            </w:r>
            <w:r>
              <w:rPr>
                <w:rFonts w:ascii="Times New Roman" w:cs="Times New Roman" w:eastAsia="Times New Roman" w:hAnsi="Times New Roman"/>
                <w:sz w:val="26"/>
                <w:szCs w:val="26"/>
                <w:color w:val="auto"/>
                <w:vertAlign w:val="superscript"/>
              </w:rPr>
              <w:t>(13)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Dhari Albader</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Dipan Desai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Ed Scheetz</w:t>
            </w:r>
            <w:r>
              <w:rPr>
                <w:rFonts w:ascii="Times New Roman" w:cs="Times New Roman" w:eastAsia="Times New Roman" w:hAnsi="Times New Roman"/>
                <w:sz w:val="26"/>
                <w:szCs w:val="26"/>
                <w:color w:val="auto"/>
                <w:vertAlign w:val="superscript"/>
              </w:rPr>
              <w:t>(3)(11)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1,321,389</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1,032,464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EJK Investments LLC</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Georgia Sgardeli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Greg Flynn</w:t>
            </w:r>
            <w:r>
              <w:rPr>
                <w:rFonts w:ascii="Times New Roman" w:cs="Times New Roman" w:eastAsia="Times New Roman" w:hAnsi="Times New Roman"/>
                <w:sz w:val="26"/>
                <w:szCs w:val="26"/>
                <w:color w:val="auto"/>
                <w:vertAlign w:val="superscript"/>
              </w:rPr>
              <w:t>(18)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HighSage Ventures LLC</w:t>
            </w:r>
            <w:r>
              <w:rPr>
                <w:rFonts w:ascii="Times New Roman" w:cs="Times New Roman" w:eastAsia="Times New Roman" w:hAnsi="Times New Roman"/>
                <w:sz w:val="26"/>
                <w:szCs w:val="26"/>
                <w:color w:val="auto"/>
                <w:vertAlign w:val="superscript"/>
              </w:rPr>
              <w:t>(19)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I2BF Global Investments</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0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(6)</w:t>
            </w: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5,682,225</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5,682,225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Jameson Weber</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Jasminder Singh</w:t>
            </w:r>
            <w:r>
              <w:rPr>
                <w:rFonts w:ascii="Times New Roman" w:cs="Times New Roman" w:eastAsia="Times New Roman" w:hAnsi="Times New Roman"/>
                <w:sz w:val="26"/>
                <w:szCs w:val="26"/>
                <w:color w:val="auto"/>
                <w:vertAlign w:val="superscript"/>
              </w:rPr>
              <w:t>(3)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2"/>
        </w:trPr>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7" w:name="page48"/>
    <w:bookmarkEnd w:id="47"/>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9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Jay Lidell</w:t>
            </w:r>
            <w:r>
              <w:rPr>
                <w:rFonts w:ascii="Times New Roman" w:cs="Times New Roman" w:eastAsia="Times New Roman" w:hAnsi="Times New Roman"/>
                <w:sz w:val="26"/>
                <w:szCs w:val="26"/>
                <w:color w:val="auto"/>
                <w:vertAlign w:val="superscript"/>
              </w:rPr>
              <w:t>(3)</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 Jones</w:t>
            </w:r>
            <w:r>
              <w:rPr>
                <w:rFonts w:ascii="Times New Roman" w:cs="Times New Roman" w:eastAsia="Times New Roman" w:hAnsi="Times New Roman"/>
                <w:sz w:val="26"/>
                <w:szCs w:val="26"/>
                <w:color w:val="auto"/>
                <w:vertAlign w:val="superscript"/>
              </w:rPr>
              <w:t>(20)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Jefferies LLC</w:t>
            </w:r>
            <w:r>
              <w:rPr>
                <w:rFonts w:ascii="Times New Roman" w:cs="Times New Roman" w:eastAsia="Times New Roman" w:hAnsi="Times New Roman"/>
                <w:sz w:val="26"/>
                <w:szCs w:val="26"/>
                <w:color w:val="auto"/>
                <w:vertAlign w:val="superscript"/>
              </w:rPr>
              <w:t>(24)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Julie Atkinson</w:t>
            </w:r>
            <w:r>
              <w:rPr>
                <w:rFonts w:ascii="Times New Roman" w:cs="Times New Roman" w:eastAsia="Times New Roman" w:hAnsi="Times New Roman"/>
                <w:sz w:val="26"/>
                <w:szCs w:val="26"/>
                <w:color w:val="auto"/>
                <w:vertAlign w:val="superscript"/>
              </w:rPr>
              <w:t>(3)(35)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37,946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10,495</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Kali Invest LLC</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Kepos Alpha Master Fund L.P.</w:t>
            </w:r>
            <w:r>
              <w:rPr>
                <w:rFonts w:ascii="Times New Roman" w:cs="Times New Roman" w:eastAsia="Times New Roman" w:hAnsi="Times New Roman"/>
                <w:sz w:val="26"/>
                <w:szCs w:val="26"/>
                <w:color w:val="auto"/>
                <w:vertAlign w:val="superscript"/>
              </w:rPr>
              <w:t>(30)</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Kim Lopdrup</w:t>
            </w:r>
            <w:r>
              <w:rPr>
                <w:rFonts w:ascii="Times New Roman" w:cs="Times New Roman" w:eastAsia="Times New Roman" w:hAnsi="Times New Roman"/>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Lago Innovation</w:t>
            </w:r>
            <w:r>
              <w:rPr>
                <w:rFonts w:ascii="Times New Roman" w:cs="Times New Roman" w:eastAsia="Times New Roman" w:hAnsi="Times New Roman"/>
                <w:sz w:val="26"/>
                <w:szCs w:val="26"/>
                <w:color w:val="auto"/>
                <w:vertAlign w:val="superscript"/>
              </w:rPr>
              <w:t>(25)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156,233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Matt Armstrong</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Matt MacDonald</w:t>
            </w:r>
            <w:r>
              <w:rPr>
                <w:rFonts w:ascii="Times New Roman" w:cs="Times New Roman" w:eastAsia="Times New Roman" w:hAnsi="Times New Roman"/>
                <w:sz w:val="26"/>
                <w:szCs w:val="26"/>
                <w:color w:val="auto"/>
                <w:vertAlign w:val="superscript"/>
              </w:rPr>
              <w:t>(3)(11)(36)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1,036,253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512,024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Metropolitan Partners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16"/>
                <w:szCs w:val="16"/>
                <w:color w:val="auto"/>
              </w:rPr>
              <w:t>Group</w:t>
            </w:r>
            <w:r>
              <w:rPr>
                <w:rFonts w:ascii="Times New Roman" w:cs="Times New Roman" w:eastAsia="Times New Roman" w:hAnsi="Times New Roman"/>
                <w:sz w:val="26"/>
                <w:szCs w:val="26"/>
                <w:color w:val="auto"/>
                <w:vertAlign w:val="superscript"/>
              </w:rPr>
              <w:t>(22)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7,003,544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Monil Gandhi Personal Revocable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Nadir Noorani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Nexxus Capital Management Pte.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42,029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Paresh Doshi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Paul Liberman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38,616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26,238</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Prasad Phatak</w:t>
            </w:r>
            <w:r>
              <w:rPr>
                <w:rFonts w:ascii="Times New Roman" w:cs="Times New Roman" w:eastAsia="Times New Roman" w:hAnsi="Times New Roman"/>
                <w:sz w:val="26"/>
                <w:szCs w:val="26"/>
                <w:color w:val="auto"/>
                <w:vertAlign w:val="superscript"/>
              </w:rPr>
              <w:t>(3)(37)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604,758</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415,154</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Rajat Suri</w:t>
            </w:r>
            <w:r>
              <w:rPr>
                <w:rFonts w:ascii="Times New Roman" w:cs="Times New Roman" w:eastAsia="Times New Roman" w:hAnsi="Times New Roman"/>
                <w:sz w:val="26"/>
                <w:szCs w:val="26"/>
                <w:color w:val="auto"/>
                <w:vertAlign w:val="superscript"/>
              </w:rPr>
              <w:t>(2)(15)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8,623,814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Richard Hoon Thye Woei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Robert Martin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Romulus Capital</w:t>
            </w:r>
            <w:r>
              <w:rPr>
                <w:rFonts w:ascii="Times New Roman" w:cs="Times New Roman" w:eastAsia="Times New Roman" w:hAnsi="Times New Roman"/>
                <w:sz w:val="26"/>
                <w:szCs w:val="26"/>
                <w:color w:val="auto"/>
                <w:vertAlign w:val="superscript"/>
              </w:rPr>
              <w:t>(9)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18,111,939</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Sasha Hoffman</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Schechter Private Capital I, LLC –</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Series V</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1,932,773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Shamsuddin Charania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262,069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Sheel Tyle</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Shehzaan Chunara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Silver Rock Capital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Partners</w:t>
            </w:r>
            <w:r>
              <w:rPr>
                <w:rFonts w:ascii="Times New Roman" w:cs="Times New Roman" w:eastAsia="Times New Roman" w:hAnsi="Times New Roman"/>
                <w:sz w:val="26"/>
                <w:szCs w:val="26"/>
                <w:color w:val="auto"/>
                <w:vertAlign w:val="superscript"/>
              </w:rPr>
              <w:t>(10)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Tan Chin Nam</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Rebecca P. Samberg 2018</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revocable 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409,640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Thomas P Botts</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78,714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Trinity Capital Fund II, L.P.,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2"/>
                <w:szCs w:val="12"/>
                <w:color w:val="auto"/>
              </w:rPr>
              <w:t>(39)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573,660</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Ventoux Acquisition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Holdings LLC</w:t>
            </w:r>
            <w:r>
              <w:rPr>
                <w:rFonts w:ascii="Times New Roman" w:cs="Times New Roman" w:eastAsia="Times New Roman" w:hAnsi="Times New Roman"/>
                <w:sz w:val="26"/>
                <w:szCs w:val="26"/>
                <w:color w:val="auto"/>
                <w:vertAlign w:val="superscript"/>
              </w:rPr>
              <w:t>(3)(16)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288,925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White &amp; Case LLP</w:t>
            </w:r>
            <w:r>
              <w:rPr>
                <w:rFonts w:ascii="Times New Roman" w:cs="Times New Roman" w:eastAsia="Times New Roman" w:hAnsi="Times New Roman"/>
                <w:sz w:val="26"/>
                <w:szCs w:val="26"/>
                <w:color w:val="auto"/>
                <w:vertAlign w:val="superscript"/>
              </w:rPr>
              <w:t>(12)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William (Bill) Healey</w:t>
            </w:r>
            <w:r>
              <w:rPr>
                <w:rFonts w:ascii="Times New Roman" w:cs="Times New Roman" w:eastAsia="Times New Roman" w:hAnsi="Times New Roman"/>
                <w:sz w:val="26"/>
                <w:szCs w:val="26"/>
                <w:color w:val="auto"/>
                <w:vertAlign w:val="superscript"/>
              </w:rPr>
              <w:t>(2)(26)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307,318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William Souillard-Mandar</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Wilton Trustees (IOM) Limited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ATO Dalmia Trust</w:t>
            </w:r>
            <w:r>
              <w:rPr>
                <w:rFonts w:ascii="Times New Roman" w:cs="Times New Roman" w:eastAsia="Times New Roman" w:hAnsi="Times New Roman"/>
                <w:sz w:val="26"/>
                <w:szCs w:val="26"/>
                <w:color w:val="auto"/>
                <w:vertAlign w:val="superscript"/>
              </w:rPr>
              <w:t>(15)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5"/>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Woolery &amp; Co PLLC</w:t>
            </w:r>
            <w:r>
              <w:rPr>
                <w:rFonts w:ascii="Times New Roman" w:cs="Times New Roman" w:eastAsia="Times New Roman" w:hAnsi="Times New Roman"/>
                <w:sz w:val="26"/>
                <w:szCs w:val="26"/>
                <w:color w:val="auto"/>
                <w:vertAlign w:val="superscript"/>
              </w:rPr>
              <w:t>(14)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-7057390</wp:posOffset>
            </wp:positionV>
            <wp:extent cx="713232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-6739890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-6431280</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-6002655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-5694045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-5385435</wp:posOffset>
            </wp:positionV>
            <wp:extent cx="7132320" cy="2832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-4819650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-4382770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-4074160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-3456940</wp:posOffset>
            </wp:positionV>
            <wp:extent cx="7132320" cy="1543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-3148330</wp:posOffset>
            </wp:positionV>
            <wp:extent cx="7132320" cy="282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-2710815</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-2402205</wp:posOffset>
            </wp:positionV>
            <wp:extent cx="7132320" cy="2825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-1965325</wp:posOffset>
            </wp:positionV>
            <wp:extent cx="7132320" cy="282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-1527810</wp:posOffset>
            </wp:positionV>
            <wp:extent cx="7132320" cy="282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-962025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3160" w:type="dxa"/>
            <w:vAlign w:val="bottom"/>
            <w:gridSpan w:val="7"/>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1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Being</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25"/>
        </w:trPr>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6,250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37,946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10,495</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32"/>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156,233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747,328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512,024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39,529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38,616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604,758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415,154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4,386,655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18,111,939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1,432,773</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174,569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284,640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115,848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307,318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sectPr>
          <w:pgSz w:w="11900" w:h="16838" w:orient="portrait"/>
          <w:cols w:equalWidth="0" w:num="2">
            <w:col w:w="5580" w:space="100"/>
            <w:col w:w="5560"/>
          </w:cols>
          <w:pgMar w:left="320" w:top="893" w:right="339" w:bottom="1440" w:gutter="0" w:footer="0" w:header="0"/>
        </w:sect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w:t>
      </w:r>
    </w:p>
    <w:p>
      <w:pPr>
        <w:spacing w:after="0" w:line="252" w:lineRule="exact"/>
        <w:rPr>
          <w:sz w:val="20"/>
          <w:szCs w:val="20"/>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such number of shares of Presto Common Stock underlying the Private Placement Warrants, Financing Warrants, Trinity Warrants and penny warrants registered hereby as such warrants are currently exercisable.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48" w:name="page49"/>
    <w:bookmarkEnd w:id="48"/>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these securityholders is c/o Presto Automation Inc., 985 Industrial Road, San Carlos, CA 94070.</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these securityholders is c/o Ventoux Acquisition Holdings LLC, 1 East Putnam Avenue, Floor 4, Greenwich, CT 06830.</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Acadia Woods Partners, LLC is c/o Hawkes Financial LLC, 77 Bedford Road, Katonah, NY 10536.</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Aloha Partners, LLC is c/o Hawkes Financial LLC 77 Bedford Road, Omaha, NE 68127.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Cabbaj Capital Ltd. is Georgiou Katsounotou, 6, 3026, Limassol, Cyprus.</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5"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p>
      <w:pPr>
        <w:spacing w:after="0" w:line="21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Ventoux Acquisition Holdings LLC, for which Edward Scheetz and Matt MacDonald are the managing members and have voting and/or dispositive powers with respect to such shares. Edward Sheetz currently serves as a director of the Company.</w:t>
      </w:r>
    </w:p>
    <w:p>
      <w:pPr>
        <w:spacing w:after="0" w:line="18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White &amp; Case LLP is 1221 Avenue of the Americas New York, NY 10020. White &amp; Case LLP served as counsel to Legacy Presto in connection with the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Dentons US LLP is 233 South Wacker Drive, Suite 5900, Chicago, IL 60606. Dentons US LLP served as co-counsel to VTAQ in connection with the Business Combination.</w:t>
      </w:r>
    </w:p>
    <w:p>
      <w:pPr>
        <w:spacing w:after="0" w:line="192"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Woolery &amp; Co. PLLC is 1 Pier 76, 408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New York, NY 10018. Woolery &amp; Co. PLLC served as co-counsel to VTAQ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spacing w:after="0" w:line="21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288,925 shares of Presto Common Stock that are subject to vesting based upon achievement of certain stock price thresholds in accordance with the terms of the Merger Agreement. VTAQ was the corporate predecessor of the Company.</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Cindat USA LLC is Beijing Yintai Center, Tower C, Suite 5101, 2 Jianwai Avenue, Beijing 100022, PRC.</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Greg Flynn is 225 Bush Street, Suite 1800, San Francisco, CA 94104.</w:t>
      </w:r>
    </w:p>
    <w:p>
      <w:pPr>
        <w:spacing w:after="0" w:line="23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HighSage Ventures, LLC is 200 Clarendon Street, 59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01" w:lineRule="exact"/>
        <w:rPr>
          <w:rFonts w:ascii="Times New Roman" w:cs="Times New Roman" w:eastAsia="Times New Roman" w:hAnsi="Times New Roman"/>
          <w:sz w:val="36"/>
          <w:szCs w:val="36"/>
          <w:color w:val="auto"/>
          <w:vertAlign w:val="superscript"/>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Jeff Jones is 1180 NW Maple St Ste 105, Issaquah, WA 98027.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3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New York 10022. Mr. Bergstrom disclaims beneficial ownership of shares held by CEOF. CEOF is a lender under the Credit Agreement.</w:t>
      </w:r>
    </w:p>
    <w:p>
      <w:pPr>
        <w:spacing w:after="0" w:line="224" w:lineRule="exact"/>
        <w:rPr>
          <w:rFonts w:ascii="Times New Roman" w:cs="Times New Roman" w:eastAsia="Times New Roman" w:hAnsi="Times New Roman"/>
          <w:sz w:val="18"/>
          <w:szCs w:val="18"/>
          <w:color w:val="auto"/>
        </w:rPr>
      </w:pPr>
    </w:p>
    <w:p>
      <w:pPr>
        <w:jc w:val="both"/>
        <w:ind w:left="660" w:hanging="652"/>
        <w:spacing w:after="0" w:line="23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10022. Metropolitan Levered Partners Fund VII, LP, Metropolitan Partners Fund VII, LP, Metropolitan Offshore Partners Fund VII, LP are lenders under the Credit Agreement.</w:t>
      </w:r>
    </w:p>
    <w:p>
      <w:pPr>
        <w:spacing w:after="0" w:line="228" w:lineRule="exact"/>
        <w:rPr>
          <w:rFonts w:ascii="Times New Roman" w:cs="Times New Roman" w:eastAsia="Times New Roman" w:hAnsi="Times New Roman"/>
          <w:sz w:val="18"/>
          <w:szCs w:val="18"/>
          <w:color w:val="auto"/>
        </w:rPr>
      </w:pPr>
    </w:p>
    <w:p>
      <w:pPr>
        <w:jc w:val="both"/>
        <w:ind w:left="660" w:hanging="652"/>
        <w:spacing w:after="0" w:line="23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NY 10004. Chardan Capital Markets, LLC served as an advisor to Legacy Presto in connection with the Business Combination</w:t>
      </w:r>
    </w:p>
    <w:p>
      <w:pPr>
        <w:spacing w:after="0" w:line="229"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Jefferies LLC is 520 Madison Avenue,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10022. Jefferies LLC served as financial advisor to Legacy Presto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266,822 Earnout Shares that may be issued from time to time upon achievement of certain stock price thresholds in accordance with the terms of the Merger Agreement.</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Wilton Trustees (IOM) Limited ATO Dalmia Trust is Grosvenor House 66-67 Athol Street, Isle of Man IM1 IJE.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Cosme Fagundo is 711 Calle Artis San Jose, CA 95131.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jc w:val="both"/>
        <w:ind w:left="660" w:hanging="652"/>
        <w:spacing w:after="0" w:line="25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pacing w:after="0" w:line="21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shares of Common Stock to be sold pursuant to this prospectus represent June 2023 PIPE Shares held by the securityholders.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Brock Strasbourger was the Chief Operating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Julie Atkinson was a director of the Company’s corporate predecessor, VTAQ.</w:t>
      </w:r>
    </w:p>
    <w:p>
      <w:pPr>
        <w:spacing w:after="0" w:line="25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Matt MacDonald was the Chief Financial Officer, Secretary, and a director of the Company’s corporate predecessor, VTAQ.</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Prasad Phatak was the Chief Investment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Chris Ahrens was a director of the Company’s corporate predecessor, VTAQ.</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Trinity Capital Fund II, L.P., LLC is 2121 West Chandler Boulevard, Suite 103, Chandler, Arizona 85224.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we and the Selling Securityholders may use any one or more of the following methods when selling the securities offered by this prospectus:</w:t>
      </w:r>
    </w:p>
    <w:p>
      <w:pPr>
        <w:spacing w:after="0" w:line="162" w:lineRule="exact"/>
        <w:rPr>
          <w:sz w:val="20"/>
          <w:szCs w:val="20"/>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directly to purchasers, including through a specific bidding, auction or other process or in privately negotiated transactions;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162" w:lineRule="exact"/>
        <w:rPr>
          <w:sz w:val="20"/>
          <w:szCs w:val="20"/>
          <w:color w:val="auto"/>
        </w:rPr>
      </w:pPr>
    </w:p>
    <w:p>
      <w:pPr>
        <w:ind w:left="980" w:hanging="648"/>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4">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35">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13">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115">
        <w:r>
          <w:rPr>
            <w:rFonts w:ascii="Times New Roman" w:cs="Times New Roman" w:eastAsia="Times New Roman" w:hAnsi="Times New Roman"/>
            <w:sz w:val="18"/>
            <w:szCs w:val="18"/>
            <w:u w:val="single" w:color="auto"/>
            <w:color w:val="0000EE"/>
          </w:rPr>
          <w:t>October 11, 2023</w:t>
        </w:r>
      </w:hyperlink>
      <w:r>
        <w:rPr>
          <w:rFonts w:ascii="Times New Roman" w:cs="Times New Roman" w:eastAsia="Times New Roman" w:hAnsi="Times New Roman"/>
          <w:sz w:val="18"/>
          <w:szCs w:val="18"/>
          <w:color w:val="auto"/>
        </w:rPr>
        <w:t xml:space="preserve">, and </w:t>
      </w:r>
      <w:hyperlink r:id="rId116">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9">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for the year ended June 30, 2023).</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23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7"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5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29"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38,951,765 Shares of Common Stock</w:t>
      </w:r>
    </w:p>
    <w:p>
      <w:pPr>
        <w:sectPr>
          <w:pgSz w:w="11900" w:h="16838" w:orient="portrait"/>
          <w:cols w:equalWidth="0" w:num="1">
            <w:col w:w="9019"/>
          </w:cols>
          <w:pgMar w:left="1440" w:top="1440" w:right="1440"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1528445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Roman"/>
      <w:start w:val="1"/>
    </w:lvl>
  </w:abstractNum>
  <w:abstractNum w:abstractNumId="14">
    <w:nsid w:val="189A769B"/>
    <w:multiLevelType w:val="hybridMultilevel"/>
    <w:lvl w:ilvl="0">
      <w:lvlJc w:val="left"/>
      <w:lvlText w:val="(%1)"/>
      <w:numFmt w:val="lowerRoman"/>
      <w:start w:val="4"/>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lowerRoman"/>
      <w:start w:val="1"/>
    </w:lvl>
    <w:lvl w:ilvl="1">
      <w:lvlJc w:val="left"/>
      <w:lvlText w:val="%2."/>
      <w:numFmt w:val="lowerLetter"/>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2"/>
    </w:lvl>
  </w:abstractNum>
  <w:abstractNum w:abstractNumId="34">
    <w:nsid w:val="3804823E"/>
    <w:multiLevelType w:val="hybridMultilevel"/>
    <w:lvl w:ilvl="0">
      <w:lvlJc w:val="left"/>
      <w:lvlText w:val="(%1)"/>
      <w:numFmt w:val="decimal"/>
      <w:start w:val="13"/>
    </w:lvl>
  </w:abstractNum>
  <w:abstractNum w:abstractNumId="35">
    <w:nsid w:val="77465F01"/>
    <w:multiLevelType w:val="hybridMultilevel"/>
    <w:lvl w:ilvl="0">
      <w:lvlJc w:val="left"/>
      <w:lvlText w:val="(%1)"/>
      <w:numFmt w:val="decimal"/>
      <w:start w:val="29"/>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60" Type="http://schemas.openxmlformats.org/officeDocument/2006/relationships/image" Target="media/image27.png"/><Relationship Id="rId61" Type="http://schemas.openxmlformats.org/officeDocument/2006/relationships/image" Target="media/image28.png"/><Relationship Id="rId62" Type="http://schemas.openxmlformats.org/officeDocument/2006/relationships/image" Target="media/image29.png"/><Relationship Id="rId63" Type="http://schemas.openxmlformats.org/officeDocument/2006/relationships/image" Target="media/image30.png"/><Relationship Id="rId64" Type="http://schemas.openxmlformats.org/officeDocument/2006/relationships/image" Target="media/image31.png"/><Relationship Id="rId65" Type="http://schemas.openxmlformats.org/officeDocument/2006/relationships/image" Target="media/image32.png"/><Relationship Id="rId66" Type="http://schemas.openxmlformats.org/officeDocument/2006/relationships/image" Target="media/image33.png"/><Relationship Id="rId67" Type="http://schemas.openxmlformats.org/officeDocument/2006/relationships/image" Target="media/image34.png"/><Relationship Id="rId68" Type="http://schemas.openxmlformats.org/officeDocument/2006/relationships/image" Target="media/image35.png"/><Relationship Id="rId69"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2" Type="http://schemas.openxmlformats.org/officeDocument/2006/relationships/image" Target="media/image79.png"/><Relationship Id="rId117" Type="http://schemas.openxmlformats.org/officeDocument/2006/relationships/image" Target="media/image80.png"/><Relationship Id="rId118" Type="http://schemas.openxmlformats.org/officeDocument/2006/relationships/image" Target="media/image81.png"/><Relationship Id="rId34" Type="http://schemas.openxmlformats.org/officeDocument/2006/relationships/hyperlink" Target="http://www.sec.gov/Archives/edgar/data/1822145/000155837023016336/prst-20230630x10k.htm" TargetMode="External"/><Relationship Id="rId35" Type="http://schemas.openxmlformats.org/officeDocument/2006/relationships/hyperlink" Target="http://www.sec.gov/Archives/edgar/data/1822145/000155837023016408/prst-20230630x10ka.htm" TargetMode="External"/><Relationship Id="rId36" Type="http://schemas.openxmlformats.org/officeDocument/2006/relationships/hyperlink" Target="http://www.sec.gov/Archives/edgar/data/1822145/000155837023019254/prst-20230930x10q.htm" TargetMode="External"/><Relationship Id="rId37" Type="http://schemas.openxmlformats.org/officeDocument/2006/relationships/hyperlink" Target="http://www.sec.gov/Archives/edgar/data/1822145/000155837024001375/prst-20231231x10q.htm" TargetMode="External"/><Relationship Id="rId38" Type="http://schemas.openxmlformats.org/officeDocument/2006/relationships/hyperlink" Target="https://www.sec.gov/Archives/edgar/data/1822145/000155837024008505/prst-20240331x10q.htm" TargetMode="External"/><Relationship Id="rId39" Type="http://schemas.openxmlformats.org/officeDocument/2006/relationships/hyperlink" Target="http://www.sec.gov/Archives/edgar/data/1822145/000110465923086535/tm2322640d1_8k.htm" TargetMode="External"/><Relationship Id="rId40" Type="http://schemas.openxmlformats.org/officeDocument/2006/relationships/hyperlink" Target="http://www.sec.gov/Archives/edgar/data/1822145/000110465923097311/tm2325309d1_8k.htm" TargetMode="External"/><Relationship Id="rId41" Type="http://schemas.openxmlformats.org/officeDocument/2006/relationships/hyperlink" Target="http://www.sec.gov/Archives/edgar/data/1822145/000101376223002979/ea186564-8k_prestoauto.htm" TargetMode="External"/><Relationship Id="rId42" Type="http://schemas.openxmlformats.org/officeDocument/2006/relationships/hyperlink" Target="http://www.sec.gov/Archives/edgar/data/1822145/000101376223005246/ea187043-8k_prestoauto.htm" TargetMode="External"/><Relationship Id="rId43" Type="http://schemas.openxmlformats.org/officeDocument/2006/relationships/hyperlink" Target="http://www.sec.gov/Archives/edgar/data/1822145/000121390023089293/ea188717-8k_presto.htm" TargetMode="External"/><Relationship Id="rId44" Type="http://schemas.openxmlformats.org/officeDocument/2006/relationships/hyperlink" Target="http://www.sec.gov/Archives/edgar/data/1822145/000155837023019477/prst-20231129x8k.htm" TargetMode="External"/><Relationship Id="rId45" Type="http://schemas.openxmlformats.org/officeDocument/2006/relationships/hyperlink" Target="http://www.sec.gov/Archives/edgar/data/1822145/000155837023019744/prst-20231206x8k.htm" TargetMode="External"/><Relationship Id="rId46" Type="http://schemas.openxmlformats.org/officeDocument/2006/relationships/hyperlink" Target="http://www.sec.gov/Archives/edgar/data/1822145/000121390023095635/ea190049-8k_presto.htm" TargetMode="External"/><Relationship Id="rId47" Type="http://schemas.openxmlformats.org/officeDocument/2006/relationships/hyperlink" Target="http://www.sec.gov/Archives/edgar/data/1822145/000121390023098185/ea190594-8k_presto.htm" TargetMode="External"/><Relationship Id="rId48" Type="http://schemas.openxmlformats.org/officeDocument/2006/relationships/hyperlink" Target="http://www.sec.gov/Archives/edgar/data/1822145/000155837024000064/prst-20231228x8k.htm" TargetMode="External"/><Relationship Id="rId49" Type="http://schemas.openxmlformats.org/officeDocument/2006/relationships/hyperlink" Target="http://www.sec.gov/Archives/edgar/data/1822145/000110465924005627/tm243773d1_8k.htm" TargetMode="External"/><Relationship Id="rId50" Type="http://schemas.openxmlformats.org/officeDocument/2006/relationships/hyperlink" Target="http://www.sec.gov/Archives/edgar/data/1822145/000121390024009098/ea192676-8k_presto.htm" TargetMode="External"/><Relationship Id="rId51" Type="http://schemas.openxmlformats.org/officeDocument/2006/relationships/hyperlink" Target="http://www.sec.gov/Archives/edgar/data/1822145/000110465924010183/tm244871d1_8k.htm" TargetMode="External"/><Relationship Id="rId52" Type="http://schemas.openxmlformats.org/officeDocument/2006/relationships/hyperlink" Target="http://www.sec.gov/Archives/edgar/data/1822145/000110465924025618/tm246736d1_8ka.htm" TargetMode="External"/><Relationship Id="rId53" Type="http://schemas.openxmlformats.org/officeDocument/2006/relationships/hyperlink" Target="http://www.sec.gov/Archives/edgar/data/1822145/000110465924012313/tm245632d1_8k.htm" TargetMode="External"/><Relationship Id="rId54" Type="http://schemas.openxmlformats.org/officeDocument/2006/relationships/hyperlink" Target="https://www.sec.gov/Archives/edgar/data/1822145/000110465924069366/tm2416729d1_8k.htm" TargetMode="External"/><Relationship Id="rId55" Type="http://schemas.openxmlformats.org/officeDocument/2006/relationships/hyperlink" Target="https://www.sec.gov/Archives/edgar/data/1822145/000110465924077787/tm2418737d1_8k.htm" TargetMode="External"/><Relationship Id="rId56" Type="http://schemas.openxmlformats.org/officeDocument/2006/relationships/hyperlink" Target="https://www.sec.gov/Archives/edgar/data/1822145/000110465924081555/tm2419916d1_8k.htm" TargetMode="External"/><Relationship Id="rId57" Type="http://schemas.openxmlformats.org/officeDocument/2006/relationships/hyperlink" Target="https://www.sec.gov/Archives/edgar/data/1822145/000110465924082583/tm2420152d1_8k.htm" TargetMode="External"/><Relationship Id="rId58" Type="http://schemas.openxmlformats.org/officeDocument/2006/relationships/hyperlink" Target="http://www.sec.gov/Archives/edgar/data/1822145/000121390020044238/ea131985-8a12b_ventouxccm.htm" TargetMode="External"/><Relationship Id="rId59" Type="http://schemas.openxmlformats.org/officeDocument/2006/relationships/hyperlink" Target="http://www.sec.gov/Archives/edgar/data/1822145/000155837023016336/prst-20230630xex4d1.htm" TargetMode="External"/><Relationship Id="rId113" Type="http://schemas.openxmlformats.org/officeDocument/2006/relationships/hyperlink" Target="https://www.sec.gov/Archives/edgar/data/1822145/000110465923086535/tm2322640d1_8k.htm" TargetMode="External"/><Relationship Id="rId114" Type="http://schemas.openxmlformats.org/officeDocument/2006/relationships/hyperlink" Target="https://www.sec.gov/Archives/edgar/data/1822145/000110465923097311/tm2325309d1_8k.htm" TargetMode="External"/><Relationship Id="rId115" Type="http://schemas.openxmlformats.org/officeDocument/2006/relationships/hyperlink" Target="https://www.sec.gov/Archives/edgar/data/1822145/000101376223002979/ea186564-8k_prestoauto.htm" TargetMode="External"/><Relationship Id="rId116" Type="http://schemas.openxmlformats.org/officeDocument/2006/relationships/hyperlink" Target="https://www.sec.gov/Archives/edgar/data/1822145/000101376223005246/ea187043-8k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2024-08-07T08:14:01Z</dcterms:created>
  <dcterms:modified xsi:type="dcterms:W3CDTF">2024-08-07T08:14:01Z</dcterms:modified>
</cp:coreProperties>
</file>