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200" w:type="dxa"/>
        <w:tblCellMar>
          <w:top w:w="0" w:type="dxa"/>
          <w:left w:w="0" w:type="dxa"/>
          <w:bottom w:w="0" w:type="dxa"/>
          <w:right w:w="0" w:type="dxa"/>
        </w:tblCellMar>
      </w:tblPr>
      <w:tr>
        <w:trPr>
          <w:trHeight w:val="41"/>
        </w:trPr>
        <w:tc>
          <w:tcPr>
            <w:tcW w:w="5840" w:type="dxa"/>
            <w:vAlign w:val="bottom"/>
            <w:vMerge w:val="restart"/>
          </w:tcPr>
          <w:p>
            <w:pPr>
              <w:jc w:val="center"/>
              <w:ind w:right="1139"/>
              <w:spacing w:after="0"/>
              <w:rPr>
                <w:sz w:val="20"/>
                <w:szCs w:val="20"/>
                <w:color w:val="auto"/>
              </w:rPr>
            </w:pPr>
            <w:r>
              <w:rPr>
                <w:rFonts w:ascii="Arial" w:cs="Arial" w:eastAsia="Arial" w:hAnsi="Arial"/>
                <w:sz w:val="22"/>
                <w:szCs w:val="22"/>
                <w:b w:val="1"/>
                <w:bCs w:val="1"/>
                <w:color w:val="auto"/>
                <w:w w:val="96"/>
              </w:rPr>
              <w:t>UNITED STATES</w:t>
            </w:r>
          </w:p>
        </w:tc>
        <w:tc>
          <w:tcPr>
            <w:tcW w:w="40" w:type="dxa"/>
            <w:vAlign w:val="bottom"/>
            <w:tcBorders>
              <w:top w:val="single" w:sz="8" w:color="808080"/>
            </w:tcBorders>
          </w:tcPr>
          <w:p>
            <w:pPr>
              <w:spacing w:after="0"/>
              <w:rPr>
                <w:sz w:val="3"/>
                <w:szCs w:val="3"/>
                <w:color w:val="auto"/>
              </w:rPr>
            </w:pPr>
          </w:p>
        </w:tc>
        <w:tc>
          <w:tcPr>
            <w:tcW w:w="290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58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2940" w:type="dxa"/>
            <w:vAlign w:val="bottom"/>
            <w:gridSpan w:val="3"/>
          </w:tcPr>
          <w:p>
            <w:pPr>
              <w:ind w:left="7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21"/>
        </w:trPr>
        <w:tc>
          <w:tcPr>
            <w:tcW w:w="5840" w:type="dxa"/>
            <w:vAlign w:val="bottom"/>
            <w:vMerge w:val="restart"/>
          </w:tcPr>
          <w:p>
            <w:pPr>
              <w:jc w:val="center"/>
              <w:ind w:right="1139"/>
              <w:spacing w:after="0"/>
              <w:rPr>
                <w:sz w:val="20"/>
                <w:szCs w:val="20"/>
                <w:color w:val="auto"/>
              </w:rPr>
            </w:pPr>
            <w:r>
              <w:rPr>
                <w:rFonts w:ascii="Arial" w:cs="Arial" w:eastAsia="Arial" w:hAnsi="Arial"/>
                <w:sz w:val="22"/>
                <w:szCs w:val="22"/>
                <w:b w:val="1"/>
                <w:bCs w:val="1"/>
                <w:color w:val="auto"/>
                <w:w w:val="98"/>
              </w:rPr>
              <w:t>SECURITIES AND EXCHANGE COMMISSION</w:t>
            </w:r>
          </w:p>
        </w:tc>
        <w:tc>
          <w:tcPr>
            <w:tcW w:w="40" w:type="dxa"/>
            <w:vAlign w:val="bottom"/>
          </w:tcPr>
          <w:p>
            <w:pPr>
              <w:spacing w:after="0" w:line="20" w:lineRule="exact"/>
              <w:rPr>
                <w:sz w:val="1"/>
                <w:szCs w:val="1"/>
                <w:color w:val="auto"/>
              </w:rPr>
            </w:pPr>
          </w:p>
        </w:tc>
        <w:tc>
          <w:tcPr>
            <w:tcW w:w="1740" w:type="dxa"/>
            <w:vAlign w:val="bottom"/>
            <w:tcBorders>
              <w:top w:val="single" w:sz="8" w:color="808080"/>
              <w:bottom w:val="single" w:sz="8" w:color="2C2C2C"/>
            </w:tcBorders>
          </w:tcPr>
          <w:p>
            <w:pPr>
              <w:spacing w:after="0" w:line="20" w:lineRule="exact"/>
              <w:rPr>
                <w:sz w:val="1"/>
                <w:szCs w:val="1"/>
                <w:color w:val="auto"/>
              </w:rPr>
            </w:pPr>
          </w:p>
        </w:tc>
        <w:tc>
          <w:tcPr>
            <w:tcW w:w="11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8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17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1160" w:type="dxa"/>
            <w:vAlign w:val="bottom"/>
          </w:tcPr>
          <w:p>
            <w:pPr>
              <w:jc w:val="right"/>
              <w:spacing w:after="0"/>
              <w:rPr>
                <w:sz w:val="20"/>
                <w:szCs w:val="20"/>
                <w:color w:val="auto"/>
              </w:rPr>
            </w:pPr>
            <w:r>
              <w:rPr>
                <w:rFonts w:ascii="Arial" w:cs="Arial" w:eastAsia="Arial" w:hAnsi="Arial"/>
                <w:sz w:val="12"/>
                <w:szCs w:val="12"/>
                <w:color w:val="auto"/>
              </w:rPr>
              <w:t>3235-0080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5840" w:type="dxa"/>
            <w:vAlign w:val="bottom"/>
            <w:vMerge w:val="restart"/>
          </w:tcPr>
          <w:p>
            <w:pPr>
              <w:jc w:val="center"/>
              <w:ind w:right="1139"/>
              <w:spacing w:after="0"/>
              <w:rPr>
                <w:sz w:val="20"/>
                <w:szCs w:val="20"/>
                <w:color w:val="auto"/>
              </w:rPr>
            </w:pPr>
            <w:r>
              <w:rPr>
                <w:rFonts w:ascii="Arial" w:cs="Arial" w:eastAsia="Arial" w:hAnsi="Arial"/>
                <w:sz w:val="18"/>
                <w:szCs w:val="18"/>
                <w:color w:val="auto"/>
                <w:w w:val="97"/>
              </w:rPr>
              <w:t>Washington, D.C. 20549</w:t>
            </w:r>
          </w:p>
        </w:tc>
        <w:tc>
          <w:tcPr>
            <w:tcW w:w="40" w:type="dxa"/>
            <w:vAlign w:val="bottom"/>
          </w:tcPr>
          <w:p>
            <w:pPr>
              <w:spacing w:after="0"/>
              <w:rPr>
                <w:sz w:val="13"/>
                <w:szCs w:val="13"/>
                <w:color w:val="auto"/>
              </w:rPr>
            </w:pPr>
          </w:p>
        </w:tc>
        <w:tc>
          <w:tcPr>
            <w:tcW w:w="1740" w:type="dxa"/>
            <w:vAlign w:val="bottom"/>
          </w:tcPr>
          <w:p>
            <w:pPr>
              <w:ind w:left="80"/>
              <w:spacing w:after="0"/>
              <w:rPr>
                <w:sz w:val="20"/>
                <w:szCs w:val="20"/>
                <w:color w:val="auto"/>
              </w:rPr>
            </w:pPr>
            <w:r>
              <w:rPr>
                <w:rFonts w:ascii="Arial" w:cs="Arial" w:eastAsia="Arial" w:hAnsi="Arial"/>
                <w:sz w:val="12"/>
                <w:szCs w:val="12"/>
                <w:color w:val="auto"/>
              </w:rPr>
              <w:t>Expires:</w:t>
            </w:r>
          </w:p>
        </w:tc>
        <w:tc>
          <w:tcPr>
            <w:tcW w:w="1200" w:type="dxa"/>
            <w:vAlign w:val="bottom"/>
            <w:gridSpan w:val="2"/>
          </w:tcPr>
          <w:p>
            <w:pPr>
              <w:jc w:val="right"/>
              <w:ind w:right="100"/>
              <w:spacing w:after="0"/>
              <w:rPr>
                <w:sz w:val="20"/>
                <w:szCs w:val="20"/>
                <w:color w:val="auto"/>
              </w:rPr>
            </w:pPr>
            <w:r>
              <w:rPr>
                <w:rFonts w:ascii="Arial" w:cs="Arial" w:eastAsia="Arial" w:hAnsi="Arial"/>
                <w:sz w:val="12"/>
                <w:szCs w:val="12"/>
                <w:color w:val="auto"/>
              </w:rPr>
              <w:t>March 31, 2018</w:t>
            </w:r>
          </w:p>
        </w:tc>
        <w:tc>
          <w:tcPr>
            <w:tcW w:w="0" w:type="dxa"/>
            <w:vAlign w:val="bottom"/>
          </w:tcPr>
          <w:p>
            <w:pPr>
              <w:spacing w:after="0"/>
              <w:rPr>
                <w:sz w:val="1"/>
                <w:szCs w:val="1"/>
                <w:color w:val="auto"/>
              </w:rPr>
            </w:pPr>
          </w:p>
        </w:tc>
      </w:tr>
      <w:tr>
        <w:trPr>
          <w:trHeight w:val="139"/>
        </w:trPr>
        <w:tc>
          <w:tcPr>
            <w:tcW w:w="58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740" w:type="dxa"/>
            <w:vAlign w:val="bottom"/>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5840" w:type="dxa"/>
            <w:vAlign w:val="bottom"/>
          </w:tcPr>
          <w:p>
            <w:pPr>
              <w:spacing w:after="0"/>
              <w:rPr>
                <w:sz w:val="4"/>
                <w:szCs w:val="4"/>
                <w:color w:val="auto"/>
              </w:rPr>
            </w:pPr>
          </w:p>
        </w:tc>
        <w:tc>
          <w:tcPr>
            <w:tcW w:w="40" w:type="dxa"/>
            <w:vAlign w:val="bottom"/>
          </w:tcPr>
          <w:p>
            <w:pPr>
              <w:spacing w:after="0"/>
              <w:rPr>
                <w:sz w:val="4"/>
                <w:szCs w:val="4"/>
                <w:color w:val="auto"/>
              </w:rPr>
            </w:pPr>
          </w:p>
        </w:tc>
        <w:tc>
          <w:tcPr>
            <w:tcW w:w="1740" w:type="dxa"/>
            <w:vAlign w:val="bottom"/>
            <w:vMerge w:val="continue"/>
          </w:tcPr>
          <w:p>
            <w:pPr>
              <w:spacing w:after="0"/>
              <w:rPr>
                <w:sz w:val="4"/>
                <w:szCs w:val="4"/>
                <w:color w:val="auto"/>
              </w:rPr>
            </w:pPr>
          </w:p>
        </w:tc>
        <w:tc>
          <w:tcPr>
            <w:tcW w:w="116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rPr>
          <w:sz w:val="24"/>
          <w:szCs w:val="24"/>
          <w:color w:val="auto"/>
        </w:rPr>
        <w:sectPr>
          <w:pgSz w:w="11900" w:h="16838" w:orient="portrait"/>
          <w:cols w:equalWidth="0" w:num="1">
            <w:col w:w="10020"/>
          </w:cols>
          <w:pgMar w:left="920" w:top="268" w:right="959" w:bottom="1440" w:gutter="0" w:footer="0" w:header="0"/>
        </w:sectPr>
      </w:pPr>
      <w:r>
        <w:rPr>
          <w:sz w:val="24"/>
          <w:szCs w:val="24"/>
          <w:color w:val="auto"/>
        </w:rPr>
        <w:drawing>
          <wp:anchor simplePos="0" relativeHeight="251657728" behindDoc="1" locked="0" layoutInCell="0" allowOverlap="1">
            <wp:simplePos x="0" y="0"/>
            <wp:positionH relativeFrom="page">
              <wp:posOffset>6899275</wp:posOffset>
            </wp:positionH>
            <wp:positionV relativeFrom="page">
              <wp:posOffset>170180</wp:posOffset>
            </wp:positionV>
            <wp:extent cx="59690" cy="7886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788670"/>
                    </a:xfrm>
                    <a:prstGeom prst="rect">
                      <a:avLst/>
                    </a:prstGeom>
                    <a:noFill/>
                  </pic:spPr>
                </pic:pic>
              </a:graphicData>
            </a:graphic>
          </wp:anchor>
        </w:drawing>
        <w:drawing>
          <wp:anchor simplePos="0" relativeHeight="251657728" behindDoc="1" locked="0" layoutInCell="0" allowOverlap="1">
            <wp:simplePos x="0" y="0"/>
            <wp:positionH relativeFrom="page">
              <wp:posOffset>5047615</wp:posOffset>
            </wp:positionH>
            <wp:positionV relativeFrom="page">
              <wp:posOffset>170180</wp:posOffset>
            </wp:positionV>
            <wp:extent cx="59690" cy="7886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788670"/>
                    </a:xfrm>
                    <a:prstGeom prst="rect">
                      <a:avLst/>
                    </a:prstGeom>
                    <a:noFill/>
                  </pic:spPr>
                </pic:pic>
              </a:graphicData>
            </a:graphic>
          </wp:anchor>
        </w:drawing>
      </w:r>
    </w:p>
    <w:p>
      <w:pPr>
        <w:jc w:val="center"/>
        <w:ind w:left="680"/>
        <w:spacing w:after="0"/>
        <w:rPr>
          <w:sz w:val="20"/>
          <w:szCs w:val="20"/>
          <w:color w:val="auto"/>
        </w:rPr>
      </w:pPr>
      <w:r>
        <w:rPr>
          <w:rFonts w:ascii="Arial" w:cs="Arial" w:eastAsia="Arial" w:hAnsi="Arial"/>
          <w:sz w:val="21"/>
          <w:szCs w:val="21"/>
          <w:b w:val="1"/>
          <w:bCs w:val="1"/>
          <w:color w:val="auto"/>
        </w:rPr>
        <w:t>FORM 25</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0"/>
        </w:trPr>
        <w:tc>
          <w:tcPr>
            <w:tcW w:w="40" w:type="dxa"/>
            <w:vAlign w:val="bottom"/>
          </w:tcPr>
          <w:p>
            <w:pPr>
              <w:spacing w:after="0"/>
              <w:rPr>
                <w:sz w:val="13"/>
                <w:szCs w:val="13"/>
                <w:color w:val="auto"/>
              </w:rPr>
            </w:pPr>
          </w:p>
        </w:tc>
        <w:tc>
          <w:tcPr>
            <w:tcW w:w="19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1000" w:type="dxa"/>
            <w:vAlign w:val="bottom"/>
          </w:tcPr>
          <w:p>
            <w:pPr>
              <w:jc w:val="right"/>
              <w:spacing w:after="0"/>
              <w:rPr>
                <w:sz w:val="20"/>
                <w:szCs w:val="20"/>
                <w:color w:val="auto"/>
              </w:rPr>
            </w:pPr>
            <w:r>
              <w:rPr>
                <w:rFonts w:ascii="Arial" w:cs="Arial" w:eastAsia="Arial" w:hAnsi="Arial"/>
                <w:sz w:val="12"/>
                <w:szCs w:val="12"/>
                <w:color w:val="auto"/>
              </w:rPr>
              <w:t>1.7</w:t>
            </w:r>
          </w:p>
        </w:tc>
        <w:tc>
          <w:tcPr>
            <w:tcW w:w="40" w:type="dxa"/>
            <w:vAlign w:val="bottom"/>
          </w:tcPr>
          <w:p>
            <w:pPr>
              <w:spacing w:after="0"/>
              <w:rPr>
                <w:sz w:val="13"/>
                <w:szCs w:val="13"/>
                <w:color w:val="auto"/>
              </w:rPr>
            </w:pPr>
          </w:p>
        </w:tc>
      </w:tr>
      <w:tr>
        <w:trPr>
          <w:trHeight w:val="43"/>
        </w:trPr>
        <w:tc>
          <w:tcPr>
            <w:tcW w:w="40" w:type="dxa"/>
            <w:vAlign w:val="bottom"/>
          </w:tcPr>
          <w:p>
            <w:pPr>
              <w:spacing w:after="0"/>
              <w:rPr>
                <w:sz w:val="3"/>
                <w:szCs w:val="3"/>
                <w:color w:val="auto"/>
              </w:rPr>
            </w:pPr>
          </w:p>
        </w:tc>
        <w:tc>
          <w:tcPr>
            <w:tcW w:w="1900" w:type="dxa"/>
            <w:vAlign w:val="bottom"/>
            <w:tcBorders>
              <w:bottom w:val="single" w:sz="8" w:color="808080"/>
            </w:tcBorders>
          </w:tcPr>
          <w:p>
            <w:pPr>
              <w:spacing w:after="0"/>
              <w:rPr>
                <w:sz w:val="3"/>
                <w:szCs w:val="3"/>
                <w:color w:val="auto"/>
              </w:rPr>
            </w:pPr>
          </w:p>
        </w:tc>
        <w:tc>
          <w:tcPr>
            <w:tcW w:w="10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1900" w:type="dxa"/>
            <w:vAlign w:val="bottom"/>
            <w:tcBorders>
              <w:bottom w:val="single" w:sz="8" w:color="2C2C2C"/>
            </w:tcBorders>
          </w:tcPr>
          <w:p>
            <w:pPr>
              <w:spacing w:after="0" w:line="20" w:lineRule="exact"/>
              <w:rPr>
                <w:sz w:val="1"/>
                <w:szCs w:val="1"/>
                <w:color w:val="auto"/>
              </w:rPr>
            </w:pPr>
          </w:p>
        </w:tc>
        <w:tc>
          <w:tcPr>
            <w:tcW w:w="10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26" w:lineRule="exact"/>
        <w:rPr>
          <w:sz w:val="24"/>
          <w:szCs w:val="24"/>
          <w:color w:val="auto"/>
        </w:rPr>
      </w:pPr>
    </w:p>
    <w:p>
      <w:pPr>
        <w:sectPr>
          <w:pgSz w:w="11900" w:h="16838" w:orient="portrait"/>
          <w:cols w:equalWidth="0" w:num="2">
            <w:col w:w="6320" w:space="720"/>
            <w:col w:w="2980"/>
          </w:cols>
          <w:pgMar w:left="920" w:top="268" w:right="959" w:bottom="1440" w:gutter="0" w:footer="0" w:header="0"/>
          <w:type w:val="continuous"/>
        </w:sectPr>
      </w:pPr>
    </w:p>
    <w:p>
      <w:pPr>
        <w:ind w:left="1420"/>
        <w:spacing w:after="0"/>
        <w:rPr>
          <w:sz w:val="20"/>
          <w:szCs w:val="20"/>
          <w:color w:val="auto"/>
        </w:rPr>
      </w:pPr>
      <w:r>
        <w:rPr>
          <w:rFonts w:ascii="Arial" w:cs="Arial" w:eastAsia="Arial" w:hAnsi="Arial"/>
          <w:sz w:val="22"/>
          <w:szCs w:val="22"/>
          <w:b w:val="1"/>
          <w:bCs w:val="1"/>
          <w:color w:val="auto"/>
        </w:rPr>
        <w:t>NOTIFICATION OF REMOVAL FROM LISTING AND/OR REGISTRATION</w:t>
      </w:r>
    </w:p>
    <w:p>
      <w:pPr>
        <w:spacing w:after="0" w:line="12" w:lineRule="exact"/>
        <w:rPr>
          <w:sz w:val="24"/>
          <w:szCs w:val="24"/>
          <w:color w:val="auto"/>
        </w:rPr>
      </w:pPr>
    </w:p>
    <w:p>
      <w:pPr>
        <w:ind w:left="1340"/>
        <w:spacing w:after="0"/>
        <w:rPr>
          <w:sz w:val="20"/>
          <w:szCs w:val="20"/>
          <w:color w:val="auto"/>
        </w:rPr>
      </w:pPr>
      <w:r>
        <w:rPr>
          <w:rFonts w:ascii="Arial" w:cs="Arial" w:eastAsia="Arial" w:hAnsi="Arial"/>
          <w:sz w:val="22"/>
          <w:szCs w:val="22"/>
          <w:b w:val="1"/>
          <w:bCs w:val="1"/>
          <w:color w:val="auto"/>
        </w:rPr>
        <w:t>UNDER SECTION 12(b) OF THE SECURITIES EXCHANGE ACT OF 1934.</w:t>
      </w:r>
    </w:p>
    <w:p>
      <w:pPr>
        <w:spacing w:after="0" w:line="23" w:lineRule="exact"/>
        <w:rPr>
          <w:sz w:val="24"/>
          <w:szCs w:val="24"/>
          <w:color w:val="auto"/>
        </w:rPr>
      </w:pPr>
    </w:p>
    <w:p>
      <w:pPr>
        <w:ind w:left="5020"/>
        <w:spacing w:after="0"/>
        <w:rPr>
          <w:rFonts w:ascii="Arial" w:cs="Arial" w:eastAsia="Arial" w:hAnsi="Arial"/>
          <w:sz w:val="18"/>
          <w:szCs w:val="18"/>
          <w:color w:val="auto"/>
        </w:rPr>
      </w:pPr>
      <w:r>
        <w:rPr>
          <w:rFonts w:ascii="Arial" w:cs="Arial" w:eastAsia="Arial" w:hAnsi="Arial"/>
          <w:sz w:val="18"/>
          <w:szCs w:val="18"/>
          <w:color w:val="auto"/>
        </w:rPr>
        <w:t xml:space="preserve">Commission File Number </w:t>
      </w:r>
      <w:hyperlink r:id="rId10">
        <w:r>
          <w:rPr>
            <w:rFonts w:ascii="Times New Roman" w:cs="Times New Roman" w:eastAsia="Times New Roman" w:hAnsi="Times New Roman"/>
            <w:sz w:val="21"/>
            <w:szCs w:val="21"/>
            <w:u w:val="single" w:color="auto"/>
            <w:color w:val="0000EE"/>
          </w:rPr>
          <w:t>001-39830</w:t>
        </w:r>
      </w:hyperlink>
    </w:p>
    <w:p>
      <w:pPr>
        <w:spacing w:after="0" w:line="136" w:lineRule="exact"/>
        <w:rPr>
          <w:sz w:val="24"/>
          <w:szCs w:val="24"/>
          <w:color w:val="auto"/>
        </w:rPr>
      </w:pPr>
    </w:p>
    <w:p>
      <w:pPr>
        <w:ind w:left="3560"/>
        <w:spacing w:after="0"/>
        <w:tabs>
          <w:tab w:leader="none" w:pos="4440" w:val="left"/>
        </w:tabs>
        <w:rPr>
          <w:rFonts w:ascii="Times New Roman" w:cs="Times New Roman" w:eastAsia="Times New Roman" w:hAnsi="Times New Roman"/>
          <w:sz w:val="22"/>
          <w:szCs w:val="22"/>
          <w:u w:val="single" w:color="auto"/>
          <w:color w:val="0000EE"/>
        </w:rPr>
      </w:pPr>
      <w:r>
        <w:rPr>
          <w:rFonts w:ascii="Arial" w:cs="Arial" w:eastAsia="Arial" w:hAnsi="Arial"/>
          <w:sz w:val="18"/>
          <w:szCs w:val="18"/>
          <w:color w:val="auto"/>
        </w:rPr>
        <w:t>Issuer:</w:t>
      </w:r>
      <w:r>
        <w:rPr>
          <w:sz w:val="20"/>
          <w:szCs w:val="20"/>
          <w:color w:val="auto"/>
        </w:rPr>
        <w:tab/>
      </w:r>
      <w:hyperlink r:id="rId11">
        <w:r>
          <w:rPr>
            <w:rFonts w:ascii="Times New Roman" w:cs="Times New Roman" w:eastAsia="Times New Roman" w:hAnsi="Times New Roman"/>
            <w:sz w:val="22"/>
            <w:szCs w:val="22"/>
            <w:u w:val="single" w:color="auto"/>
            <w:color w:val="0000EE"/>
          </w:rPr>
          <w:t>Presto Automation Inc.</w:t>
        </w:r>
      </w:hyperlink>
    </w:p>
    <w:p>
      <w:pPr>
        <w:spacing w:after="0" w:line="57" w:lineRule="exact"/>
        <w:rPr>
          <w:sz w:val="24"/>
          <w:szCs w:val="24"/>
          <w:color w:val="auto"/>
        </w:rPr>
      </w:pPr>
    </w:p>
    <w:p>
      <w:pPr>
        <w:jc w:val="center"/>
        <w:ind w:right="100"/>
        <w:spacing w:after="0"/>
        <w:rPr>
          <w:sz w:val="20"/>
          <w:szCs w:val="20"/>
          <w:color w:val="auto"/>
        </w:rPr>
      </w:pPr>
      <w:r>
        <w:rPr>
          <w:rFonts w:ascii="Arial" w:cs="Arial" w:eastAsia="Arial" w:hAnsi="Arial"/>
          <w:sz w:val="18"/>
          <w:szCs w:val="18"/>
          <w:color w:val="auto"/>
        </w:rPr>
        <w:t xml:space="preserve">Exchange: </w:t>
      </w:r>
      <w:r>
        <w:rPr>
          <w:rFonts w:ascii="Times New Roman" w:cs="Times New Roman" w:eastAsia="Times New Roman" w:hAnsi="Times New Roman"/>
          <w:sz w:val="18"/>
          <w:szCs w:val="18"/>
          <w:color w:val="0000FF"/>
        </w:rPr>
        <w:t>Nasdaq Stock Market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48895</wp:posOffset>
            </wp:positionV>
            <wp:extent cx="55378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110" w:lineRule="exact"/>
        <w:rPr>
          <w:sz w:val="24"/>
          <w:szCs w:val="24"/>
          <w:color w:val="auto"/>
        </w:rPr>
      </w:pPr>
    </w:p>
    <w:p>
      <w:pPr>
        <w:ind w:left="660"/>
        <w:spacing w:after="0"/>
        <w:rPr>
          <w:sz w:val="20"/>
          <w:szCs w:val="20"/>
          <w:color w:val="auto"/>
        </w:rPr>
      </w:pPr>
      <w:r>
        <w:rPr>
          <w:rFonts w:ascii="Arial" w:cs="Arial" w:eastAsia="Arial" w:hAnsi="Arial"/>
          <w:sz w:val="12"/>
          <w:szCs w:val="12"/>
          <w:color w:val="auto"/>
        </w:rPr>
        <w:t>(Exact name of Issuer as specified in its charter, and name of Exchange where security is listed and/or registered)</w:t>
      </w:r>
    </w:p>
    <w:p>
      <w:pPr>
        <w:spacing w:after="0" w:line="91" w:lineRule="exact"/>
        <w:rPr>
          <w:sz w:val="24"/>
          <w:szCs w:val="24"/>
          <w:color w:val="auto"/>
        </w:rPr>
      </w:pPr>
    </w:p>
    <w:p>
      <w:pPr>
        <w:ind w:left="2440"/>
        <w:spacing w:after="0"/>
        <w:tabs>
          <w:tab w:leader="none" w:pos="3980" w:val="left"/>
        </w:tabs>
        <w:rPr>
          <w:sz w:val="20"/>
          <w:szCs w:val="20"/>
          <w:color w:val="auto"/>
        </w:rPr>
      </w:pPr>
      <w:r>
        <w:rPr>
          <w:rFonts w:ascii="Arial" w:cs="Arial" w:eastAsia="Arial" w:hAnsi="Arial"/>
          <w:sz w:val="18"/>
          <w:szCs w:val="18"/>
          <w:color w:val="auto"/>
        </w:rPr>
        <w:t>Address:</w:t>
      </w:r>
      <w:r>
        <w:rPr>
          <w:sz w:val="20"/>
          <w:szCs w:val="20"/>
          <w:color w:val="auto"/>
        </w:rPr>
        <w:tab/>
      </w:r>
      <w:r>
        <w:rPr>
          <w:rFonts w:ascii="Times New Roman" w:cs="Times New Roman" w:eastAsia="Times New Roman" w:hAnsi="Times New Roman"/>
          <w:sz w:val="18"/>
          <w:szCs w:val="18"/>
          <w:color w:val="0000FF"/>
        </w:rPr>
        <w:t>985 Industrial Road</w:t>
      </w:r>
    </w:p>
    <w:p>
      <w:pPr>
        <w:spacing w:after="0" w:line="62"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18"/>
          <w:szCs w:val="18"/>
          <w:color w:val="0000FF"/>
        </w:rPr>
        <w:t>San Carlos CALIFORNIA 94070</w:t>
      </w:r>
    </w:p>
    <w:p>
      <w:pPr>
        <w:spacing w:after="0" w:line="63" w:lineRule="exact"/>
        <w:rPr>
          <w:sz w:val="24"/>
          <w:szCs w:val="24"/>
          <w:color w:val="auto"/>
        </w:rPr>
      </w:pPr>
    </w:p>
    <w:p>
      <w:pPr>
        <w:ind w:left="2440"/>
        <w:spacing w:after="0"/>
        <w:tabs>
          <w:tab w:leader="none" w:pos="6460" w:val="left"/>
        </w:tabs>
        <w:rPr>
          <w:sz w:val="20"/>
          <w:szCs w:val="20"/>
          <w:color w:val="auto"/>
        </w:rPr>
      </w:pPr>
      <w:r>
        <w:rPr>
          <w:rFonts w:ascii="Arial" w:cs="Arial" w:eastAsia="Arial" w:hAnsi="Arial"/>
          <w:sz w:val="18"/>
          <w:szCs w:val="18"/>
          <w:color w:val="auto"/>
        </w:rPr>
        <w:t>Telephone number:</w:t>
      </w:r>
      <w:r>
        <w:rPr>
          <w:sz w:val="20"/>
          <w:szCs w:val="20"/>
          <w:color w:val="auto"/>
        </w:rPr>
        <w:tab/>
      </w:r>
      <w:r>
        <w:rPr>
          <w:rFonts w:ascii="Times New Roman" w:cs="Times New Roman" w:eastAsia="Times New Roman" w:hAnsi="Times New Roman"/>
          <w:sz w:val="16"/>
          <w:szCs w:val="16"/>
          <w:color w:val="0000FF"/>
        </w:rPr>
        <w:t>(650) 817-9012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48895</wp:posOffset>
            </wp:positionV>
            <wp:extent cx="55378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111" w:lineRule="exact"/>
        <w:rPr>
          <w:sz w:val="24"/>
          <w:szCs w:val="24"/>
          <w:color w:val="auto"/>
        </w:rPr>
      </w:pPr>
    </w:p>
    <w:p>
      <w:pPr>
        <w:ind w:left="660"/>
        <w:spacing w:after="0"/>
        <w:rPr>
          <w:sz w:val="20"/>
          <w:szCs w:val="20"/>
          <w:color w:val="auto"/>
        </w:rPr>
      </w:pPr>
      <w:r>
        <w:rPr>
          <w:rFonts w:ascii="Arial" w:cs="Arial" w:eastAsia="Arial" w:hAnsi="Arial"/>
          <w:sz w:val="12"/>
          <w:szCs w:val="12"/>
          <w:color w:val="auto"/>
        </w:rPr>
        <w:t>(Address, including zip code, and telephone number, including area code, of Issuer's principal executive offices)</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0000FF"/>
        </w:rPr>
        <w:t>Common stock and warrants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23495</wp:posOffset>
            </wp:positionV>
            <wp:extent cx="553783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70" w:lineRule="exact"/>
        <w:rPr>
          <w:sz w:val="24"/>
          <w:szCs w:val="24"/>
          <w:color w:val="auto"/>
        </w:rPr>
      </w:pPr>
    </w:p>
    <w:p>
      <w:pPr>
        <w:ind w:left="660"/>
        <w:spacing w:after="0"/>
        <w:rPr>
          <w:sz w:val="20"/>
          <w:szCs w:val="20"/>
          <w:color w:val="auto"/>
        </w:rPr>
      </w:pPr>
      <w:r>
        <w:rPr>
          <w:rFonts w:ascii="Arial" w:cs="Arial" w:eastAsia="Arial" w:hAnsi="Arial"/>
          <w:sz w:val="12"/>
          <w:szCs w:val="12"/>
          <w:color w:val="auto"/>
        </w:rPr>
        <w:t>(Description of class of securities)</w:t>
      </w:r>
    </w:p>
    <w:p>
      <w:pPr>
        <w:spacing w:after="0" w:line="93" w:lineRule="exact"/>
        <w:rPr>
          <w:sz w:val="24"/>
          <w:szCs w:val="24"/>
          <w:color w:val="auto"/>
        </w:rPr>
      </w:pPr>
    </w:p>
    <w:p>
      <w:pPr>
        <w:ind w:right="860"/>
        <w:spacing w:after="0" w:line="262" w:lineRule="auto"/>
        <w:rPr>
          <w:sz w:val="20"/>
          <w:szCs w:val="20"/>
          <w:color w:val="auto"/>
        </w:rPr>
      </w:pPr>
      <w:r>
        <w:rPr>
          <w:rFonts w:ascii="Arial" w:cs="Arial" w:eastAsia="Arial" w:hAnsi="Arial"/>
          <w:sz w:val="18"/>
          <w:szCs w:val="18"/>
          <w:color w:val="auto"/>
        </w:rPr>
        <w:t>Please place an X in the box to designate the rule provision relied upon to strike the class of securities from listing and registration:</w:t>
      </w:r>
    </w:p>
    <w:p>
      <w:pPr>
        <w:spacing w:after="0" w:line="20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17 CFR 240.12d2-2(a)(1)</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17 CFR 240.12d2-2(a)(2)</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76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1125" cy="111760"/>
                    </a:xfrm>
                    <a:prstGeom prst="rect">
                      <a:avLst/>
                    </a:prstGeom>
                    <a:noFill/>
                    <a:ln>
                      <a:noFill/>
                    </a:ln>
                  </pic:spPr>
                </pic:pic>
              </a:graphicData>
            </a:graphic>
          </wp:inline>
        </w:drawing>
      </w:r>
      <w:r>
        <w:rPr>
          <w:rFonts w:ascii="Arial" w:cs="Arial" w:eastAsia="Arial" w:hAnsi="Arial"/>
          <w:sz w:val="18"/>
          <w:szCs w:val="18"/>
          <w:color w:val="auto"/>
        </w:rPr>
        <w:t xml:space="preserve"> 17 CFR 240.12d2-2(a)(3)</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7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1125" cy="111760"/>
                    </a:xfrm>
                    <a:prstGeom prst="rect">
                      <a:avLst/>
                    </a:prstGeom>
                    <a:noFill/>
                    <a:ln>
                      <a:noFill/>
                    </a:ln>
                  </pic:spPr>
                </pic:pic>
              </a:graphicData>
            </a:graphic>
          </wp:inline>
        </w:drawing>
      </w:r>
      <w:r>
        <w:rPr>
          <w:rFonts w:ascii="Arial" w:cs="Arial" w:eastAsia="Arial" w:hAnsi="Arial"/>
          <w:sz w:val="18"/>
          <w:szCs w:val="18"/>
          <w:color w:val="auto"/>
        </w:rPr>
        <w:t xml:space="preserve"> 17 CFR 240.12d2-2(a)(4)</w:t>
      </w:r>
    </w:p>
    <w:p>
      <w:pPr>
        <w:spacing w:after="0" w:line="205" w:lineRule="exact"/>
        <w:rPr>
          <w:sz w:val="24"/>
          <w:szCs w:val="24"/>
          <w:color w:val="auto"/>
        </w:rPr>
      </w:pPr>
    </w:p>
    <w:p>
      <w:pPr>
        <w:ind w:left="780" w:right="1360" w:firstLine="54"/>
        <w:spacing w:after="0" w:line="275" w:lineRule="auto"/>
        <w:rPr>
          <w:sz w:val="20"/>
          <w:szCs w:val="20"/>
          <w:color w:val="auto"/>
        </w:rPr>
      </w:pPr>
      <w:r>
        <w:rPr>
          <w:sz w:val="1"/>
          <w:szCs w:val="1"/>
          <w:color w:val="auto"/>
        </w:rPr>
        <w:drawing>
          <wp:inline distT="0" distB="0" distL="0" distR="0">
            <wp:extent cx="111125" cy="1111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Pursuant to 17 CFR 240.12d2-2(b), the Exchange has complied with its rules to strike the class of securities from listing and/or withdraw registration on the Exchange. </w:t>
      </w:r>
      <w:r>
        <w:rPr>
          <w:rFonts w:ascii="Arial" w:cs="Arial" w:eastAsia="Arial" w:hAnsi="Arial"/>
          <w:sz w:val="29"/>
          <w:szCs w:val="29"/>
          <w:u w:val="single" w:color="auto"/>
          <w:color w:val="0000EE"/>
          <w:vertAlign w:val="superscript"/>
        </w:rPr>
        <w:t>1</w:t>
      </w:r>
    </w:p>
    <w:p>
      <w:pPr>
        <w:spacing w:after="0" w:line="36" w:lineRule="exact"/>
        <w:rPr>
          <w:sz w:val="24"/>
          <w:szCs w:val="24"/>
          <w:color w:val="auto"/>
        </w:rPr>
      </w:pPr>
    </w:p>
    <w:p>
      <w:pPr>
        <w:jc w:val="both"/>
        <w:ind w:left="780" w:right="1260" w:firstLine="54"/>
        <w:spacing w:after="0" w:line="245" w:lineRule="auto"/>
        <w:rPr>
          <w:sz w:val="20"/>
          <w:szCs w:val="20"/>
          <w:color w:val="auto"/>
        </w:rPr>
      </w:pPr>
      <w:r>
        <w:rPr>
          <w:sz w:val="1"/>
          <w:szCs w:val="1"/>
          <w:color w:val="auto"/>
        </w:rPr>
        <w:drawing>
          <wp:inline distT="0" distB="0" distL="0" distR="0">
            <wp:extent cx="111125" cy="11112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Pursuant to 17 CFR 240.12d2-2(c), the Issuer has complied with its rules of the Exchange and the requirements of 17 CFR 240.12d-2(c) governing the voluntary withdrawal of the class of securities from listing and registration on the Exchange.</w:t>
      </w:r>
    </w:p>
    <w:p>
      <w:pPr>
        <w:spacing w:after="0" w:line="169" w:lineRule="exact"/>
        <w:rPr>
          <w:sz w:val="24"/>
          <w:szCs w:val="24"/>
          <w:color w:val="auto"/>
        </w:rPr>
      </w:pPr>
    </w:p>
    <w:p>
      <w:pPr>
        <w:ind w:right="160"/>
        <w:spacing w:after="0" w:line="256" w:lineRule="auto"/>
        <w:rPr>
          <w:sz w:val="20"/>
          <w:szCs w:val="20"/>
          <w:color w:val="auto"/>
        </w:rPr>
      </w:pPr>
      <w:r>
        <w:rPr>
          <w:rFonts w:ascii="Arial" w:cs="Arial" w:eastAsia="Arial" w:hAnsi="Arial"/>
          <w:sz w:val="18"/>
          <w:szCs w:val="18"/>
          <w:color w:val="auto"/>
        </w:rPr>
        <w:t xml:space="preserve">Pursuant to the requirements fo the Securities Exchange Act of 1934, </w:t>
      </w:r>
      <w:r>
        <w:rPr>
          <w:rFonts w:ascii="Times New Roman" w:cs="Times New Roman" w:eastAsia="Times New Roman" w:hAnsi="Times New Roman"/>
          <w:sz w:val="18"/>
          <w:szCs w:val="18"/>
          <w:color w:val="0000FF"/>
        </w:rPr>
        <w:t>Nasdaq Stock Market LLC</w:t>
      </w:r>
      <w:r>
        <w:rPr>
          <w:rFonts w:ascii="Arial" w:cs="Arial" w:eastAsia="Arial" w:hAnsi="Arial"/>
          <w:sz w:val="18"/>
          <w:szCs w:val="18"/>
          <w:color w:val="auto"/>
        </w:rPr>
        <w:t xml:space="preserve"> certifies that it has reasonable grounds to believe that it meets all of the requirements for filing the Form 25 and has caused this notification to be signed on its behalf by the undersigned duly authorized person.</w:t>
      </w:r>
    </w:p>
    <w:p>
      <w:pPr>
        <w:spacing w:after="0" w:line="52" w:lineRule="exact"/>
        <w:rPr>
          <w:sz w:val="24"/>
          <w:szCs w:val="24"/>
          <w:color w:val="auto"/>
        </w:rPr>
      </w:pPr>
    </w:p>
    <w:tbl>
      <w:tblPr>
        <w:tblLayout w:type="fixed"/>
        <w:tblInd w:w="640" w:type="dxa"/>
        <w:tblCellMar>
          <w:top w:w="0" w:type="dxa"/>
          <w:left w:w="0" w:type="dxa"/>
          <w:bottom w:w="0" w:type="dxa"/>
          <w:right w:w="0" w:type="dxa"/>
        </w:tblCellMar>
      </w:tblPr>
      <w:tr>
        <w:trPr>
          <w:trHeight w:val="244"/>
        </w:trPr>
        <w:tc>
          <w:tcPr>
            <w:tcW w:w="206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0000FF"/>
              </w:rPr>
              <w:t>2024-09-06</w:t>
            </w:r>
          </w:p>
        </w:tc>
        <w:tc>
          <w:tcPr>
            <w:tcW w:w="1740" w:type="dxa"/>
            <w:vAlign w:val="bottom"/>
            <w:gridSpan w:val="2"/>
          </w:tcPr>
          <w:p>
            <w:pPr>
              <w:ind w:left="40"/>
              <w:spacing w:after="0"/>
              <w:rPr>
                <w:sz w:val="20"/>
                <w:szCs w:val="20"/>
                <w:color w:val="auto"/>
              </w:rPr>
            </w:pPr>
            <w:r>
              <w:rPr>
                <w:rFonts w:ascii="Arial" w:cs="Arial" w:eastAsia="Arial" w:hAnsi="Arial"/>
                <w:sz w:val="18"/>
                <w:szCs w:val="18"/>
                <w:color w:val="auto"/>
              </w:rPr>
              <w:t>By</w:t>
            </w:r>
          </w:p>
        </w:tc>
        <w:tc>
          <w:tcPr>
            <w:tcW w:w="2600" w:type="dxa"/>
            <w:vAlign w:val="bottom"/>
          </w:tcPr>
          <w:p>
            <w:pPr>
              <w:ind w:left="340"/>
              <w:spacing w:after="0"/>
              <w:rPr>
                <w:sz w:val="20"/>
                <w:szCs w:val="20"/>
                <w:color w:val="auto"/>
              </w:rPr>
            </w:pPr>
            <w:r>
              <w:rPr>
                <w:rFonts w:ascii="Times New Roman" w:cs="Times New Roman" w:eastAsia="Times New Roman" w:hAnsi="Times New Roman"/>
                <w:sz w:val="18"/>
                <w:szCs w:val="18"/>
                <w:color w:val="0000FF"/>
              </w:rPr>
              <w:t>Aravind Menon</w:t>
            </w:r>
          </w:p>
        </w:tc>
        <w:tc>
          <w:tcPr>
            <w:tcW w:w="260" w:type="dxa"/>
            <w:vAlign w:val="bottom"/>
          </w:tcPr>
          <w:p>
            <w:pPr>
              <w:spacing w:after="0"/>
              <w:rPr>
                <w:sz w:val="21"/>
                <w:szCs w:val="21"/>
                <w:color w:val="auto"/>
              </w:rPr>
            </w:pPr>
          </w:p>
        </w:tc>
        <w:tc>
          <w:tcPr>
            <w:tcW w:w="2080" w:type="dxa"/>
            <w:vAlign w:val="bottom"/>
          </w:tcPr>
          <w:p>
            <w:pPr>
              <w:ind w:left="420"/>
              <w:spacing w:after="0"/>
              <w:rPr>
                <w:sz w:val="20"/>
                <w:szCs w:val="20"/>
                <w:color w:val="auto"/>
              </w:rPr>
            </w:pPr>
            <w:r>
              <w:rPr>
                <w:rFonts w:ascii="Times New Roman" w:cs="Times New Roman" w:eastAsia="Times New Roman" w:hAnsi="Times New Roman"/>
                <w:sz w:val="18"/>
                <w:szCs w:val="18"/>
                <w:color w:val="0000FF"/>
              </w:rPr>
              <w:t>Hearings Advisor</w:t>
            </w:r>
          </w:p>
        </w:tc>
      </w:tr>
      <w:tr>
        <w:trPr>
          <w:trHeight w:val="252"/>
        </w:trPr>
        <w:tc>
          <w:tcPr>
            <w:tcW w:w="2060" w:type="dxa"/>
            <w:vAlign w:val="bottom"/>
            <w:tcBorders>
              <w:top w:val="single" w:sz="8" w:color="auto"/>
            </w:tcBorders>
          </w:tcPr>
          <w:p>
            <w:pPr>
              <w:jc w:val="right"/>
              <w:ind w:right="1572"/>
              <w:spacing w:after="0"/>
              <w:rPr>
                <w:sz w:val="20"/>
                <w:szCs w:val="20"/>
                <w:color w:val="auto"/>
              </w:rPr>
            </w:pPr>
            <w:r>
              <w:rPr>
                <w:rFonts w:ascii="Arial" w:cs="Arial" w:eastAsia="Arial" w:hAnsi="Arial"/>
                <w:sz w:val="18"/>
                <w:szCs w:val="18"/>
                <w:color w:val="auto"/>
                <w:w w:val="99"/>
              </w:rPr>
              <w:t>Date</w:t>
            </w:r>
          </w:p>
        </w:tc>
        <w:tc>
          <w:tcPr>
            <w:tcW w:w="940" w:type="dxa"/>
            <w:vAlign w:val="bottom"/>
          </w:tcPr>
          <w:p>
            <w:pPr>
              <w:spacing w:after="0"/>
              <w:rPr>
                <w:sz w:val="21"/>
                <w:szCs w:val="21"/>
                <w:color w:val="auto"/>
              </w:rPr>
            </w:pPr>
          </w:p>
        </w:tc>
        <w:tc>
          <w:tcPr>
            <w:tcW w:w="8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260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20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Title</w:t>
            </w:r>
          </w:p>
        </w:tc>
      </w:tr>
    </w:tbl>
    <w:p>
      <w:pPr>
        <w:spacing w:after="0" w:line="107" w:lineRule="exact"/>
        <w:rPr>
          <w:sz w:val="24"/>
          <w:szCs w:val="24"/>
          <w:color w:val="auto"/>
        </w:rPr>
      </w:pPr>
    </w:p>
    <w:p>
      <w:pPr>
        <w:ind w:left="1260" w:right="700" w:hanging="597"/>
        <w:spacing w:after="0" w:line="261" w:lineRule="auto"/>
        <w:tabs>
          <w:tab w:leader="none" w:pos="126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Form 25 and attached Notice will be considered compliance with the provisions of 17 CFR 240.19d-1 as applicable. </w:t>
      </w:r>
      <w:r>
        <w:rPr>
          <w:rFonts w:ascii="Arial" w:cs="Arial" w:eastAsia="Arial" w:hAnsi="Arial"/>
          <w:sz w:val="18"/>
          <w:szCs w:val="18"/>
          <w:u w:val="single" w:color="auto"/>
          <w:color w:val="0000EE"/>
        </w:rPr>
        <w:t>See</w:t>
      </w:r>
      <w:r>
        <w:rPr>
          <w:rFonts w:ascii="Arial" w:cs="Arial" w:eastAsia="Arial" w:hAnsi="Arial"/>
          <w:sz w:val="18"/>
          <w:szCs w:val="18"/>
          <w:color w:val="auto"/>
        </w:rPr>
        <w:t xml:space="preserve"> General Instructions.</w:t>
      </w:r>
    </w:p>
    <w:p>
      <w:pPr>
        <w:spacing w:after="0" w:line="47" w:lineRule="exact"/>
        <w:rPr>
          <w:sz w:val="24"/>
          <w:szCs w:val="24"/>
          <w:color w:val="auto"/>
        </w:rPr>
      </w:pPr>
    </w:p>
    <w:p>
      <w:pPr>
        <w:spacing w:after="0"/>
        <w:rPr>
          <w:sz w:val="20"/>
          <w:szCs w:val="20"/>
          <w:color w:val="auto"/>
        </w:rPr>
      </w:pPr>
      <w:r>
        <w:rPr>
          <w:rFonts w:ascii="Arial" w:cs="Arial" w:eastAsia="Arial" w:hAnsi="Arial"/>
          <w:sz w:val="12"/>
          <w:szCs w:val="12"/>
          <w:color w:val="auto"/>
        </w:rPr>
        <w:t>Persons who respond to the collection of information contained in this form are not required to respond unless the form displays a currently valid OMB Number.</w:t>
      </w:r>
    </w:p>
    <w:p>
      <w:pPr>
        <w:sectPr>
          <w:pgSz w:w="11900" w:h="16838" w:orient="portrait"/>
          <w:cols w:equalWidth="0" w:num="1">
            <w:col w:w="10020"/>
          </w:cols>
          <w:pgMar w:left="920" w:top="268" w:right="9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Delisting Determination, The Nasdaq Stock Market, LLC, September 6, 2024.</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Presto Automation, Inc.</w:t>
      </w:r>
    </w:p>
    <w:p>
      <w:pPr>
        <w:ind w:right="3079"/>
        <w:spacing w:after="0" w:line="268" w:lineRule="auto"/>
        <w:rPr>
          <w:sz w:val="20"/>
          <w:szCs w:val="20"/>
          <w:color w:val="auto"/>
        </w:rPr>
      </w:pPr>
      <w:r>
        <w:rPr>
          <w:rFonts w:ascii="Courier New" w:cs="Courier New" w:eastAsia="Courier New" w:hAnsi="Courier New"/>
          <w:sz w:val="16"/>
          <w:szCs w:val="16"/>
          <w:color w:val="auto"/>
        </w:rPr>
        <w:t>The Nasdaq Stock Market LLC (the Exchange) has determined to remove from listing the securities of Presto Automation, Inc., effective at the opening of the trading session on September 16, 2024.</w:t>
      </w:r>
    </w:p>
    <w:p>
      <w:pPr>
        <w:ind w:right="2979"/>
        <w:spacing w:after="0" w:line="238" w:lineRule="auto"/>
        <w:rPr>
          <w:sz w:val="20"/>
          <w:szCs w:val="20"/>
          <w:color w:val="auto"/>
        </w:rPr>
      </w:pPr>
      <w:r>
        <w:rPr>
          <w:rFonts w:ascii="Courier New" w:cs="Courier New" w:eastAsia="Courier New" w:hAnsi="Courier New"/>
          <w:sz w:val="18"/>
          <w:szCs w:val="18"/>
          <w:color w:val="auto"/>
        </w:rPr>
        <w:t>Based on review of information provided by the Company, Nasdaq Staff determined that the Company no longer qualified for listing on the Exchange pursuant to Listing Rules 5450(a)(1) and 5455(a).</w:t>
      </w:r>
    </w:p>
    <w:p>
      <w:pPr>
        <w:spacing w:after="0" w:line="1" w:lineRule="exact"/>
        <w:rPr>
          <w:sz w:val="20"/>
          <w:szCs w:val="20"/>
          <w:color w:val="auto"/>
        </w:rPr>
      </w:pPr>
    </w:p>
    <w:p>
      <w:pPr>
        <w:ind w:right="2859"/>
        <w:spacing w:after="0" w:line="238" w:lineRule="auto"/>
        <w:rPr>
          <w:sz w:val="20"/>
          <w:szCs w:val="20"/>
          <w:color w:val="auto"/>
        </w:rPr>
      </w:pPr>
      <w:r>
        <w:rPr>
          <w:rFonts w:ascii="Courier New" w:cs="Courier New" w:eastAsia="Courier New" w:hAnsi="Courier New"/>
          <w:sz w:val="18"/>
          <w:szCs w:val="18"/>
          <w:color w:val="auto"/>
        </w:rPr>
        <w:t>The Company was notified of the Staff determination on June 27, 2024. On July 5, 2024, the Company exercised its right to appeal the Staff determination to the Listing Qualifications Hearings Panel (Panel) pursuant to Listing Rule 5815.</w:t>
      </w:r>
    </w:p>
    <w:p>
      <w:pPr>
        <w:spacing w:after="0" w:line="1" w:lineRule="exact"/>
        <w:rPr>
          <w:sz w:val="20"/>
          <w:szCs w:val="20"/>
          <w:color w:val="auto"/>
        </w:rPr>
      </w:pPr>
    </w:p>
    <w:p>
      <w:pPr>
        <w:ind w:right="3819"/>
        <w:spacing w:after="0" w:line="268" w:lineRule="auto"/>
        <w:rPr>
          <w:sz w:val="20"/>
          <w:szCs w:val="20"/>
          <w:color w:val="auto"/>
        </w:rPr>
      </w:pPr>
      <w:r>
        <w:rPr>
          <w:rFonts w:ascii="Courier New" w:cs="Courier New" w:eastAsia="Courier New" w:hAnsi="Courier New"/>
          <w:sz w:val="16"/>
          <w:szCs w:val="16"/>
          <w:color w:val="auto"/>
        </w:rPr>
        <w:t>On August 6, 2024, the Company received an additional delist determination pursuant to Listing Rule 5450(b)(2)(A).</w:t>
      </w:r>
    </w:p>
    <w:p>
      <w:pPr>
        <w:ind w:right="3179"/>
        <w:spacing w:after="0" w:line="323" w:lineRule="auto"/>
        <w:rPr>
          <w:sz w:val="20"/>
          <w:szCs w:val="20"/>
          <w:color w:val="auto"/>
        </w:rPr>
      </w:pPr>
      <w:r>
        <w:rPr>
          <w:rFonts w:ascii="Courier New" w:cs="Courier New" w:eastAsia="Courier New" w:hAnsi="Courier New"/>
          <w:sz w:val="16"/>
          <w:szCs w:val="16"/>
          <w:color w:val="auto"/>
        </w:rPr>
        <w:t>On August 6, 2024, the Company withdrew its appeal. The Company securities were suspended on June 8, 2024. The Staff determination to delist the Company securities became final on June 8, 2024.</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0" Type="http://schemas.openxmlformats.org/officeDocument/2006/relationships/hyperlink" Target="http://www.sec.gov/cgi-bin/browse-edgar?action=getcompany&amp;CIK=001-39830" TargetMode="External"/><Relationship Id="rId11" Type="http://schemas.openxmlformats.org/officeDocument/2006/relationships/hyperlink" Target="http://www.sec.gov/cgi-bin/browse-edgar?action=getcompany&amp;CIK=00018221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2024-09-06T06:45:28Z</dcterms:created>
  <dcterms:modified xsi:type="dcterms:W3CDTF">2024-09-06T06:45:28Z</dcterms:modified>
</cp:coreProperties>
</file>