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24765</wp:posOffset>
            </wp:positionV>
            <wp:extent cx="6972300" cy="1691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91640"/>
                    </a:xfrm>
                    <a:prstGeom prst="rect">
                      <a:avLst/>
                    </a:prstGeom>
                    <a:noFill/>
                  </pic:spPr>
                </pic:pic>
              </a:graphicData>
            </a:graphic>
          </wp:anchor>
        </w:drawing>
      </w:r>
    </w:p>
    <w:p>
      <w:pPr>
        <w:spacing w:after="0" w:line="81" w:lineRule="exact"/>
        <w:rPr>
          <w:sz w:val="24"/>
          <w:szCs w:val="24"/>
          <w:color w:val="auto"/>
        </w:rPr>
      </w:pPr>
    </w:p>
    <w:p>
      <w:pPr>
        <w:sectPr>
          <w:pgSz w:w="11900" w:h="16838" w:orient="portrait"/>
          <w:cols w:equalWidth="0" w:num="2">
            <w:col w:w="2180" w:space="460"/>
            <w:col w:w="8440"/>
          </w:cols>
          <w:pgMar w:left="460" w:top="218" w:right="35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Chardan International Investments, LLC</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right="580"/>
        <w:spacing w:after="0" w:line="395" w:lineRule="auto"/>
        <w:rPr>
          <w:sz w:val="20"/>
          <w:szCs w:val="20"/>
          <w:color w:val="auto"/>
        </w:rPr>
      </w:pPr>
      <w:r>
        <w:rPr>
          <w:rFonts w:ascii="Arial" w:cs="Arial" w:eastAsia="Arial" w:hAnsi="Arial"/>
          <w:sz w:val="15"/>
          <w:szCs w:val="15"/>
          <w:color w:val="0000FF"/>
        </w:rPr>
        <w:t>C/O VENTOUX CCM ACQUISITION CORP. 1 EAST PUTNAM AVENUE, FLOOR 4</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6"/>
                <w:szCs w:val="16"/>
                <w:color w:val="0000FF"/>
              </w:rPr>
              <w:t>GREENWICH</w:t>
            </w:r>
          </w:p>
        </w:tc>
        <w:tc>
          <w:tcPr>
            <w:tcW w:w="920" w:type="dxa"/>
            <w:vAlign w:val="bottom"/>
          </w:tcPr>
          <w:p>
            <w:pPr>
              <w:ind w:left="120"/>
              <w:spacing w:after="0"/>
              <w:rPr>
                <w:sz w:val="20"/>
                <w:szCs w:val="20"/>
                <w:color w:val="auto"/>
              </w:rPr>
            </w:pPr>
            <w:r>
              <w:rPr>
                <w:rFonts w:ascii="Arial" w:cs="Arial" w:eastAsia="Arial" w:hAnsi="Arial"/>
                <w:sz w:val="16"/>
                <w:szCs w:val="16"/>
                <w:color w:val="0000FF"/>
              </w:rPr>
              <w:t>CT</w:t>
            </w:r>
          </w:p>
        </w:tc>
        <w:tc>
          <w:tcPr>
            <w:tcW w:w="1620" w:type="dxa"/>
            <w:vAlign w:val="bottom"/>
          </w:tcPr>
          <w:p>
            <w:pPr>
              <w:ind w:left="420"/>
              <w:spacing w:after="0"/>
              <w:rPr>
                <w:sz w:val="20"/>
                <w:szCs w:val="20"/>
                <w:color w:val="auto"/>
              </w:rPr>
            </w:pPr>
            <w:r>
              <w:rPr>
                <w:rFonts w:ascii="Arial" w:cs="Arial" w:eastAsia="Arial" w:hAnsi="Arial"/>
                <w:sz w:val="16"/>
                <w:szCs w:val="16"/>
                <w:color w:val="0000FF"/>
              </w:rPr>
              <w:t>06830</w:t>
            </w:r>
          </w:p>
        </w:tc>
      </w:tr>
      <w:tr>
        <w:trPr>
          <w:trHeight w:val="145"/>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4"/>
        </w:trPr>
        <w:tc>
          <w:tcPr>
            <w:tcW w:w="3820" w:type="dxa"/>
            <w:vAlign w:val="bottom"/>
            <w:gridSpan w:val="2"/>
          </w:tcPr>
          <w:p>
            <w:pPr>
              <w:ind w:left="60"/>
              <w:spacing w:after="0" w:line="134"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Ventoux CCM Acquisition Corp.</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VTAQU</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1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620" w:type="dxa"/>
            <w:vAlign w:val="bottom"/>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57"/>
        </w:trPr>
        <w:tc>
          <w:tcPr>
            <w:tcW w:w="180" w:type="dxa"/>
            <w:vAlign w:val="bottom"/>
            <w:tcBorders>
              <w:bottom w:val="single" w:sz="8" w:color="2C2C2C"/>
            </w:tcBorders>
          </w:tcPr>
          <w:p>
            <w:pPr>
              <w:spacing w:after="0"/>
              <w:rPr>
                <w:sz w:val="13"/>
                <w:szCs w:val="13"/>
                <w:color w:val="auto"/>
              </w:rPr>
            </w:pPr>
          </w:p>
        </w:tc>
        <w:tc>
          <w:tcPr>
            <w:tcW w:w="36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ind w:left="400"/>
              <w:spacing w:after="0" w:line="145"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9"/>
        </w:trPr>
        <w:tc>
          <w:tcPr>
            <w:tcW w:w="180" w:type="dxa"/>
            <w:vAlign w:val="bottom"/>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below)</w:t>
            </w:r>
          </w:p>
        </w:tc>
        <w:tc>
          <w:tcPr>
            <w:tcW w:w="1620" w:type="dxa"/>
            <w:vAlign w:val="bottom"/>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7"/>
        </w:trPr>
        <w:tc>
          <w:tcPr>
            <w:tcW w:w="3820" w:type="dxa"/>
            <w:vAlign w:val="bottom"/>
            <w:gridSpan w:val="2"/>
          </w:tcPr>
          <w:p>
            <w:pPr>
              <w:ind w:left="60"/>
              <w:spacing w:after="0"/>
              <w:rPr>
                <w:sz w:val="20"/>
                <w:szCs w:val="20"/>
                <w:color w:val="auto"/>
              </w:rPr>
            </w:pPr>
            <w:r>
              <w:rPr>
                <w:rFonts w:ascii="Arial" w:cs="Arial" w:eastAsia="Arial" w:hAnsi="Arial"/>
                <w:sz w:val="16"/>
                <w:szCs w:val="16"/>
                <w:color w:val="0000FF"/>
              </w:rPr>
              <w:t>12/30/2020</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100"/>
        <w:spacing w:after="0" w:line="217"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293370</wp:posOffset>
            </wp:positionV>
            <wp:extent cx="6972300" cy="849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849630"/>
                    </a:xfrm>
                    <a:prstGeom prst="rect">
                      <a:avLst/>
                    </a:prstGeom>
                    <a:noFill/>
                  </pic:spPr>
                </pic:pic>
              </a:graphicData>
            </a:graphic>
          </wp:anchor>
        </w:drawing>
      </w:r>
    </w:p>
    <w:p>
      <w:pPr>
        <w:spacing w:after="0" w:line="520"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035800" cy="1802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180276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660" w:type="dxa"/>
            <w:vAlign w:val="bottom"/>
          </w:tcPr>
          <w:p>
            <w:pPr>
              <w:ind w:left="60"/>
              <w:spacing w:after="0"/>
              <w:rPr>
                <w:sz w:val="20"/>
                <w:szCs w:val="20"/>
                <w:color w:val="auto"/>
              </w:rPr>
            </w:pPr>
            <w:r>
              <w:rPr>
                <w:rFonts w:ascii="Arial" w:cs="Arial" w:eastAsia="Arial" w:hAnsi="Arial"/>
                <w:sz w:val="13"/>
                <w:szCs w:val="13"/>
                <w:color w:val="0000FF"/>
              </w:rPr>
              <w:t>Warrants</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to</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right"/>
              <w:ind w:right="225"/>
              <w:spacing w:after="0"/>
              <w:rPr>
                <w:sz w:val="20"/>
                <w:szCs w:val="20"/>
                <w:color w:val="auto"/>
              </w:rPr>
            </w:pPr>
            <w:r>
              <w:rPr>
                <w:rFonts w:ascii="Arial" w:cs="Arial" w:eastAsia="Arial" w:hAnsi="Arial"/>
                <w:sz w:val="10"/>
                <w:szCs w:val="10"/>
                <w:color w:val="008000"/>
              </w:rPr>
              <w:t>(2)</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80" w:type="dxa"/>
            <w:vAlign w:val="bottom"/>
            <w:vMerge w:val="restart"/>
          </w:tcPr>
          <w:p>
            <w:pPr>
              <w:ind w:left="80"/>
              <w:spacing w:after="0"/>
              <w:rPr>
                <w:sz w:val="20"/>
                <w:szCs w:val="20"/>
                <w:color w:val="auto"/>
              </w:rPr>
            </w:pPr>
            <w:r>
              <w:rPr>
                <w:rFonts w:ascii="Arial" w:cs="Arial" w:eastAsia="Arial" w:hAnsi="Arial"/>
                <w:sz w:val="16"/>
                <w:szCs w:val="16"/>
                <w:color w:val="0000FF"/>
                <w:w w:val="95"/>
              </w:rPr>
              <w:t>2,000,000</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60" w:type="dxa"/>
            <w:vAlign w:val="bottom"/>
          </w:tcPr>
          <w:p>
            <w:pPr>
              <w:ind w:left="60"/>
              <w:spacing w:after="0" w:line="121" w:lineRule="exact"/>
              <w:rPr>
                <w:sz w:val="20"/>
                <w:szCs w:val="20"/>
                <w:color w:val="auto"/>
              </w:rPr>
            </w:pPr>
            <w:r>
              <w:rPr>
                <w:rFonts w:ascii="Arial" w:cs="Arial" w:eastAsia="Arial" w:hAnsi="Arial"/>
                <w:sz w:val="13"/>
                <w:szCs w:val="13"/>
                <w:color w:val="0000FF"/>
              </w:rPr>
              <w:t>purchase</w:t>
            </w:r>
          </w:p>
        </w:tc>
        <w:tc>
          <w:tcPr>
            <w:tcW w:w="760" w:type="dxa"/>
            <w:vAlign w:val="bottom"/>
          </w:tcPr>
          <w:p>
            <w:pPr>
              <w:ind w:left="24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11.5</w:t>
            </w:r>
          </w:p>
        </w:tc>
        <w:tc>
          <w:tcPr>
            <w:tcW w:w="1040" w:type="dxa"/>
            <w:vAlign w:val="bottom"/>
          </w:tcPr>
          <w:p>
            <w:pPr>
              <w:jc w:val="right"/>
              <w:ind w:right="182"/>
              <w:spacing w:after="0" w:line="121" w:lineRule="exact"/>
              <w:rPr>
                <w:sz w:val="20"/>
                <w:szCs w:val="20"/>
                <w:color w:val="auto"/>
              </w:rPr>
            </w:pPr>
            <w:r>
              <w:rPr>
                <w:rFonts w:ascii="Arial" w:cs="Arial" w:eastAsia="Arial" w:hAnsi="Arial"/>
                <w:sz w:val="13"/>
                <w:szCs w:val="13"/>
                <w:color w:val="0000FF"/>
              </w:rPr>
              <w:t>12/30/2020</w:t>
            </w:r>
          </w:p>
        </w:tc>
        <w:tc>
          <w:tcPr>
            <w:tcW w:w="1060" w:type="dxa"/>
            <w:vAlign w:val="bottom"/>
          </w:tcPr>
          <w:p>
            <w:pPr>
              <w:spacing w:after="0"/>
              <w:rPr>
                <w:sz w:val="10"/>
                <w:szCs w:val="10"/>
                <w:color w:val="auto"/>
              </w:rPr>
            </w:pPr>
          </w:p>
        </w:tc>
        <w:tc>
          <w:tcPr>
            <w:tcW w:w="780" w:type="dxa"/>
            <w:vAlign w:val="bottom"/>
          </w:tcPr>
          <w:p>
            <w:pPr>
              <w:ind w:left="180"/>
              <w:spacing w:after="0" w:line="121" w:lineRule="exact"/>
              <w:rPr>
                <w:sz w:val="20"/>
                <w:szCs w:val="20"/>
                <w:color w:val="auto"/>
              </w:rPr>
            </w:pPr>
            <w:r>
              <w:rPr>
                <w:rFonts w:ascii="Arial" w:cs="Arial" w:eastAsia="Arial" w:hAnsi="Arial"/>
                <w:sz w:val="13"/>
                <w:szCs w:val="13"/>
                <w:color w:val="0000FF"/>
              </w:rPr>
              <w:t>P</w:t>
            </w:r>
          </w:p>
        </w:tc>
        <w:tc>
          <w:tcPr>
            <w:tcW w:w="660" w:type="dxa"/>
            <w:vAlign w:val="bottom"/>
          </w:tcPr>
          <w:p>
            <w:pPr>
              <w:ind w:left="60"/>
              <w:spacing w:after="0" w:line="121" w:lineRule="exact"/>
              <w:rPr>
                <w:sz w:val="20"/>
                <w:szCs w:val="20"/>
                <w:color w:val="auto"/>
              </w:rPr>
            </w:pPr>
            <w:r>
              <w:rPr>
                <w:rFonts w:ascii="Arial" w:cs="Arial" w:eastAsia="Arial" w:hAnsi="Arial"/>
                <w:sz w:val="13"/>
                <w:szCs w:val="13"/>
                <w:color w:val="0000FF"/>
              </w:rPr>
              <w:t>2,000,000</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tcPr>
          <w:p>
            <w:pPr>
              <w:ind w:left="28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w:t>
            </w:r>
          </w:p>
        </w:tc>
        <w:tc>
          <w:tcPr>
            <w:tcW w:w="900" w:type="dxa"/>
            <w:vAlign w:val="bottom"/>
          </w:tcPr>
          <w:p>
            <w:pPr>
              <w:ind w:left="200"/>
              <w:spacing w:after="0" w:line="121" w:lineRule="exact"/>
              <w:rPr>
                <w:sz w:val="20"/>
                <w:szCs w:val="20"/>
                <w:color w:val="auto"/>
              </w:rPr>
            </w:pPr>
            <w:r>
              <w:rPr>
                <w:rFonts w:ascii="Arial" w:cs="Arial" w:eastAsia="Arial" w:hAnsi="Arial"/>
                <w:sz w:val="13"/>
                <w:szCs w:val="13"/>
                <w:color w:val="0000FF"/>
              </w:rPr>
              <w:t>2,000,000</w:t>
            </w:r>
          </w:p>
        </w:tc>
        <w:tc>
          <w:tcPr>
            <w:tcW w:w="720" w:type="dxa"/>
            <w:vAlign w:val="bottom"/>
          </w:tcPr>
          <w:p>
            <w:pPr>
              <w:ind w:left="320"/>
              <w:spacing w:after="0" w:line="12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160"/>
              <w:spacing w:after="0" w:line="138"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Stock</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60" w:hanging="122"/>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warrants become exercisable on the later of (i) twelve (12) months from the closing of the registrant's initial public offering or (ii) the consummation of the registrant's initial business combination.</w:t>
      </w:r>
    </w:p>
    <w:p>
      <w:pPr>
        <w:spacing w:after="0" w:line="61" w:lineRule="exact"/>
        <w:rPr>
          <w:rFonts w:ascii="Arial" w:cs="Arial" w:eastAsia="Arial" w:hAnsi="Arial"/>
          <w:sz w:val="11"/>
          <w:szCs w:val="11"/>
          <w:color w:val="008000"/>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warrants purchased by Chardan International Investments, LLC will not be exercisable more than five (5) years from the effective date of the registrant's registration statement.</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gridSpan w:val="3"/>
          </w:tcPr>
          <w:p>
            <w:pPr>
              <w:spacing w:after="0"/>
              <w:rPr>
                <w:sz w:val="20"/>
                <w:szCs w:val="20"/>
                <w:color w:val="auto"/>
              </w:rPr>
            </w:pPr>
            <w:r>
              <w:rPr>
                <w:rFonts w:ascii="Arial" w:cs="Arial" w:eastAsia="Arial" w:hAnsi="Arial"/>
                <w:sz w:val="16"/>
                <w:szCs w:val="16"/>
                <w:color w:val="0000FF"/>
                <w:w w:val="93"/>
              </w:rPr>
              <w:t>/s/ Jonas Grossman, Managing</w:t>
            </w:r>
          </w:p>
        </w:tc>
        <w:tc>
          <w:tcPr>
            <w:tcW w:w="860" w:type="dxa"/>
            <w:vAlign w:val="bottom"/>
            <w:gridSpan w:val="2"/>
            <w:vMerge w:val="restart"/>
          </w:tcPr>
          <w:p>
            <w:pPr>
              <w:ind w:left="120"/>
              <w:spacing w:after="0"/>
              <w:rPr>
                <w:sz w:val="20"/>
                <w:szCs w:val="20"/>
                <w:color w:val="auto"/>
              </w:rPr>
            </w:pPr>
            <w:r>
              <w:rPr>
                <w:rFonts w:ascii="Arial" w:cs="Arial" w:eastAsia="Arial" w:hAnsi="Arial"/>
                <w:sz w:val="16"/>
                <w:szCs w:val="16"/>
                <w:color w:val="0000FF"/>
                <w:w w:val="89"/>
              </w:rPr>
              <w:t>12/30/2020</w:t>
            </w:r>
          </w:p>
        </w:tc>
        <w:tc>
          <w:tcPr>
            <w:tcW w:w="0" w:type="dxa"/>
            <w:vAlign w:val="bottom"/>
          </w:tcPr>
          <w:p>
            <w:pPr>
              <w:spacing w:after="0"/>
              <w:rPr>
                <w:sz w:val="1"/>
                <w:szCs w:val="1"/>
                <w:color w:val="auto"/>
              </w:rPr>
            </w:pPr>
          </w:p>
        </w:tc>
      </w:tr>
      <w:tr>
        <w:trPr>
          <w:trHeight w:val="80"/>
        </w:trPr>
        <w:tc>
          <w:tcPr>
            <w:tcW w:w="1980" w:type="dxa"/>
            <w:vAlign w:val="bottom"/>
            <w:tcBorders>
              <w:top w:val="single" w:sz="8" w:color="auto"/>
            </w:tcBorders>
            <w:gridSpan w:val="2"/>
            <w:vMerge w:val="restart"/>
          </w:tcPr>
          <w:p>
            <w:pPr>
              <w:spacing w:after="0" w:line="180" w:lineRule="exact"/>
              <w:rPr>
                <w:sz w:val="20"/>
                <w:szCs w:val="20"/>
                <w:color w:val="auto"/>
              </w:rPr>
            </w:pPr>
            <w:r>
              <w:rPr>
                <w:rFonts w:ascii="Arial" w:cs="Arial" w:eastAsia="Arial" w:hAnsi="Arial"/>
                <w:sz w:val="16"/>
                <w:szCs w:val="16"/>
                <w:color w:val="0000FF"/>
              </w:rPr>
              <w:t>Member</w:t>
            </w:r>
          </w:p>
        </w:tc>
        <w:tc>
          <w:tcPr>
            <w:tcW w:w="100" w:type="dxa"/>
            <w:vAlign w:val="bottom"/>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980" w:type="dxa"/>
            <w:vAlign w:val="bottom"/>
            <w:tcBorders>
              <w:top w:val="single" w:sz="8" w:color="auto"/>
            </w:tcBorders>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2"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37088" TargetMode="External"/><Relationship Id="rId14"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2020-12-30T16:03:31Z</dcterms:created>
  <dcterms:modified xsi:type="dcterms:W3CDTF">2020-12-30T16:03:31Z</dcterms:modified>
</cp:coreProperties>
</file>