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3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32" w:lineRule="exact"/>
        <w:rPr>
          <w:sz w:val="24"/>
          <w:szCs w:val="24"/>
          <w:color w:val="auto"/>
        </w:rPr>
      </w:pPr>
    </w:p>
    <w:p>
      <w:pPr>
        <w:jc w:val="center"/>
        <w:ind w:right="19"/>
        <w:spacing w:after="0"/>
        <w:tabs>
          <w:tab w:leader="none" w:pos="260" w:val="left"/>
        </w:tabs>
        <w:rPr>
          <w:sz w:val="20"/>
          <w:szCs w:val="20"/>
          <w:color w:val="auto"/>
        </w:rPr>
      </w:pPr>
      <w:r>
        <w:rPr>
          <w:rFonts w:ascii="Times New Roman" w:cs="Times New Roman" w:eastAsia="Times New Roman" w:hAnsi="Times New Roman"/>
          <w:sz w:val="17"/>
          <w:szCs w:val="17"/>
          <w:color w:val="auto"/>
        </w:rPr>
        <w:t>the Securities Exchange Act of 1934 (Amendment No.</w:t>
      </w:r>
      <w:r>
        <w:rPr>
          <w:sz w:val="20"/>
          <w:szCs w:val="20"/>
          <w:color w:val="auto"/>
        </w:rPr>
        <w:tab/>
      </w:r>
      <w:r>
        <w:rPr>
          <w:rFonts w:ascii="Times New Roman" w:cs="Times New Roman" w:eastAsia="Times New Roman" w:hAnsi="Times New Roman"/>
          <w:sz w:val="12"/>
          <w:szCs w:val="12"/>
          <w:color w:val="auto"/>
        </w:rPr>
        <w:t>)</w:t>
      </w:r>
    </w:p>
    <w:p>
      <w:pPr>
        <w:spacing w:after="0" w:line="164"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0" w:lineRule="exact"/>
        <w:rPr>
          <w:sz w:val="24"/>
          <w:szCs w:val="24"/>
          <w:color w:val="auto"/>
        </w:rPr>
      </w:pPr>
    </w:p>
    <w:p>
      <w:pPr>
        <w:ind w:left="580"/>
        <w:spacing w:after="0" w:line="196" w:lineRule="exact"/>
        <w:tabs>
          <w:tab w:leader="none" w:pos="3520" w:val="left"/>
        </w:tabs>
        <w:rPr>
          <w:sz w:val="20"/>
          <w:szCs w:val="20"/>
          <w:color w:val="auto"/>
        </w:rPr>
      </w:pPr>
      <w:r>
        <w:rPr>
          <w:rFonts w:ascii="Times New Roman" w:cs="Times New Roman" w:eastAsia="Times New Roman" w:hAnsi="Times New Roman"/>
          <w:sz w:val="17"/>
          <w:szCs w:val="17"/>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9" w:lineRule="exact"/>
        <w:rPr>
          <w:sz w:val="24"/>
          <w:szCs w:val="24"/>
          <w:color w:val="auto"/>
        </w:rPr>
      </w:pPr>
    </w:p>
    <w:p>
      <w:pPr>
        <w:ind w:left="580"/>
        <w:spacing w:after="0" w:line="196" w:lineRule="exact"/>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1"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8"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81"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Proxy Statement</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Under Rule 14a-12</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Presto Automation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w:t>
      </w:r>
    </w:p>
    <w:p>
      <w:pPr>
        <w:spacing w:after="0" w:line="34"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p>
      <w:pPr>
        <w:spacing w:after="0" w:line="211"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197" w:lineRule="exact"/>
        <w:rPr>
          <w:sz w:val="24"/>
          <w:szCs w:val="24"/>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previously with preliminary materials.</w:t>
      </w:r>
    </w:p>
    <w:p>
      <w:pPr>
        <w:spacing w:after="0" w:line="197" w:lineRule="exact"/>
        <w:rPr>
          <w:rFonts w:ascii="MS PGothic" w:cs="MS PGothic" w:eastAsia="MS PGothic" w:hAnsi="MS PGothic"/>
          <w:sz w:val="17"/>
          <w:szCs w:val="17"/>
          <w:color w:val="auto"/>
        </w:rPr>
      </w:pPr>
    </w:p>
    <w:p>
      <w:pPr>
        <w:ind w:left="980" w:hanging="406"/>
        <w:spacing w:after="0"/>
        <w:tabs>
          <w:tab w:leader="none" w:pos="98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78" w:right="1440" w:bottom="1440" w:gutter="0" w:footer="0" w:header="0"/>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D2232A"/>
        </w:rPr>
        <w:t>PRELIMINARY PROXY STATEMENT — SUBJECT TO COMPLETION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D2232A"/>
        </w:rPr>
        <w:t>DATED JUNE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2086610</wp:posOffset>
            </wp:positionH>
            <wp:positionV relativeFrom="paragraph">
              <wp:posOffset>142240</wp:posOffset>
            </wp:positionV>
            <wp:extent cx="15468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68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tbl>
      <w:tblPr>
        <w:tblLayout w:type="fixed"/>
        <w:tblInd w:w="36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 Be Held</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2024</w:t>
            </w:r>
          </w:p>
        </w:tc>
      </w:tr>
    </w:tbl>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Special Meeting of Stockholders</w:t>
      </w:r>
    </w:p>
    <w:p>
      <w:pPr>
        <w:spacing w:after="0" w:line="32" w:lineRule="exact"/>
        <w:rPr>
          <w:sz w:val="20"/>
          <w:szCs w:val="20"/>
          <w:color w:val="auto"/>
        </w:rPr>
      </w:pPr>
    </w:p>
    <w:p>
      <w:pPr>
        <w:jc w:val="both"/>
        <w:ind w:left="580" w:right="599"/>
        <w:spacing w:after="0" w:line="257" w:lineRule="auto"/>
        <w:rPr>
          <w:sz w:val="20"/>
          <w:szCs w:val="20"/>
          <w:color w:val="auto"/>
        </w:rPr>
      </w:pPr>
      <w:r>
        <w:rPr>
          <w:rFonts w:ascii="Times New Roman" w:cs="Times New Roman" w:eastAsia="Times New Roman" w:hAnsi="Times New Roman"/>
          <w:sz w:val="17"/>
          <w:szCs w:val="17"/>
          <w:color w:val="auto"/>
        </w:rPr>
        <w:t>of Presto Automation Inc. (the “Special Meeting”) to be held on , 2024 at 10:00 a.m. Pacific Time. The Special Meeting will be a completely virtual meeting, conducted via live audio webcast, with no physical in-person meeting. You will be able to attend the Special Meeting online, vote your shares electronically and</w:t>
      </w:r>
    </w:p>
    <w:p>
      <w:pPr>
        <w:spacing w:after="0" w:line="1" w:lineRule="exact"/>
        <w:rPr>
          <w:sz w:val="20"/>
          <w:szCs w:val="20"/>
          <w:color w:val="auto"/>
        </w:rPr>
      </w:pPr>
    </w:p>
    <w:p>
      <w:pPr>
        <w:jc w:val="both"/>
        <w:ind w:left="580" w:right="579"/>
        <w:spacing w:after="0" w:line="265" w:lineRule="auto"/>
        <w:rPr>
          <w:sz w:val="20"/>
          <w:szCs w:val="20"/>
          <w:color w:val="auto"/>
        </w:rPr>
      </w:pPr>
      <w:r>
        <w:rPr>
          <w:rFonts w:ascii="Times New Roman" w:cs="Times New Roman" w:eastAsia="Times New Roman" w:hAnsi="Times New Roman"/>
          <w:sz w:val="17"/>
          <w:szCs w:val="17"/>
          <w:color w:val="auto"/>
        </w:rPr>
        <w:t xml:space="preserve">submit your questions during the Special Meeting by visiting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and entering the control number found on your proxy card,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voting instruction form or notice you previously received.</w:t>
      </w:r>
    </w:p>
    <w:p>
      <w:pPr>
        <w:spacing w:after="0" w:line="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you will be asked to:</w:t>
      </w:r>
    </w:p>
    <w:p>
      <w:pPr>
        <w:spacing w:after="0" w:line="158" w:lineRule="exact"/>
        <w:rPr>
          <w:sz w:val="20"/>
          <w:szCs w:val="20"/>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to effect a reverse stock split of all of the issued and outstanding shares of our common stock, par value $0.0001 per share (“Common Stock”), at a ratio in the range of one-for-[•] to one-for-[•], with the exact ratio of, effective time of and decision to implement the reverse stock split to be determined at by the Board of Directors in its sole discretion (the “Reverse Stock Split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0"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(i) 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w:t>
      </w:r>
    </w:p>
    <w:p>
      <w:pPr>
        <w:spacing w:after="0" w:line="307"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233680</wp:posOffset>
            </wp:positionV>
            <wp:extent cx="4990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67"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will represent more than 20%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pacing w:after="0" w:line="8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Only stockholders of record at the close of business on , 2024 may vote at the Special Meeting. Each stockholder of record is entitled to one vote for each share of common stock held at that time. During the Special Meeting, any stockholder attending the Special Meeting may access a list of the stockholders entitled to vote at the Special Meeting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by following the instructions contained in the Proxy Statement.</w:t>
      </w:r>
    </w:p>
    <w:p>
      <w:pPr>
        <w:spacing w:after="0" w:line="89" w:lineRule="exact"/>
        <w:rPr>
          <w:sz w:val="20"/>
          <w:szCs w:val="20"/>
          <w:color w:val="auto"/>
        </w:rPr>
      </w:pPr>
    </w:p>
    <w:p>
      <w:pPr>
        <w:jc w:val="both"/>
        <w:ind w:left="580" w:right="59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Your vote is important to us. </w:t>
      </w:r>
      <w:r>
        <w:rPr>
          <w:rFonts w:ascii="Times New Roman" w:cs="Times New Roman" w:eastAsia="Times New Roman" w:hAnsi="Times New Roman"/>
          <w:sz w:val="17"/>
          <w:szCs w:val="17"/>
          <w:color w:val="auto"/>
        </w:rPr>
        <w:t>Whether or not you plan to attend the Special Meeting, we strongly urge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to cast your vote promptly. You may vote over the Internet, as well as by mail. Please review the instructions on the proxy or voting instruction card regarding each of these voting options.</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394970</wp:posOffset>
            </wp:positionV>
            <wp:extent cx="2495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Edward Scheetz</w:t>
      </w:r>
    </w:p>
    <w:p>
      <w:pPr>
        <w:spacing w:after="0" w:line="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Chairperson of the Board</w:t>
      </w:r>
    </w:p>
    <w:p>
      <w:pPr>
        <w:spacing w:after="0" w:line="18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7"/>
          <w:szCs w:val="17"/>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295275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4"/>
        </w:trPr>
        <w:tc>
          <w:tcPr>
            <w:tcW w:w="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8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5"/>
        </w:trPr>
        <w:tc>
          <w:tcPr>
            <w:tcW w:w="20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0000EE"/>
              </w:rPr>
              <w:t>GENERAL INFORMATION</w:t>
            </w:r>
          </w:p>
        </w:tc>
        <w:tc>
          <w:tcPr>
            <w:tcW w:w="5000" w:type="dxa"/>
            <w:vAlign w:val="bottom"/>
            <w:tcBorders>
              <w:bottom w:val="single" w:sz="8" w:color="CCEEFF"/>
            </w:tcBorders>
            <w:gridSpan w:val="7"/>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7"/>
                <w:szCs w:val="17"/>
                <w:color w:val="auto"/>
                <w:w w:val="93"/>
              </w:rPr>
              <w:t>1</w:t>
            </w: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color w:val="0000EE"/>
              </w:rPr>
              <w:t>PROPOSAL 1 — REVERSE STOCK SPLIT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2</w:t>
            </w:r>
          </w:p>
        </w:tc>
        <w:tc>
          <w:tcPr>
            <w:tcW w:w="2880" w:type="dxa"/>
            <w:vAlign w:val="bottom"/>
            <w:tcBorders>
              <w:bottom w:val="single" w:sz="8" w:color="0000EE"/>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OCTOBER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PROPOSAL 3</w:t>
            </w:r>
          </w:p>
        </w:tc>
        <w:tc>
          <w:tcPr>
            <w:tcW w:w="60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0000EE"/>
              </w:rPr>
              <w:t>— NOVEMBER ISSUANCE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1040" w:type="dxa"/>
            <w:vAlign w:val="bottom"/>
            <w:tcBorders>
              <w:bottom w:val="single" w:sz="8" w:color="0000EE"/>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PROPOSAL 4</w:t>
            </w:r>
          </w:p>
        </w:tc>
        <w:tc>
          <w:tcPr>
            <w:tcW w:w="2880" w:type="dxa"/>
            <w:vAlign w:val="bottom"/>
            <w:tcBorders>
              <w:bottom w:val="single" w:sz="8" w:color="0000EE"/>
            </w:tcBorders>
            <w:gridSpan w:val="7"/>
            <w:shd w:val="clear" w:color="auto" w:fill="CCEEFF"/>
          </w:tcPr>
          <w:p>
            <w:pPr>
              <w:ind w:left="20"/>
              <w:spacing w:after="0"/>
              <w:rPr>
                <w:sz w:val="20"/>
                <w:szCs w:val="20"/>
                <w:color w:val="auto"/>
              </w:rPr>
            </w:pPr>
            <w:r>
              <w:rPr>
                <w:rFonts w:ascii="Times New Roman" w:cs="Times New Roman" w:eastAsia="Times New Roman" w:hAnsi="Times New Roman"/>
                <w:sz w:val="17"/>
                <w:szCs w:val="17"/>
                <w:color w:val="0000EE"/>
              </w:rPr>
              <w:t>— JANUARY ISSUANCE PROPOSAL</w:t>
            </w:r>
          </w:p>
        </w:tc>
        <w:tc>
          <w:tcPr>
            <w:tcW w:w="3140" w:type="dxa"/>
            <w:vAlign w:val="bottom"/>
            <w:tcBorders>
              <w:bottom w:val="single" w:sz="8" w:color="CCEEFF"/>
            </w:tcBorders>
            <w:gridSpan w:val="5"/>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PROPOSAL 5</w:t>
            </w:r>
          </w:p>
        </w:tc>
        <w:tc>
          <w:tcPr>
            <w:tcW w:w="6020" w:type="dxa"/>
            <w:vAlign w:val="bottom"/>
            <w:gridSpan w:val="12"/>
          </w:tcPr>
          <w:p>
            <w:pPr>
              <w:ind w:left="20"/>
              <w:spacing w:after="0"/>
              <w:rPr>
                <w:sz w:val="20"/>
                <w:szCs w:val="20"/>
                <w:color w:val="auto"/>
              </w:rPr>
            </w:pPr>
            <w:r>
              <w:rPr>
                <w:rFonts w:ascii="Times New Roman" w:cs="Times New Roman" w:eastAsia="Times New Roman" w:hAnsi="Times New Roman"/>
                <w:sz w:val="17"/>
                <w:szCs w:val="17"/>
                <w:color w:val="0000EE"/>
              </w:rPr>
              <w:t>— CSPA PROPOSAL</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70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SECURITY OWNERSHIP OF CERTAIN BENEFICIAL OWNERS AND MANAGEMENT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196"/>
        </w:trPr>
        <w:tc>
          <w:tcPr>
            <w:tcW w:w="65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OTHER MATTERS</w:t>
            </w:r>
          </w:p>
        </w:tc>
        <w:tc>
          <w:tcPr>
            <w:tcW w:w="5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27</w:t>
            </w:r>
          </w:p>
        </w:tc>
      </w:tr>
      <w:tr>
        <w:trPr>
          <w:trHeight w:val="59"/>
        </w:trPr>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706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Householding of Proxies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160" w:type="dxa"/>
            <w:vAlign w:val="bottom"/>
            <w:shd w:val="clear" w:color="auto" w:fill="CCEEFF"/>
          </w:tcPr>
          <w:p>
            <w:pPr>
              <w:spacing w:after="0"/>
              <w:rPr>
                <w:sz w:val="17"/>
                <w:szCs w:val="17"/>
                <w:color w:val="auto"/>
              </w:rPr>
            </w:pPr>
          </w:p>
        </w:tc>
        <w:tc>
          <w:tcPr>
            <w:tcW w:w="690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color w:val="0000EE"/>
              </w:rPr>
              <w:t>Additional Filings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59"/>
        </w:trPr>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690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Stockholder Proposals for 2024 Annual Meeting of Stockholders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w:t>
            </w:r>
          </w:p>
        </w:tc>
      </w:tr>
      <w:tr>
        <w:trPr>
          <w:trHeight w:val="20"/>
        </w:trPr>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985 INDUSTRIAL ROAD, SUITE 205</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 CARLOS, CA 94070</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34" w:lineRule="exact"/>
        <w:rPr>
          <w:sz w:val="20"/>
          <w:szCs w:val="20"/>
          <w:color w:val="auto"/>
        </w:rPr>
      </w:pPr>
    </w:p>
    <w:tbl>
      <w:tblPr>
        <w:tblLayout w:type="fixed"/>
        <w:tblInd w:w="350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 BE HELD</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 2024</w:t>
            </w:r>
          </w:p>
        </w:tc>
      </w:tr>
    </w:tbl>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Board of Directors (the “Board”) of Presto Automation Inc. (“Presto,” the “Company,” “we” or “us”) is making this proxy statement (this “Proxy Statement”) available to you in connection with the solicitation of proxies for the Special Meeting of Stockholders (the “Special Meeting”). The Special Meeting will be held</w:t>
      </w:r>
    </w:p>
    <w:p>
      <w:pPr>
        <w:spacing w:after="0" w:line="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 xml:space="preserve">virtually on , 2024 at 10:00 a.m. Pacific Time at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The Special Meeting will be a completely virtual meeting, conducted via live audio webcast, with no physical in-person meeting.</w:t>
      </w:r>
    </w:p>
    <w:p>
      <w:pPr>
        <w:spacing w:after="0" w:line="1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our stockholders will be asked to:</w:t>
      </w:r>
    </w:p>
    <w:p>
      <w:pPr>
        <w:spacing w:after="0" w:line="158" w:lineRule="exact"/>
        <w:rPr>
          <w:sz w:val="20"/>
          <w:szCs w:val="20"/>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an amendment to the Second Amended and Restated Certificate of Incorporation of the Company, as amended (the “Certificate of Incorporation”), to effect a reverse stock split of all of the issued and outstanding shares of our common stock, par value $0.0001 per share (“Common Stock”), at a ratio in the range of one-for-[•] to one-for-[•], with the exact ratio of, effective time of and decision to implement the reverse stock split to be determined by the Board in its sole discretion (the “Reverse Stock Split Proposal”);</w:t>
      </w:r>
    </w:p>
    <w:p>
      <w:pPr>
        <w:spacing w:after="0" w:line="93" w:lineRule="exact"/>
        <w:rPr>
          <w:rFonts w:ascii="Times New Roman" w:cs="Times New Roman" w:eastAsia="Times New Roman" w:hAnsi="Times New Roman"/>
          <w:sz w:val="17"/>
          <w:szCs w:val="17"/>
          <w:color w:val="auto"/>
        </w:rPr>
      </w:pPr>
    </w:p>
    <w:p>
      <w:pPr>
        <w:jc w:val="both"/>
        <w:ind w:left="1420" w:right="579" w:hanging="426"/>
        <w:spacing w:after="0" w:line="259"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the Nasdaq Stock Market LLC (“Nasdaq”) Listing Rule 5635(d), pursuant to the terms of (i) that certain Securities Purchase Agreement, dated October 10, 2023, by and between the Company and Presto CA, an entity affiliated with Cleveland Avenue LLC (“Cleveland Avenue”), upon the operation of anti-dilution provisions contained therein and (ii) those certain Warrants to Purchase Common Stock, dated October 16, 2023, by and between the Company and each of Metropolitan Levered Partners Fund VII, LP, Metropolitan Partners Fund VII, LP, Metropolitan Offshore Partners Fund VII, LP and CEOF Holdings LP (collectively,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that certain Credit Agreement dated as of September 21, 2022, as amended to date, by and among the Company, the Lenders and the other parties thereto (the “Credit Agreement”);</w:t>
      </w:r>
    </w:p>
    <w:p>
      <w:pPr>
        <w:spacing w:after="0" w:line="121" w:lineRule="exact"/>
        <w:rPr>
          <w:rFonts w:ascii="Times New Roman" w:cs="Times New Roman" w:eastAsia="Times New Roman" w:hAnsi="Times New Roman"/>
          <w:sz w:val="17"/>
          <w:szCs w:val="17"/>
          <w:color w:val="auto"/>
        </w:rPr>
      </w:pPr>
    </w:p>
    <w:p>
      <w:pPr>
        <w:jc w:val="both"/>
        <w:ind w:left="1420" w:right="579" w:hanging="426"/>
        <w:spacing w:after="0" w:line="265"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in an amount in excess of 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62" w:lineRule="auto"/>
        <w:tabs>
          <w:tab w:leader="none" w:pos="13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potential issuance of shares of Common Stock underlying convertible 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1420" w:right="599" w:hanging="426"/>
        <w:spacing w:after="0" w:line="267"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the issuance of shares of Common Stock to Triton Funds, LP (“Triton”), pursuant to that certain Common Stock Purchase Agreement, dated May 28, 2024, by and between the Company and Triton (as amended, the “CSPA”), which shares will represent more than 20% of the Company’s issued and outstanding Common Stock as of immediately prior to the signing of the CSPA, as required by Nasdaq Listing Rules 5635(d) (the “CSPA Proposal”); and</w:t>
      </w:r>
    </w:p>
    <w:p>
      <w:pPr>
        <w:spacing w:after="0" w:line="104"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3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 any other business that may properly come before the Special Meeting and any adjournments or postponements thereof.</w:t>
      </w:r>
    </w:p>
    <w:p>
      <w:pPr>
        <w:sectPr>
          <w:pgSz w:w="11900" w:h="16838" w:orient="portrait"/>
          <w:cols w:equalWidth="0" w:num="1">
            <w:col w:w="9019"/>
          </w:cols>
          <w:pgMar w:left="1440" w:top="265" w:right="1440" w:bottom="1440" w:gutter="0" w:footer="0" w:header="0"/>
        </w:sectPr>
      </w:pPr>
    </w:p>
    <w:p>
      <w:pPr>
        <w:spacing w:after="0" w:line="81" w:lineRule="exact"/>
        <w:rPr>
          <w:sz w:val="20"/>
          <w:szCs w:val="20"/>
          <w:color w:val="auto"/>
        </w:rPr>
      </w:pPr>
    </w:p>
    <w:p>
      <w:pPr>
        <w:ind w:left="580" w:firstLine="419"/>
        <w:spacing w:after="0" w:line="296" w:lineRule="auto"/>
        <w:rPr>
          <w:sz w:val="20"/>
          <w:szCs w:val="20"/>
          <w:color w:val="auto"/>
        </w:rPr>
      </w:pPr>
      <w:r>
        <w:rPr>
          <w:rFonts w:ascii="Times New Roman" w:cs="Times New Roman" w:eastAsia="Times New Roman" w:hAnsi="Times New Roman"/>
          <w:sz w:val="17"/>
          <w:szCs w:val="17"/>
          <w:color w:val="auto"/>
        </w:rPr>
        <w:t>Only stockholders of record at the close of business on Special Meeting.</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2024 (the “Record Date”) may vote at the</w:t>
      </w:r>
    </w:p>
    <w:p>
      <w:pPr>
        <w:spacing w:after="0" w:line="354" w:lineRule="exact"/>
        <w:rPr>
          <w:sz w:val="20"/>
          <w:szCs w:val="20"/>
          <w:color w:val="auto"/>
        </w:rPr>
      </w:pPr>
    </w:p>
    <w:p>
      <w:pPr>
        <w:sectPr>
          <w:pgSz w:w="11900" w:h="16838" w:orient="portrait"/>
          <w:cols w:equalWidth="0" w:num="2">
            <w:col w:w="4860" w:space="520"/>
            <w:col w:w="3639"/>
          </w:cols>
          <w:pgMar w:left="1440" w:top="265" w:right="1440" w:bottom="1440" w:gutter="0" w:footer="0" w:header="0"/>
          <w:type w:val="continuous"/>
        </w:sect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This Proxy Statement and the accompanying Notice and proxy card are first being mailed to stockholders on or about , 2024.</w:t>
      </w:r>
    </w:p>
    <w:p>
      <w:pPr>
        <w:sectPr>
          <w:pgSz w:w="11900" w:h="16838" w:orient="portrait"/>
          <w:cols w:equalWidth="0" w:num="1">
            <w:col w:w="9019"/>
          </w:cols>
          <w:pgMar w:left="1440" w:top="265" w:right="1440" w:bottom="1440" w:gutter="0" w:footer="0" w:header="0"/>
          <w:type w:val="continuous"/>
        </w:sectPr>
      </w:pPr>
    </w:p>
    <w:p>
      <w:pPr>
        <w:spacing w:after="0" w:line="77" w:lineRule="exact"/>
        <w:rPr>
          <w:sz w:val="20"/>
          <w:szCs w:val="20"/>
          <w:color w:val="auto"/>
        </w:rPr>
      </w:pPr>
    </w:p>
    <w:p>
      <w:pPr>
        <w:jc w:val="both"/>
        <w:ind w:left="580" w:right="579" w:firstLine="41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YOUR VOTE IS IMPORTANT TO US. WHETHER OR NOT YOU PLAN TO ATTEND THE SPECIAL MEETING, PLEASE CAST YOUR VOTE PROMPTLY. YOU MAY VOTE OVER THE INTERNET OR BY SIGNING AND DATING A PROXY CARD AND RETURNING IT TO US BY MAIL.</w:t>
      </w:r>
    </w:p>
    <w:p>
      <w:pPr>
        <w:spacing w:after="0" w:line="9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By submitting your proxy using any of the methods above, and as specified in the Notice, you authorize each of Guillaume Lefevre, our Interim Chief Executive Officer, and Susan Shinoff, our General Counsel &amp; Corporate Secretary, to represent you and vote your shares at the Special Meeting in accordance with your instructions. Either one of them may also vote your shares to adjourn the Special Meeting and will be authorized to vote your shares at any postponements or adjournments of the Special Meeting.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QUESTIONS AND ANSWERS ABOUT THE ANNUAL MEETING AND VOTING</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Why am I being provided with these materials?</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providing this Proxy Statement to you in connection with the Board’s solicitation of proxies to be</w:t>
      </w:r>
    </w:p>
    <w:p>
      <w:pPr>
        <w:spacing w:after="0" w:line="32" w:lineRule="exact"/>
        <w:rPr>
          <w:sz w:val="20"/>
          <w:szCs w:val="20"/>
          <w:color w:val="auto"/>
        </w:rPr>
      </w:pPr>
    </w:p>
    <w:p>
      <w:pPr>
        <w:jc w:val="both"/>
        <w:ind w:left="580" w:right="599"/>
        <w:spacing w:after="0" w:line="265" w:lineRule="auto"/>
        <w:rPr>
          <w:sz w:val="20"/>
          <w:szCs w:val="20"/>
          <w:color w:val="auto"/>
        </w:rPr>
      </w:pPr>
      <w:r>
        <w:rPr>
          <w:rFonts w:ascii="Times New Roman" w:cs="Times New Roman" w:eastAsia="Times New Roman" w:hAnsi="Times New Roman"/>
          <w:sz w:val="17"/>
          <w:szCs w:val="17"/>
          <w:color w:val="auto"/>
        </w:rPr>
        <w:t>voted at our Special Meeting, to be held on , 2024, and at any postponements or adjournments of the Special Meeting. This Proxy Statement, along with the accompanying Notice of Special Meeting of Stockholders, summarizes the information you need to know to vote by proxy or in person at the Special Meeting.</w:t>
      </w:r>
    </w:p>
    <w:p>
      <w:pPr>
        <w:spacing w:after="0" w:line="3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access the proxy materials?</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 xml:space="preserve">On or about , 2024, we will mail to our stockholders printed copies of the proxy materials, including this Proxy Statement. You may also view and download our proxy materials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Please see the instructions below regarding how to submit your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can I attend and vote at the Special Meeting?</w:t>
      </w:r>
    </w:p>
    <w:p>
      <w:pPr>
        <w:spacing w:after="0" w:line="160"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 xml:space="preserve">To be admitted to the Special Meeting, you will need to log in to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 using the 16-digit control number on your proxy card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 instructions that accompanied your proxy materials for the Special Meeting. If you are not a stockholder or do not have a control number, you may still access the meeting as a guest, but you will not be able to submit questions or vote at the meeting. We recommend you carefully review the procedures needed to gain admission in advance.</w:t>
      </w:r>
    </w:p>
    <w:p>
      <w:pPr>
        <w:spacing w:after="0" w:line="30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Online access to the audio webcast will open 15 minutes prior to the start of the Special Meeting to allow time for you to log in and test your device’s audio system. We encourage you to access the Special Meeting in advance of the designated start time.</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Stockholders encountering difficulty with the Special Meeting virtual platform during the sign-in process or at any time during the meeting may utilize technical support provided by the Company through Broadridge Financial Solutions, Inc. Technical support information is provided on the login page for all stockholders beginning 15 minutes prior to the start of the Special Meeting. If you have difficulties accessing the virtual Special Meeting during sign-in or during the meeting, please call the technical support number listed on the Special Meeting login page.</w:t>
      </w:r>
    </w:p>
    <w:p>
      <w:pPr>
        <w:spacing w:after="0" w:line="106"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 xml:space="preserve">Stockholders eligible to participate in the Special Meeting may submit questions during the Special Meeting through </w:t>
      </w:r>
      <w:r>
        <w:rPr>
          <w:rFonts w:ascii="Times New Roman" w:cs="Times New Roman" w:eastAsia="Times New Roman" w:hAnsi="Times New Roman"/>
          <w:sz w:val="17"/>
          <w:szCs w:val="17"/>
          <w:i w:val="1"/>
          <w:iCs w:val="1"/>
          <w:color w:val="auto"/>
        </w:rPr>
        <w:t>www.virtualshareholdermeeting.com/PRST2024SM</w:t>
      </w:r>
      <w:r>
        <w:rPr>
          <w:rFonts w:ascii="Times New Roman" w:cs="Times New Roman" w:eastAsia="Times New Roman" w:hAnsi="Times New Roman"/>
          <w:sz w:val="17"/>
          <w:szCs w:val="17"/>
          <w:color w:val="auto"/>
        </w:rPr>
        <w:t>2.</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Will I be able to participate in the online Special Meeting on the same basis I would be able to participate in a live annual meeting?</w:t>
      </w:r>
    </w:p>
    <w:p>
      <w:pPr>
        <w:spacing w:after="0" w:line="6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virtual meeting format for the Special Meeting will enable full and equal participation by all of our stockholders from any place in the world at little to no cost. We designed the format of the virtual Special Meeting to ensure that our stockholders who attend the Special Meeting will be afforded the same rights and opportunities to participate as they would at a physical, in-person meeting, and to enhance stockholder access, participation and communication through online tools. We will be providing stockholders with the ability to submit appropriate questions in real time via the Special Meeting website, limiting questions to one per stockholder unless time otherwise permits. We will also make the list of the stockholders entitled to vote at the Special Meeting available during the Special Meeting.</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do I vote my shares without attending the Special Meeting?</w:t>
      </w:r>
    </w:p>
    <w:p>
      <w:pPr>
        <w:spacing w:after="0" w:line="156" w:lineRule="exact"/>
        <w:rPr>
          <w:sz w:val="20"/>
          <w:szCs w:val="20"/>
          <w:color w:val="auto"/>
        </w:rPr>
      </w:pPr>
    </w:p>
    <w:p>
      <w:pPr>
        <w:ind w:left="1000"/>
        <w:spacing w:after="0"/>
        <w:tabs>
          <w:tab w:leader="none" w:pos="2820" w:val="left"/>
        </w:tabs>
        <w:rPr>
          <w:sz w:val="20"/>
          <w:szCs w:val="20"/>
          <w:color w:val="auto"/>
        </w:rPr>
      </w:pPr>
      <w:r>
        <w:rPr>
          <w:rFonts w:ascii="Times New Roman" w:cs="Times New Roman" w:eastAsia="Times New Roman" w:hAnsi="Times New Roman"/>
          <w:sz w:val="17"/>
          <w:szCs w:val="17"/>
          <w:b w:val="1"/>
          <w:bCs w:val="1"/>
          <w:i w:val="1"/>
          <w:iCs w:val="1"/>
          <w:color w:val="auto"/>
        </w:rPr>
        <w:t>Stockholders of record.</w:t>
      </w:r>
      <w:r>
        <w:rPr>
          <w:sz w:val="20"/>
          <w:szCs w:val="20"/>
          <w:color w:val="auto"/>
        </w:rPr>
        <w:tab/>
      </w:r>
      <w:r>
        <w:rPr>
          <w:rFonts w:ascii="Times New Roman" w:cs="Times New Roman" w:eastAsia="Times New Roman" w:hAnsi="Times New Roman"/>
          <w:sz w:val="17"/>
          <w:szCs w:val="17"/>
          <w:color w:val="auto"/>
        </w:rPr>
        <w:t>You may vote by granting a proxy in the following ways:</w:t>
      </w:r>
    </w:p>
    <w:p>
      <w:pPr>
        <w:spacing w:after="0" w:line="160" w:lineRule="exact"/>
        <w:rPr>
          <w:sz w:val="20"/>
          <w:szCs w:val="20"/>
          <w:color w:val="auto"/>
        </w:rPr>
      </w:pPr>
    </w:p>
    <w:p>
      <w:pPr>
        <w:ind w:left="1420" w:right="599" w:hanging="426"/>
        <w:spacing w:after="0" w:line="299" w:lineRule="auto"/>
        <w:tabs>
          <w:tab w:leader="none" w:pos="14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By Internet</w:t>
      </w:r>
      <w:r>
        <w:rPr>
          <w:rFonts w:ascii="Times New Roman" w:cs="Times New Roman" w:eastAsia="Times New Roman" w:hAnsi="Times New Roman"/>
          <w:sz w:val="17"/>
          <w:szCs w:val="17"/>
          <w:color w:val="auto"/>
        </w:rPr>
        <w:t>: go to</w:t>
      </w:r>
      <w:r>
        <w:rPr>
          <w:rFonts w:ascii="Times New Roman" w:cs="Times New Roman" w:eastAsia="Times New Roman" w:hAnsi="Times New Roman"/>
          <w:sz w:val="17"/>
          <w:szCs w:val="17"/>
          <w:i w:val="1"/>
          <w:iCs w:val="1"/>
          <w:color w:val="auto"/>
        </w:rPr>
        <w:t xml:space="preserve"> www.virtualshareholdermeeting.com/PRST2024SM</w:t>
      </w:r>
      <w:r>
        <w:rPr>
          <w:rFonts w:ascii="Times New Roman" w:cs="Times New Roman" w:eastAsia="Times New Roman" w:hAnsi="Times New Roman"/>
          <w:sz w:val="17"/>
          <w:szCs w:val="17"/>
          <w:color w:val="auto"/>
        </w:rPr>
        <w:t>2 and follow the on-screen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instructions. You will need the Notice or proxy card in order to vote by Internet.</w:t>
      </w:r>
    </w:p>
    <w:p>
      <w:pPr>
        <w:spacing w:after="0" w:line="63" w:lineRule="exact"/>
        <w:rPr>
          <w:rFonts w:ascii="Times New Roman" w:cs="Times New Roman" w:eastAsia="Times New Roman" w:hAnsi="Times New Roman"/>
          <w:sz w:val="17"/>
          <w:szCs w:val="17"/>
          <w:color w:val="auto"/>
        </w:rPr>
      </w:pPr>
    </w:p>
    <w:p>
      <w:pPr>
        <w:jc w:val="both"/>
        <w:ind w:left="1420" w:right="599" w:hanging="426"/>
        <w:spacing w:after="0" w:line="271" w:lineRule="auto"/>
        <w:tabs>
          <w:tab w:leader="none" w:pos="1415"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By Mail: </w:t>
      </w:r>
      <w:r>
        <w:rPr>
          <w:rFonts w:ascii="Times New Roman" w:cs="Times New Roman" w:eastAsia="Times New Roman" w:hAnsi="Times New Roman"/>
          <w:sz w:val="17"/>
          <w:szCs w:val="17"/>
          <w:color w:val="auto"/>
        </w:rPr>
        <w:t>request a proxy card from us and indicate your vote by completing, signing and dating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card where indicated and by mailing or otherwise returning the card in the envelope that will be provided to you. You should sign your name exactly as it appears on the proxy card. If you are signing in a representative capacity, indicate your name and title or capacity.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You may vote by submitting voting instructions to your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bank, broker or other nominee. In most instances, you will be able to do this on the Internet or by mail as indicated above. Please refer to information from your bank, broker or other nominee on how to submit voting instructions.</w:t>
      </w:r>
    </w:p>
    <w:p>
      <w:pPr>
        <w:sectPr>
          <w:pgSz w:w="11900" w:h="16838" w:orient="portrait"/>
          <w:cols w:equalWidth="0" w:num="1">
            <w:col w:w="9019"/>
          </w:cols>
          <w:pgMar w:left="1440" w:top="265" w:right="1440" w:bottom="1440" w:gutter="0" w:footer="0" w:header="0"/>
        </w:sectPr>
      </w:pPr>
    </w:p>
    <w:p>
      <w:pPr>
        <w:spacing w:after="0" w:line="312" w:lineRule="exact"/>
        <w:rPr>
          <w:sz w:val="20"/>
          <w:szCs w:val="20"/>
          <w:color w:val="auto"/>
        </w:rPr>
      </w:pPr>
    </w:p>
    <w:p>
      <w:pPr>
        <w:ind w:left="580" w:firstLine="419"/>
        <w:spacing w:after="0" w:line="296" w:lineRule="auto"/>
        <w:rPr>
          <w:sz w:val="20"/>
          <w:szCs w:val="20"/>
          <w:color w:val="auto"/>
        </w:rPr>
      </w:pPr>
      <w:r>
        <w:rPr>
          <w:rFonts w:ascii="Times New Roman" w:cs="Times New Roman" w:eastAsia="Times New Roman" w:hAnsi="Times New Roman"/>
          <w:sz w:val="17"/>
          <w:szCs w:val="17"/>
          <w:color w:val="auto"/>
        </w:rPr>
        <w:t>Internet voting facilities will close at 11:59 p.m., Eastern Time, on held by stockholders of record or held in street name.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2024 for the voting of shares</w:t>
      </w:r>
    </w:p>
    <w:p>
      <w:pPr>
        <w:spacing w:after="0" w:line="367" w:lineRule="exact"/>
        <w:rPr>
          <w:sz w:val="20"/>
          <w:szCs w:val="20"/>
          <w:color w:val="auto"/>
        </w:rPr>
      </w:pPr>
    </w:p>
    <w:p>
      <w:pPr>
        <w:sectPr>
          <w:pgSz w:w="11900" w:h="16838" w:orient="portrait"/>
          <w:cols w:equalWidth="0" w:num="2">
            <w:col w:w="5740" w:space="520"/>
            <w:col w:w="2759"/>
          </w:cols>
          <w:pgMar w:left="1440" w:top="265" w:right="1440" w:bottom="1440" w:gutter="0" w:footer="0" w:header="0"/>
          <w:type w:val="continuous"/>
        </w:sectPr>
      </w:pPr>
    </w:p>
    <w:p>
      <w:pPr>
        <w:ind w:left="960" w:right="719" w:firstLine="26"/>
        <w:spacing w:after="0" w:line="296" w:lineRule="auto"/>
        <w:rPr>
          <w:sz w:val="20"/>
          <w:szCs w:val="20"/>
          <w:color w:val="auto"/>
        </w:rPr>
      </w:pPr>
      <w:r>
        <w:rPr>
          <w:rFonts w:ascii="Times New Roman" w:cs="Times New Roman" w:eastAsia="Times New Roman" w:hAnsi="Times New Roman"/>
          <w:sz w:val="17"/>
          <w:szCs w:val="17"/>
          <w:color w:val="auto"/>
        </w:rPr>
        <w:t xml:space="preserve">Mailed proxy cards with respect to shares held of record or in street name must be received no later than </w:t>
      </w:r>
      <w:r>
        <w:rPr>
          <w:rFonts w:ascii="Times New Roman" w:cs="Times New Roman" w:eastAsia="Times New Roman" w:hAnsi="Times New Roman"/>
          <w:sz w:val="17"/>
          <w:szCs w:val="17"/>
          <w:b w:val="1"/>
          <w:bCs w:val="1"/>
          <w:color w:val="auto"/>
        </w:rPr>
        <w:t>, 2024</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am I voting on at the Special Meeting?</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Special Meeting, there are four proposals scheduled to be voted on:</w:t>
      </w:r>
    </w:p>
    <w:p>
      <w:pPr>
        <w:spacing w:after="0" w:line="154" w:lineRule="exact"/>
        <w:rPr>
          <w:sz w:val="20"/>
          <w:szCs w:val="20"/>
          <w:color w:val="auto"/>
        </w:rPr>
      </w:pPr>
    </w:p>
    <w:p>
      <w:pPr>
        <w:jc w:val="both"/>
        <w:ind w:left="1420" w:right="579" w:hanging="426"/>
        <w:spacing w:after="0" w:line="270"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1: </w:t>
      </w:r>
      <w:r>
        <w:rPr>
          <w:rFonts w:ascii="Times New Roman" w:cs="Times New Roman" w:eastAsia="Times New Roman" w:hAnsi="Times New Roman"/>
          <w:sz w:val="17"/>
          <w:szCs w:val="17"/>
          <w:color w:val="auto"/>
        </w:rPr>
        <w:t>approval of an amendment to the Certificate of Incorporation to effect a reverse stock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split of all of the issued and outstanding shares of our Common Stock at a ratio within the range of one-for-[•] to one-for-[•], with the exact ratio of, effective time of and decision to implement the reverse stock split to be determined by the Board in its sole discretion (the “Reverse Stock Split Proposal”);</w:t>
      </w:r>
    </w:p>
    <w:p>
      <w:pPr>
        <w:spacing w:after="0" w:line="312" w:lineRule="exact"/>
        <w:rPr>
          <w:rFonts w:ascii="Times New Roman" w:cs="Times New Roman" w:eastAsia="Times New Roman" w:hAnsi="Times New Roman"/>
          <w:sz w:val="17"/>
          <w:szCs w:val="17"/>
          <w:color w:val="auto"/>
        </w:rPr>
      </w:pPr>
    </w:p>
    <w:p>
      <w:pPr>
        <w:jc w:val="both"/>
        <w:ind w:left="1420" w:right="579" w:hanging="426"/>
        <w:spacing w:after="0" w:line="261"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2: </w:t>
      </w:r>
      <w:r>
        <w:rPr>
          <w:rFonts w:ascii="Times New Roman" w:cs="Times New Roman" w:eastAsia="Times New Roman" w:hAnsi="Times New Roman"/>
          <w:sz w:val="17"/>
          <w:szCs w:val="17"/>
          <w:color w:val="auto"/>
        </w:rPr>
        <w:t>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(i) that certain Securities Purchase Agreement, dated October 10, 2023, by and between the Company and Presto CA, an entity affiliated with Cleveland Avenue, upon the operation of anti-dilution provisions contained therein and (ii) those certain Warrants to Purchase Common Stock, dated October 16, 2023, by and between the Company and each of the Lenders, upon the operation of anti-dilution provisions contained therein (the “October Issuance Proposal”). Cleveland Avenue is a significant stockholder of the Company, and Keith Kravcik, a director of the Company, is the Chief Investment Officer of all of Cleveland Avenue’s various Investment Funds, including the funds invested in the Company. Presto CA is a lender under a secured promissory note, dated as of March 21, 2024, in principal amount of $4 million. The Lenders are lenders under the Credit Agreement;</w:t>
      </w:r>
    </w:p>
    <w:p>
      <w:pPr>
        <w:spacing w:after="0" w:line="304" w:lineRule="exact"/>
        <w:rPr>
          <w:rFonts w:ascii="Times New Roman" w:cs="Times New Roman" w:eastAsia="Times New Roman" w:hAnsi="Times New Roman"/>
          <w:sz w:val="17"/>
          <w:szCs w:val="17"/>
          <w:color w:val="auto"/>
        </w:rPr>
      </w:pPr>
    </w:p>
    <w:p>
      <w:pPr>
        <w:jc w:val="both"/>
        <w:ind w:left="1420" w:right="579" w:hanging="426"/>
        <w:spacing w:after="0" w:line="266"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3: </w:t>
      </w:r>
      <w:r>
        <w:rPr>
          <w:rFonts w:ascii="Times New Roman" w:cs="Times New Roman" w:eastAsia="Times New Roman" w:hAnsi="Times New Roman"/>
          <w:sz w:val="17"/>
          <w:szCs w:val="17"/>
          <w:color w:val="auto"/>
        </w:rPr>
        <w:t>approval of the issuance of shares of Common Stock in an amount in excess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19.99% of the Company’s outstanding Common Stock before the issuance of such shares, as required by and in accordance with Nasdaq Listing Rule 5635(d), pursuant to the terms of those certain Common Stock Purchase Agreements, dated November 17, 2023, by and between the Company and the purchasers named therein upon the operation of anti-dilution provisions contained in such agreements (the “November Issuance Proposal”);</w:t>
      </w:r>
    </w:p>
    <w:p>
      <w:pPr>
        <w:spacing w:after="0" w:line="101"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4: </w:t>
      </w:r>
      <w:r>
        <w:rPr>
          <w:rFonts w:ascii="Times New Roman" w:cs="Times New Roman" w:eastAsia="Times New Roman" w:hAnsi="Times New Roman"/>
          <w:sz w:val="17"/>
          <w:szCs w:val="17"/>
          <w:color w:val="auto"/>
        </w:rPr>
        <w:t>approval of the potential issuance of shares of Common Stock underlying convertible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notes and warrants, in an amount in excess of 19.99% of the Company’s outstanding Common Stock before the issuance of such convertible notes and warrants, as required by and in accordance with Nasdaq Listing Rule 5635(d), pursuant to (i) the terms of those certain Securities Purchase Agreements, dated January 29, 2024, by and between the Company and the purchasers named therein and (ii) the terms of those certain Warrants to Purchase Common Stock, dated January 30, 2024, by and between the Company and the Lenders, each upon the operation of anti-dilution provisions contained therein (the “January Issuance Proposal”); and</w:t>
      </w:r>
    </w:p>
    <w:p>
      <w:pPr>
        <w:spacing w:after="0" w:line="106" w:lineRule="exact"/>
        <w:rPr>
          <w:rFonts w:ascii="Times New Roman" w:cs="Times New Roman" w:eastAsia="Times New Roman" w:hAnsi="Times New Roman"/>
          <w:sz w:val="17"/>
          <w:szCs w:val="17"/>
          <w:color w:val="auto"/>
        </w:rPr>
      </w:pPr>
    </w:p>
    <w:p>
      <w:pPr>
        <w:jc w:val="both"/>
        <w:ind w:left="1420" w:right="579" w:hanging="426"/>
        <w:spacing w:after="0" w:line="272" w:lineRule="auto"/>
        <w:tabs>
          <w:tab w:leader="none" w:pos="14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Proposal 5: </w:t>
      </w:r>
      <w:r>
        <w:rPr>
          <w:rFonts w:ascii="Times New Roman" w:cs="Times New Roman" w:eastAsia="Times New Roman" w:hAnsi="Times New Roman"/>
          <w:sz w:val="17"/>
          <w:szCs w:val="17"/>
          <w:color w:val="auto"/>
        </w:rPr>
        <w:t>approval of the issuance of shares of Common Stock to Triton, pursuant to the CSPA,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shares will represent more than 20% of the Company’s issued and outstanding Common Stock as of immediately prior to the signing of the CSPA, as required by Nasdaq Listing Rules 5635(d) (the “CSPA Proposal”).</w:t>
      </w:r>
    </w:p>
    <w:p>
      <w:pPr>
        <w:spacing w:after="0" w:line="87"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Reverse Stock Split Proposal, the October Issuance Proposal, the November Issuance Proposal, the January Issuance Proposal and the CSPA Proposal are collectively referred to as the “Proposals.”</w:t>
      </w:r>
    </w:p>
    <w:p>
      <w:pPr>
        <w:spacing w:after="0" w:line="81"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Members of our management team are expected to be present at the Special Meeting, where they will have an opportunity to make a statement if so desired and are expected to be available to respond to appropriate questions.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is entitled to vote?</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may vote at the Special Meeting. The only class of stock entitled to vote at the Special Meeting is the Company’s Common Stock. Each holder of Common Stock on the Record Date is entitled to one vote for each share of Common Stock held by such holder.</w:t>
      </w:r>
    </w:p>
    <w:p>
      <w:pPr>
        <w:spacing w:after="0" w:line="2" w:lineRule="exact"/>
        <w:rPr>
          <w:sz w:val="20"/>
          <w:szCs w:val="20"/>
          <w:color w:val="auto"/>
        </w:rPr>
      </w:pPr>
    </w:p>
    <w:p>
      <w:pPr>
        <w:jc w:val="both"/>
        <w:ind w:left="580" w:right="599"/>
        <w:spacing w:after="0" w:line="257" w:lineRule="auto"/>
        <w:rPr>
          <w:sz w:val="20"/>
          <w:szCs w:val="20"/>
          <w:color w:val="auto"/>
        </w:rPr>
      </w:pPr>
      <w:r>
        <w:rPr>
          <w:rFonts w:ascii="Times New Roman" w:cs="Times New Roman" w:eastAsia="Times New Roman" w:hAnsi="Times New Roman"/>
          <w:sz w:val="17"/>
          <w:szCs w:val="17"/>
          <w:color w:val="auto"/>
        </w:rPr>
        <w:t>On the Record Date, there were shares of Common Stock outstanding and entitled to vote at the Special Meeting.</w:t>
      </w:r>
    </w:p>
    <w:p>
      <w:pPr>
        <w:spacing w:after="0" w:line="386" w:lineRule="exact"/>
        <w:rPr>
          <w:sz w:val="20"/>
          <w:szCs w:val="20"/>
          <w:color w:val="auto"/>
        </w:rPr>
      </w:pPr>
    </w:p>
    <w:p>
      <w:pPr>
        <w:jc w:val="both"/>
        <w:ind w:left="580" w:right="599"/>
        <w:spacing w:after="0" w:line="269" w:lineRule="auto"/>
        <w:rPr>
          <w:sz w:val="20"/>
          <w:szCs w:val="20"/>
          <w:color w:val="auto"/>
        </w:rPr>
      </w:pPr>
      <w:r>
        <w:rPr>
          <w:rFonts w:ascii="Times New Roman" w:cs="Times New Roman" w:eastAsia="Times New Roman" w:hAnsi="Times New Roman"/>
          <w:sz w:val="17"/>
          <w:szCs w:val="17"/>
          <w:b w:val="1"/>
          <w:bCs w:val="1"/>
          <w:color w:val="auto"/>
        </w:rPr>
        <w:t>What is the difference between being a record holder and holding shares of Common Stock in street name?</w:t>
      </w:r>
    </w:p>
    <w:p>
      <w:pPr>
        <w:spacing w:after="0" w:line="346"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A record holder holds shares in its name through Presto’s transfer agent, Continental Stock Transfer &amp; Trust Company (“Continental”). A “beneficial owner,” or a person or entity that holds their or its shares in “street name,” holds shares in the name of a bank, broker or other nominee on that person or entity’s behalf.</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Am I entitled to vote if my shares are held in street name?</w:t>
      </w:r>
    </w:p>
    <w:p>
      <w:pPr>
        <w:spacing w:after="0" w:line="160"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If your shares are held in street name, the Notice will be forwarded to you by your bank, broker or other nominee, along with a voting instruction card. You may vote by directing your bank, broker or other nominee how to vote your shares. In most instances, you will be able to do this over the Internet or by mail, as indicated above under “</w:t>
      </w:r>
      <w:r>
        <w:rPr>
          <w:rFonts w:ascii="Times New Roman" w:cs="Times New Roman" w:eastAsia="Times New Roman" w:hAnsi="Times New Roman"/>
          <w:sz w:val="17"/>
          <w:szCs w:val="17"/>
          <w:i w:val="1"/>
          <w:iCs w:val="1"/>
          <w:color w:val="auto"/>
        </w:rPr>
        <w:t>How do I vote my shares without attending the Special Meeting?</w:t>
      </w:r>
      <w:r>
        <w:rPr>
          <w:rFonts w:ascii="Times New Roman" w:cs="Times New Roman" w:eastAsia="Times New Roman" w:hAnsi="Times New Roman"/>
          <w:sz w:val="17"/>
          <w:szCs w:val="17"/>
          <w:color w:val="auto"/>
        </w:rPr>
        <w:t>”</w:t>
      </w:r>
    </w:p>
    <w:p>
      <w:pPr>
        <w:spacing w:after="0" w:line="103"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Under applicable rules, if you do not give instructions to your bank, broker or other nominee, it may vote on matters that are considered “routine,” but will not be permitted to vote your shares with respect to “non-routine” items. All of the Proposals, except the Reverse Stock Split Proposal, are considered to be non-routine matters, so your bank, broker or other nominee cannot vote your shares on such proposals unless you provide voting instructions for such matter. If you do not provide voting instructions on a non-routine matter, your shares will not be voted on that matter resulting in a “broker non-vote.” The Reverse Stock Split Proposal is a routine matter.</w:t>
      </w:r>
    </w:p>
    <w:p>
      <w:pPr>
        <w:spacing w:after="0" w:line="3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a street name holder, you may be required to obtain a proxy form from your bank, broker or other nominee to use at the Special Meeting in order to vote your shares. Please follow the instructions that you receive from your broker, bank, or other nominee and the instructions that you will receive via email after registering for the Special Meeting, should you decide to vote during the virtual meeting.</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How many shares must be present to hold the Special Meeting?</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order for Presto to conduct the Special Meeting, holders of a majority of the voting power of the shares of Common Stock issued and outstanding and entitled to vote, present by remote communication or represented by proxy, shall constitute a quorum at the Special Meeting. Abstentions and “broker non-votes” are counted as present or represented and entitled to vote for purposes of determining a quorum.</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What does it mean if I receive more than one Notice or proxy card?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Receiving more than one Notice or proxy card generally means that you hold shares in more than one brokerage account. To ensure that all of your shares are voted, please sign and return each proxy card, or, if you vote by Internet, vote once for each Notice or proxy card that you receive.</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Can I revoke my proxy or change my vote after I submit my proxy?</w:t>
      </w:r>
    </w:p>
    <w:p>
      <w:pPr>
        <w:spacing w:after="0" w:line="14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Yes, you may revoke or change your vote after submitting your proxy card.</w:t>
      </w:r>
    </w:p>
    <w:p>
      <w:pPr>
        <w:spacing w:after="0" w:line="154" w:lineRule="exact"/>
        <w:rPr>
          <w:sz w:val="20"/>
          <w:szCs w:val="20"/>
          <w:color w:val="auto"/>
        </w:rPr>
      </w:pPr>
    </w:p>
    <w:p>
      <w:pPr>
        <w:jc w:val="both"/>
        <w:ind w:left="580" w:right="599" w:firstLine="4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of record. </w:t>
      </w:r>
      <w:r>
        <w:rPr>
          <w:rFonts w:ascii="Times New Roman" w:cs="Times New Roman" w:eastAsia="Times New Roman" w:hAnsi="Times New Roman"/>
          <w:sz w:val="17"/>
          <w:szCs w:val="17"/>
          <w:color w:val="auto"/>
        </w:rPr>
        <w:t>Whether you have voted by Internet or mail, you may revoke your proxy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change your vote at any time before it is actually voted. A record holder may revoke their or its proxy by:</w:t>
      </w:r>
    </w:p>
    <w:p>
      <w:pPr>
        <w:spacing w:after="0" w:line="77" w:lineRule="exact"/>
        <w:rPr>
          <w:sz w:val="20"/>
          <w:szCs w:val="20"/>
          <w:color w:val="auto"/>
        </w:rPr>
      </w:pPr>
    </w:p>
    <w:p>
      <w:pPr>
        <w:ind w:left="1000"/>
        <w:spacing w:after="0"/>
        <w:tabs>
          <w:tab w:leader="none" w:pos="1380" w:val="left"/>
          <w:tab w:leader="none" w:pos="768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signing and delivering another proxy with a later date that is received no later than</w:t>
      </w:r>
      <w:r>
        <w:rPr>
          <w:sz w:val="20"/>
          <w:szCs w:val="20"/>
          <w:color w:val="auto"/>
        </w:rPr>
        <w:tab/>
      </w:r>
      <w:r>
        <w:rPr>
          <w:rFonts w:ascii="Times New Roman" w:cs="Times New Roman" w:eastAsia="Times New Roman" w:hAnsi="Times New Roman"/>
          <w:sz w:val="17"/>
          <w:szCs w:val="17"/>
          <w:color w:val="auto"/>
        </w:rPr>
        <w:t>, 2024;</w:t>
      </w:r>
    </w:p>
    <w:p>
      <w:pPr>
        <w:spacing w:after="0" w:line="145" w:lineRule="exact"/>
        <w:rPr>
          <w:sz w:val="20"/>
          <w:szCs w:val="20"/>
          <w:color w:val="auto"/>
        </w:rPr>
      </w:pPr>
    </w:p>
    <w:p>
      <w:pPr>
        <w:ind w:left="1400" w:hanging="406"/>
        <w:spacing w:after="0"/>
        <w:tabs>
          <w:tab w:leader="none" w:pos="14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again by Internet at a later time before the closing of those voting facilities at 11:59 p.m.,</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auto"/>
              </w:rPr>
              <w:t>Eastern Time, on</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2024;</w:t>
            </w:r>
          </w:p>
        </w:tc>
      </w:tr>
    </w:tbl>
    <w:p>
      <w:pPr>
        <w:spacing w:after="0" w:line="108" w:lineRule="exact"/>
        <w:rPr>
          <w:sz w:val="20"/>
          <w:szCs w:val="20"/>
          <w:color w:val="auto"/>
        </w:rPr>
      </w:pPr>
    </w:p>
    <w:p>
      <w:pPr>
        <w:ind w:left="1400" w:hanging="406"/>
        <w:spacing w:after="0"/>
        <w:tabs>
          <w:tab w:leader="none" w:pos="14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sending a written statement to that effect to the Company’s Secretary, provided that such statement</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228"/>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is received no later than</w:t>
            </w:r>
          </w:p>
        </w:tc>
        <w:tc>
          <w:tcPr>
            <w:tcW w:w="94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 2024; or</w:t>
            </w:r>
          </w:p>
        </w:tc>
      </w:tr>
    </w:tbl>
    <w:p>
      <w:pPr>
        <w:spacing w:after="0" w:line="95" w:lineRule="exact"/>
        <w:rPr>
          <w:sz w:val="20"/>
          <w:szCs w:val="20"/>
          <w:color w:val="auto"/>
        </w:rPr>
      </w:pPr>
    </w:p>
    <w:p>
      <w:pPr>
        <w:ind w:left="1400" w:hanging="406"/>
        <w:spacing w:after="0"/>
        <w:tabs>
          <w:tab w:leader="none" w:pos="14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at the Special Meeting.</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1" w:lineRule="exact"/>
        <w:rPr>
          <w:sz w:val="20"/>
          <w:szCs w:val="20"/>
          <w:color w:val="auto"/>
        </w:rPr>
      </w:pPr>
    </w:p>
    <w:p>
      <w:pPr>
        <w:jc w:val="both"/>
        <w:ind w:left="580" w:right="579" w:firstLine="41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Stockholders with shares held in street name. </w:t>
      </w:r>
      <w:r>
        <w:rPr>
          <w:rFonts w:ascii="Times New Roman" w:cs="Times New Roman" w:eastAsia="Times New Roman" w:hAnsi="Times New Roman"/>
          <w:sz w:val="17"/>
          <w:szCs w:val="17"/>
          <w:color w:val="auto"/>
        </w:rPr>
        <w:t>If you wish to revoke your proxy or vote at the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Meeting, you must follow the instructions provided to you by your bank, broker or other record holder and/or obtain from the record holder a proxy issued in your name. Your virtual attendance at the Special Meeting will not, by itself, revoke your proxy.</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count the votes?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inspector of elections appointed for the Special Meeting will tabulate and certify the votes.</w:t>
      </w:r>
    </w:p>
    <w:p>
      <w:pPr>
        <w:spacing w:after="0" w:line="222" w:lineRule="exact"/>
        <w:rPr>
          <w:sz w:val="20"/>
          <w:szCs w:val="20"/>
          <w:color w:val="auto"/>
        </w:rPr>
      </w:pPr>
    </w:p>
    <w:p>
      <w:pPr>
        <w:jc w:val="both"/>
        <w:ind w:left="580" w:right="579"/>
        <w:spacing w:after="0" w:line="299" w:lineRule="auto"/>
        <w:rPr>
          <w:sz w:val="20"/>
          <w:szCs w:val="20"/>
          <w:color w:val="auto"/>
        </w:rPr>
      </w:pPr>
      <w:r>
        <w:rPr>
          <w:rFonts w:ascii="Times New Roman" w:cs="Times New Roman" w:eastAsia="Times New Roman" w:hAnsi="Times New Roman"/>
          <w:sz w:val="17"/>
          <w:szCs w:val="17"/>
          <w:b w:val="1"/>
          <w:bCs w:val="1"/>
          <w:color w:val="auto"/>
        </w:rPr>
        <w:t>What am I voting on, how many votes are required to approve each item, how are votes counted and how does the Board recommend I vote?</w:t>
      </w:r>
    </w:p>
    <w:p>
      <w:pPr>
        <w:spacing w:after="0" w:line="78"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table below summarizes the proposals that will be voted on, the vote required to approve each item, how votes are counted and how the Board recommends you vote: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3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Impact of</w:t>
            </w:r>
          </w:p>
        </w:tc>
      </w:tr>
      <w:tr>
        <w:trPr>
          <w:trHeight w:val="196"/>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Vote</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Board</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Broker</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Abstain</w:t>
            </w:r>
          </w:p>
        </w:tc>
      </w:tr>
      <w:tr>
        <w:trPr>
          <w:trHeight w:val="245"/>
        </w:trPr>
        <w:tc>
          <w:tcPr>
            <w:tcW w:w="1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Required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Recommendation</w:t>
            </w:r>
            <w:r>
              <w:rPr>
                <w:rFonts w:ascii="Times New Roman" w:cs="Times New Roman" w:eastAsia="Times New Roman" w:hAnsi="Times New Roman"/>
                <w:sz w:val="18"/>
                <w:szCs w:val="18"/>
                <w:b w:val="1"/>
                <w:bCs w:val="1"/>
                <w:color w:val="auto"/>
                <w:vertAlign w:val="superscript"/>
              </w:rPr>
              <w:t>(1)</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Non-Votes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Vote</w:t>
            </w:r>
          </w:p>
        </w:tc>
      </w:tr>
      <w:tr>
        <w:trPr>
          <w:trHeight w:val="191"/>
        </w:trPr>
        <w:tc>
          <w:tcPr>
            <w:tcW w:w="20" w:type="dxa"/>
            <w:vAlign w:val="bottom"/>
          </w:tcPr>
          <w:p>
            <w:pPr>
              <w:spacing w:after="0"/>
              <w:rPr>
                <w:sz w:val="16"/>
                <w:szCs w:val="16"/>
                <w:color w:val="auto"/>
              </w:rPr>
            </w:pPr>
          </w:p>
        </w:tc>
        <w:tc>
          <w:tcPr>
            <w:tcW w:w="1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Proposal 1 – Reverse</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Majority</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20" w:type="dxa"/>
            <w:vAlign w:val="bottom"/>
          </w:tcPr>
          <w:p>
            <w:pPr>
              <w:spacing w:after="0"/>
              <w:rPr>
                <w:sz w:val="16"/>
                <w:szCs w:val="16"/>
                <w:color w:val="auto"/>
              </w:rPr>
            </w:pPr>
          </w:p>
        </w:tc>
        <w:tc>
          <w:tcPr>
            <w:tcW w:w="128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00" w:type="dxa"/>
            <w:vAlign w:val="bottom"/>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No broker non-votes</w:t>
            </w:r>
          </w:p>
        </w:tc>
        <w:tc>
          <w:tcPr>
            <w:tcW w:w="10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7"/>
                <w:szCs w:val="17"/>
                <w:color w:val="auto"/>
              </w:rPr>
              <w:t>Counted as</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Split</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(uninstructed 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“AGAINST” vote</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may be voted in</w:t>
            </w: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broker’s discretion)</w:t>
            </w: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2 – October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3 –</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November</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4 – January</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Issuance 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75"/>
        </w:trPr>
        <w:tc>
          <w:tcPr>
            <w:tcW w:w="16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Proposal 5 – CSPA</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Majority</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“FOR”</w:t>
            </w: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“FOR”</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 impact</w:t>
            </w:r>
          </w:p>
        </w:tc>
        <w:tc>
          <w:tcPr>
            <w:tcW w:w="13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 impact</w:t>
            </w:r>
          </w:p>
        </w:tc>
      </w:tr>
      <w:tr>
        <w:trPr>
          <w:trHeight w:val="210"/>
        </w:trPr>
        <w:tc>
          <w:tcPr>
            <w:tcW w:w="2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Proposal</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of votes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“AGAINST”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cast</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“ABSTAIN”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84"/>
        </w:trPr>
        <w:tc>
          <w:tcPr>
            <w:tcW w:w="1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82" w:lineRule="exact"/>
        <w:rPr>
          <w:sz w:val="20"/>
          <w:szCs w:val="20"/>
          <w:color w:val="auto"/>
        </w:rPr>
      </w:pPr>
    </w:p>
    <w:p>
      <w:pPr>
        <w:ind w:left="1000" w:right="579" w:hanging="426"/>
        <w:spacing w:after="0" w:line="285" w:lineRule="auto"/>
        <w:tabs>
          <w:tab w:leader="none" w:pos="10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sign and submit your proxy card without indicating your voting instructions, your shares will be voted in accordance with the Board’s recommendation.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Will any other business be conducted at the Special Meeting?</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persons named in the form of proxy card (the “proxy holders”) who you have authorized to represent you and vote your shares at the Special Meeting will vote your shares in accordance with their best judgment.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Who will pay for the cost of the proxy solicitation?</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shares held in street name) and will be reimbursed for their reasonable expenses.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REVERSE STOCK SPLIT PROPOSAL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an amendment to our Certificate of Incorporation to effect the Reverse Stock Split of the Common Stock at a ratio within the range of one-for-[•] to one-for-[•], with the exact ratio of, effective time of and decision to implement the reverse stock split to be determined by the Board in its sole discretion (the “Reverse Stock Split”).</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 xml:space="preserve">Our Certificate of Incorporation currently authorizes us to issue a total of 100,000,000,000 shares of Common Stock and 1,500,000 shares of preferred stock, par value $0.0001 per share. The Board has approved, and is seeking stockholder approval of, the amendment to the Certificate of Incorporation, in substantially the form attached hereto as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(the “Amendment”), to effect the Reverse Stock Split. The Board has unanimously determined that the Reverse Stock Split is advisable and in the best interests of the Company and our stockholders, and has directed that the adoption and approval of the Reverse Stock Split be submitted to our stockholders for consideration at the Special Meeting.</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 other changes will be made to the other provisions of the Certificate of Incorporation pursuant to the Reverse Stock Split Proposal.</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Maintain Listing on the Nasdaq Capital Market</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primary goal of the Reverse Stock Split is to increase the per share market price of our Common Stock to meet the minimum per share bid price requirements for continued listing on the Nasdaq Capital Market. We believe that proposing a range for the ratio for the Reverse Stock Split provides us with the most flexibility to achieve the desired results of the Reverse Stock Split.</w:t>
      </w:r>
    </w:p>
    <w:p>
      <w:pPr>
        <w:spacing w:after="0" w:line="103"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On December 28, 2023, we received a notice (the “Notice”) from Nasdaq stating that the Company is not in compliance with the requirement to maintain a minimum closing bid price of $1.00 per share, as set forth in Nasdaq Listing Rule 5450(a)(1) (the “Bid Price Requirement”), because the closing bid price of the Common Stock, was below $1.00 per share for 30 consecutive business days. The Notice had no immediate impact on the listing of the Common Stock on the Nasdaq Global Market. In accordance with Nasdaq Listing Rule 5810(c)(3) (A), we were provided an initial compliance period of 180 calendar days, or until June 25, 2024, to regain compliance with the Bid Price Requirement. In the event the Company does not regain compliance by June 25, 2024, the Company may be eligible for an additional 180 calendar day period to regain compliance. To qualify, the Company would be required to meet the continued listing requirement for market value of publicly held shares and all other initial listing standards for The Nasdaq Capital Market, except for the Bid Price Requirement, and transfer its listing to the Nasdaq Capital Market. The Company would also be required to provide written notice to Nasdaq of its intent to cure the deficiency during this second compliance period by effecting a reverse stock split, if necessary. However, if we are unable to regain compliance with the Bid Price Requirement during the extended 180 day grace period, Nasdaq would notify us that our securities would be subject to delisting. We may appeal any such determination to delist our securities, but there can be no assurance that any such appeal would be successful. As of the date of this proxy statement, we have begun the process to transfer to the Nasdaq Capital Market. We expect that by the time of the Meeting, we will have transferred to the Nasdaq Capital Market.</w:t>
      </w:r>
    </w:p>
    <w:p>
      <w:pPr>
        <w:spacing w:after="0" w:line="33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Board believes that the proposed Reverse Stock Split is our best option to meet the criteria to satisfy the Bid Price Requirement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remain over the Bid Price Requirement of Nasdaq following the Reverse Stock Split.</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Potential Increased Interest from New Investors</w:t>
      </w:r>
    </w:p>
    <w:p>
      <w:pPr>
        <w:spacing w:after="0" w:line="147" w:lineRule="exact"/>
        <w:rPr>
          <w:sz w:val="20"/>
          <w:szCs w:val="20"/>
          <w:color w:val="auto"/>
        </w:rPr>
      </w:pPr>
    </w:p>
    <w:p>
      <w:pPr>
        <w:jc w:val="both"/>
        <w:ind w:left="580" w:right="579" w:firstLine="419"/>
        <w:spacing w:after="0" w:line="274" w:lineRule="auto"/>
        <w:rPr>
          <w:sz w:val="20"/>
          <w:szCs w:val="20"/>
          <w:color w:val="auto"/>
        </w:rPr>
      </w:pPr>
      <w:r>
        <w:rPr>
          <w:rFonts w:ascii="Times New Roman" w:cs="Times New Roman" w:eastAsia="Times New Roman" w:hAnsi="Times New Roman"/>
          <w:sz w:val="17"/>
          <w:szCs w:val="17"/>
          <w:color w:val="auto"/>
        </w:rPr>
        <w:t>We believe increasing the trading price of our Common Stock may also assist in our capital-raising efforts by making our Common Stock more attractive to a broader range of investors and promote greater liquidity for our stockholders. A greater price per share of our Common Stock could allow a broader range of institutions to invest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4" w:lineRule="auto"/>
        <w:rPr>
          <w:sz w:val="20"/>
          <w:szCs w:val="20"/>
          <w:color w:val="auto"/>
        </w:rPr>
      </w:pPr>
      <w:r>
        <w:rPr>
          <w:rFonts w:ascii="Times New Roman" w:cs="Times New Roman" w:eastAsia="Times New Roman" w:hAnsi="Times New Roman"/>
          <w:sz w:val="17"/>
          <w:szCs w:val="17"/>
          <w:color w:val="auto"/>
        </w:rPr>
        <w:t>in our Common Stock (namely, funds that are prohibited or discouraged from buying stocks with a price below a certain threshold), potentially increasing marketability, trading volume and liquidity of our Common Stock. Many institutional investors view stocks trading at low prices as unduly speculative in nature and, as a result, avoid investing in such stocks. We believe that the Reverse Stock Split will provide the Board flexibility to make our Common Stock a more attractive investment for these institutional investors, which we believe will enhance the liquidity for the holders of our Common Stock and may facilitate future sales of our Common Stock.</w:t>
      </w:r>
    </w:p>
    <w:p>
      <w:pPr>
        <w:spacing w:after="0" w:line="321"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could also increase interest in our Common Stock for analysts and brokers who may otherwise have policies that discourage or prohibit them in following or recommending companies with low stock prices. Additionally, because brokers’ commissions on transactions in low-priced stocks generally represent a higher percentage of the stock price than commissions on higher-priced stocks, the current average price per share of our Common Stock can result in individual stockholders paying transaction costs representing a higher percentage of their total share value than would be the case if the share price were substantially higher.</w:t>
      </w:r>
    </w:p>
    <w:p>
      <w:pPr>
        <w:spacing w:after="0" w:line="106"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The Board intends to effect the Reverse Stock Split only if it believes that a decrease in the number of shares outstanding is in the best interests of the Company and our stockholders and is likely to improve the trading price of our Common Stock and improve the likelihood that we will be allowed to maintain our listing on the Nasdaq Capital Market. Accordingly, our Board approved the Reverse Stock Split as being advisable and in the best interests of the Company.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Effects of the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Issued and Outstanding Shares</w:t>
      </w:r>
    </w:p>
    <w:p>
      <w:pPr>
        <w:spacing w:after="0" w:line="147"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If the Reverse Stock Split is effected, it will reduce the total number of issued and outstanding shares of Common Stock by a Reverse Stock Split ratio of between one-for-[•] and one-for-[•]. Accordingly, each of our stockholders will own fewer shares of Common Stock as a result of the Reverse Stock Split. However, the Reverse Stock Split will affect all stockholders uniformly and will not affect any stockholder’s percentage ownership interest in the Company, except to the extent that the Reverse Stock Split would result in an adjustment to a stockholder’s ownership of Common Stock due to the treatment of fractional shares in the Reverse Stock Split. Therefore, voting rights and other rights, powers and preferences of the holders of Common Stock will not be affected by the Reverse Stock Split (other than as a result of the treatment of fractional shares). Common Stock issued pursuant to the Reverse Stock Split will remain fully paid and nonassessable, and the par value per share of Common Stock will remain $0.0001.</w:t>
      </w:r>
    </w:p>
    <w:p>
      <w:pPr>
        <w:spacing w:after="0" w:line="114"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the Record Date, the Company had [•] shares of Common Stock issued and outstanding. For purposes of illustration, if the Reverse Stock Split is effected at a ratio of 1-for-[•], 1-for-[•] or 1-for-[•], the number of issued and outstanding shares of Common Stock after the Reverse Stock Split would be approximately [•] shares, [•] shares and [•] shares, respectively.</w:t>
      </w:r>
    </w:p>
    <w:p>
      <w:pPr>
        <w:spacing w:after="0" w:line="103" w:lineRule="exact"/>
        <w:rPr>
          <w:sz w:val="20"/>
          <w:szCs w:val="20"/>
          <w:color w:val="auto"/>
        </w:rPr>
      </w:pPr>
    </w:p>
    <w:p>
      <w:pPr>
        <w:jc w:val="both"/>
        <w:ind w:left="580" w:right="579" w:firstLine="419"/>
        <w:spacing w:after="0" w:line="266" w:lineRule="auto"/>
        <w:rPr>
          <w:sz w:val="20"/>
          <w:szCs w:val="20"/>
          <w:color w:val="auto"/>
        </w:rPr>
      </w:pPr>
      <w:r>
        <w:rPr>
          <w:rFonts w:ascii="Times New Roman" w:cs="Times New Roman" w:eastAsia="Times New Roman" w:hAnsi="Times New Roman"/>
          <w:sz w:val="17"/>
          <w:szCs w:val="17"/>
          <w:color w:val="auto"/>
        </w:rPr>
        <w:t>We are currently authorized to issue a maximum of 100,000,000,000 shares of Common Stock. Although the number of authorized shares of Common Stock will not change as a result of the Reverse Stock Split, the number of shares of our Common Stock issued and outstanding will be reduced in proportion to the ratio selected by the Board. Thus, the Reverse Stock Split will effectively increase the number of authorized and unissued shares of our Common Stock available for future issuance by the amount of the reduction effected by the Reverse Stock Split.</w:t>
      </w:r>
    </w:p>
    <w:p>
      <w:pPr>
        <w:spacing w:after="0" w:line="305"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Following the Reverse Stock Split, the Board will have the authority to issue the additional shares of Common Stock without requiring future stockholder approval of such issuances, except as may be required by applicable law or rules of any stock exchange on which our securities may be listed. The issuance of additional shares of Common Stock will decrease the relative percentage of equity ownership of our existing stockholders, thereby diluting the voting power of their Common Stock, and, depending on the price at which additional shares may be issued, could also be dilutive to the earnings per share of our Common Stock. We do not currently have any specific plans, proposals or understandings to issue the additional shares that would be available if the Reverse Stock Split is approved and effected, but our liquidity needs have resulted in us accessing the capital markets frequently and we have a significant number of shares authorized for future issuance before the Reverse Stock Split and expect to have a significant number still available following it.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Authorized Share Capital</w:t>
      </w:r>
    </w:p>
    <w:p>
      <w:pPr>
        <w:spacing w:after="0" w:line="121"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total number of shares of Common Stock that we are authorized to issue will not be affected by the Reverse Stock Split.</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Outstanding Equity Awards and Plans</w:t>
      </w:r>
    </w:p>
    <w:p>
      <w:pPr>
        <w:spacing w:after="0" w:line="121"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If the Reverse Stock Split is effected, the terms of equity awards granted under the Amended and Restated Presto Automation Inc. 2022 Incentive Award Plan (the “Incentive Plan”), including (i) the number of shares and type of Common Stock (or the securities or property) which thereafter may be made the subject of awards;</w:t>
      </w:r>
    </w:p>
    <w:p>
      <w:pPr>
        <w:spacing w:after="0" w:line="2" w:lineRule="exact"/>
        <w:rPr>
          <w:sz w:val="20"/>
          <w:szCs w:val="20"/>
          <w:color w:val="auto"/>
        </w:rPr>
      </w:pPr>
    </w:p>
    <w:p>
      <w:pPr>
        <w:jc w:val="both"/>
        <w:ind w:left="580" w:right="579" w:hanging="6"/>
        <w:spacing w:after="0" w:line="257" w:lineRule="auto"/>
        <w:tabs>
          <w:tab w:leader="none" w:pos="85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and type of Common Stock (or other securities or property) subject to outstanding awards; (iii) the number of shares and type of Common Stock (or other securities or property) specified as the annual per-participant limitation under the Incentive Plan; (iv) the option price of each outstanding stock option;</w:t>
      </w:r>
    </w:p>
    <w:p>
      <w:pPr>
        <w:jc w:val="both"/>
        <w:ind w:left="580" w:right="579" w:hanging="6"/>
        <w:spacing w:after="0" w:line="259" w:lineRule="auto"/>
        <w:tabs>
          <w:tab w:leader="none" w:pos="834"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if any, paid for forfeited shares in accordance with the terms of the Incentive Plan; and (vi) the number of or exercise price of shares then subject to outstanding SARs previously granted and unexercised under the Incentive Plan, will be proportionally adjusted to the end that the same proportion of our issued and outstanding shares of Common Stock in each instance shall remain subject to exercise at the same aggregate exercise price; subject to adjustments for any fractional shares as described herein and provided, however, that the number of shares of Common Stock (or other securities or property) subject to any award shall always be a whole number. In addition, the total number of shares of Common Stock that may be the subject of future grants under the Incentive Plan, as well as any plan limits on the size of such grants (e.g., the Incentive Plan’s limit on the number of stock options or stock appreciation rights that may be granted to our executive officers in any calendar year) will be adjusted and proportionately decreased as a result of the Reverse Stock Split.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 of the Reverse Stock Split on Convertible Securities</w:t>
      </w:r>
    </w:p>
    <w:p>
      <w:pPr>
        <w:spacing w:after="0" w:line="10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exercise or conversion price and/or the number of Shares issuable under any of the Company’s outstanding convertible securities, including under outstanding warrants, rights, convertible notes and any other similar securities will be proportionately adjusted upon the implementation of the Reverse Stock Split, in accordance with the terms of such securities, based on the Reverse Stock Split ratio.</w:t>
      </w:r>
    </w:p>
    <w:p>
      <w:pPr>
        <w:spacing w:after="0" w:line="1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Voting Rights</w:t>
      </w:r>
    </w:p>
    <w:p>
      <w:pPr>
        <w:spacing w:after="0" w:line="108" w:lineRule="exact"/>
        <w:rPr>
          <w:sz w:val="20"/>
          <w:szCs w:val="20"/>
          <w:color w:val="auto"/>
        </w:rPr>
      </w:pPr>
    </w:p>
    <w:p>
      <w:pPr>
        <w:jc w:val="both"/>
        <w:ind w:left="580" w:right="579" w:firstLine="419"/>
        <w:spacing w:after="0" w:line="268" w:lineRule="auto"/>
        <w:rPr>
          <w:sz w:val="20"/>
          <w:szCs w:val="20"/>
          <w:color w:val="auto"/>
        </w:rPr>
      </w:pPr>
      <w:r>
        <w:rPr>
          <w:rFonts w:ascii="Times New Roman" w:cs="Times New Roman" w:eastAsia="Times New Roman" w:hAnsi="Times New Roman"/>
          <w:sz w:val="17"/>
          <w:szCs w:val="17"/>
          <w:color w:val="auto"/>
        </w:rPr>
        <w:t>Proportionate voting rights and other rights of the holders of Common Stock would not be affected by the Reverse Stock Split (other than as a result of the treatment of fractional shares). For example, a holder of 1% of the voting power of the outstanding Common Stock immediately prior to the effective time of the Reverse Stock Split would continue to hold 1% of the voting power of the outstanding Common Stock after the Reverse Stock Split.</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Effects of the Reverse Stock Split on Regulatory Matters</w:t>
      </w:r>
    </w:p>
    <w:p>
      <w:pPr>
        <w:spacing w:after="0" w:line="95" w:lineRule="exact"/>
        <w:rPr>
          <w:sz w:val="20"/>
          <w:szCs w:val="20"/>
          <w:color w:val="auto"/>
        </w:rPr>
      </w:pPr>
    </w:p>
    <w:p>
      <w:pPr>
        <w:jc w:val="both"/>
        <w:ind w:left="580" w:right="599" w:firstLine="419"/>
        <w:spacing w:after="0" w:line="289" w:lineRule="auto"/>
        <w:rPr>
          <w:sz w:val="20"/>
          <w:szCs w:val="20"/>
          <w:color w:val="auto"/>
        </w:rPr>
      </w:pPr>
      <w:r>
        <w:rPr>
          <w:rFonts w:ascii="Times New Roman" w:cs="Times New Roman" w:eastAsia="Times New Roman" w:hAnsi="Times New Roman"/>
          <w:sz w:val="17"/>
          <w:szCs w:val="17"/>
          <w:color w:val="auto"/>
        </w:rPr>
        <w:t>The Company is subject to the periodic reporting and other requirements of the Exchange Act. The Reverse Stock Split will not affect the Company’s obligation to publicly file financial and other information with the SEC.</w:t>
      </w:r>
    </w:p>
    <w:p>
      <w:pPr>
        <w:spacing w:after="0" w:line="3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Treatment of Fractional Shares in the Reverse Stock Split</w:t>
      </w:r>
    </w:p>
    <w:p>
      <w:pPr>
        <w:spacing w:after="0" w:line="95"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Company does not intend to issue fractional shares in the event that a stockholder owns a number of shares of Common Stock that is not evenly divisible by the Reverse Stock Split ratio. If the Reverse Stock Split is effected, each fractional share of Common Stock will be:</w:t>
      </w:r>
    </w:p>
    <w:p>
      <w:pPr>
        <w:spacing w:after="0" w:line="46" w:lineRule="exact"/>
        <w:rPr>
          <w:sz w:val="20"/>
          <w:szCs w:val="20"/>
          <w:color w:val="auto"/>
        </w:rPr>
      </w:pPr>
    </w:p>
    <w:p>
      <w:pPr>
        <w:ind w:left="1420" w:right="599" w:hanging="426"/>
        <w:spacing w:after="0" w:line="29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up to the nearest whole share of Common Stock after all of the fractional interests of a holder have been aggregated, if such shares of Common Stock are held directly; or</w:t>
      </w:r>
    </w:p>
    <w:p>
      <w:pPr>
        <w:spacing w:after="0" w:line="2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rounded down to the nearest whole share of Common Stock, if such shares are subject to an award granted under the Incentive Plan, in order to comply with the requirements of Sections 409A and 424 of the Internal Revenue Code.</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Determination of the Reverse Stock Split Ratio</w:t>
      </w:r>
    </w:p>
    <w:p>
      <w:pPr>
        <w:spacing w:after="0" w:line="12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Board believes that stockholder approval of a range of potential Reverse Stock Split ratios is in the best interests of our Company and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 less than 1-for-[•] and no more than 1-for-[•].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selection of the specific Reverse Stock Split ratio will be based on several factors, including, among other things:</w:t>
      </w:r>
    </w:p>
    <w:p>
      <w:pPr>
        <w:spacing w:after="0" w:line="81" w:lineRule="exact"/>
        <w:rPr>
          <w:sz w:val="20"/>
          <w:szCs w:val="20"/>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listing of our Common Stock on the Nasdaq Capital Market;</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 share price of our Common Stock immediately prior to the Reverse Stock Split;</w:t>
      </w:r>
    </w:p>
    <w:p>
      <w:pPr>
        <w:spacing w:after="0" w:line="145" w:lineRule="exact"/>
        <w:rPr>
          <w:rFonts w:ascii="Times New Roman" w:cs="Times New Roman" w:eastAsia="Times New Roman" w:hAnsi="Times New Roman"/>
          <w:sz w:val="17"/>
          <w:szCs w:val="17"/>
          <w:color w:val="auto"/>
        </w:rPr>
      </w:pPr>
    </w:p>
    <w:p>
      <w:pPr>
        <w:ind w:left="1420" w:right="599" w:hanging="426"/>
        <w:spacing w:after="0" w:line="268"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stability of the per share price of our Common Stock following the Reverse Stock Split;</w:t>
      </w:r>
    </w:p>
    <w:p>
      <w:pPr>
        <w:spacing w:after="0" w:line="344" w:lineRule="exact"/>
        <w:rPr>
          <w:rFonts w:ascii="Times New Roman" w:cs="Times New Roman" w:eastAsia="Times New Roman" w:hAnsi="Times New Roman"/>
          <w:sz w:val="17"/>
          <w:szCs w:val="17"/>
          <w:color w:val="auto"/>
        </w:rPr>
      </w:pPr>
    </w:p>
    <w:p>
      <w:pPr>
        <w:ind w:left="1420" w:right="599" w:hanging="426"/>
        <w:spacing w:after="0" w:line="296" w:lineRule="auto"/>
        <w:tabs>
          <w:tab w:leader="none" w:pos="14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that the Reverse Stock Split will result in increased marketability and liquidity of our Common Stock;</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market conditions;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our industry;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before, and anticipated market capitalization after, the Reverse Stock Split.</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Risks and Potential Disadvantages Associated with Reverse Stock Split</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Not Result in an Increase to our Stock Price</w:t>
      </w:r>
    </w:p>
    <w:p>
      <w:pPr>
        <w:spacing w:after="0" w:line="14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We expect that a Reverse Stock Split will increase the market price of our Common Stock to a level that would meet the Bid Price Requirement and potentially attract more investors. However, the effect of a Reverse Stock Split on the market price of our Common Stock cannot be predicted with any certainty, and the history of reverse stock splits for other companies in our industry is varied, particularly since some investors may view a reverse stock split negatively. It is possible that the per share price of our Common Stock after a Reverse Stock Split will not increase in the same proportion as the reduction in the number of our outstanding shares of Common Stock following the Reverse Stock Split, causing a reduction in the value of the Company as measured by our market capitalization, and the Reverse Stock Split may not result in a per share price that would attract brokers and investors who do not trade in lower-priced stocks. In addition, although we believe a Reverse Stock Split may enhance the desirability of our common stock to certain potential investors, we cannot assure you that, if implemented, our common stock will be more attractive to institutional or other long-term investors. Even if we implement a Reverse Stock Split, the market price of our Common Stock may decrease due to factors unrelated to the Reverse Stock Split. In any case, the market price of our Common Stock may also be based on other factors which may be unrelated to the number of shares outstanding, including our future performance. If a Reverse Stock Split is consummated and the trading price of the Common Stock declines, the percentage decline as an absolute number and as a percentage of our overall market capitalization may be greater than would occur in the absence of the Reverse Stock Split. If, in the future, we again become non-compliant with the continued listing requirement, Nasdaq may suspend trading of our Common Stock and commence delisting proceedings before we are able to implement the Reverse Stock Split.</w:t>
      </w:r>
    </w:p>
    <w:p>
      <w:pPr>
        <w:spacing w:after="0" w:line="118"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In addition, we have received other notices from Nasdaq regarding non-compliance with other Nasdaq listing requirements that we may not be able to comply with regardless of the Reverse Stock Split.</w:t>
      </w:r>
    </w:p>
    <w:p>
      <w:pPr>
        <w:spacing w:after="0" w:line="145" w:lineRule="exact"/>
        <w:rPr>
          <w:sz w:val="20"/>
          <w:szCs w:val="20"/>
          <w:color w:val="auto"/>
        </w:rPr>
      </w:pPr>
    </w:p>
    <w:p>
      <w:pPr>
        <w:jc w:val="both"/>
        <w:ind w:left="580" w:right="599"/>
        <w:spacing w:after="0" w:line="299" w:lineRule="auto"/>
        <w:rPr>
          <w:sz w:val="20"/>
          <w:szCs w:val="20"/>
          <w:color w:val="auto"/>
        </w:rPr>
      </w:pPr>
      <w:r>
        <w:rPr>
          <w:rFonts w:ascii="Times New Roman" w:cs="Times New Roman" w:eastAsia="Times New Roman" w:hAnsi="Times New Roman"/>
          <w:sz w:val="17"/>
          <w:szCs w:val="17"/>
          <w:i w:val="1"/>
          <w:iCs w:val="1"/>
          <w:color w:val="auto"/>
        </w:rPr>
        <w:t>The Reverse Stock Split May Decrease the Liquidity of Our Common Stock and Result in Higher Transaction Costs</w:t>
      </w:r>
    </w:p>
    <w:p>
      <w:pPr>
        <w:spacing w:after="0" w:line="7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The liquidity of our Common Stock may be negatively impacted by a Reverse Stock Split, given the reduced number of shares that would be outstanding after the Reverse Stock Split, particularly if the stock price does not increase as a result of the Reverse Stock Split. In addition, if a Reverse Stock Split is implemented, it will increase the number of our stockholders who own “odd lots” of fewer than 100 shares of Common Stock. Brokerage commission and other costs of transactions in odd lots are generally higher than the costs of transactions of more than 100 shares of Common Stock. Accordingly, a Reverse Stock Split may not achieve the desired results of increasing marketability and liquidity of our Common Stock described above.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i w:val="1"/>
          <w:iCs w:val="1"/>
          <w:color w:val="auto"/>
        </w:rPr>
        <w:t>The Reverse Stock Split May Lead to a Decrease in our Overall Market Capitalization</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Effectiveness of Amendment</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If the Reverse Stock Split Proposal is approved by our stockholders and the Reverse Stock Split is effected, up to every [•] shares of our outstanding Common Stock would be combined and reclassified into one share of Common Stock. The actual timing for implementation of the Reverse Stock Split and the specific ratio would be determined by the Board based upon its evaluation as to when such action would be most advantageous to the Company and its stockholders, but in no event later than the one-year anniversary of the date on which the Reverse Stock Split is approved by the Company’s stockholders at the Special Meeting. Notwithstanding approval of the Reverse Stock Split Proposal by our stockholders, the Board will have the sole authority to elect whether or not and when to amend our Certificate of Incorporation to effect the Reverse Stock Split. If the Reverse Stock Split Proposal is approved by our stockholders, the Board will make a determination as to whether effecting the Reverse Stock Split is in the best interests of the Company and our stockholders in light of, among other things, the Company’s ability to increase the trading price of our Common Stock to meet the Bid Price Requirement of the Nasdaq Capital Market without effecting the Reverse Stock Split, the per share price of the Common Stock immediately prior to the Reverse Stock Split and the expected stability of the per share price of the Common Stock following the Reverse Stock Split.</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 xml:space="preserve">The text of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remains subject to modification to include such changes as may be required by the Secretary of State of the State of Delaware and as the Board deems necessary or advisable to implement the Reverse Stock Split.</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Proposal is not approved by our stockholders, our Board will not have the authority to effect the amendment to the Certificate of Incorporation to, among other things, facilitate the continued listing of our Common Stock on the Nasdaq Capital Market by increasing the per share trading price of our Common Stock to meet the Bid Price Requirement. Any inability of our Board to effect the Reverse Stock Split could expose us to imminent delisting from the Nasdaq Capital Market. If stockholder approval for the Reverse Stock Split is not obtained, the number of shares of Common Stock that are issued will not change and the anticipated benefits of the Reverse Stock Split described above will not be achieved.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Appraisal Rights</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Under the Delaware General Corporation Law, our stockholders are not entitled to appraisal or dissenter’s rights with respect to the Reverse Stock Split, and we will not independently provide our stockholders with any such rights.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Regulatory Approvals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amendment of the Certificate of Incorporation to effect the Reverse Stock Split with the Secretary of State of the State of Delaware.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Treatment of the Reverse Stock Split</w:t>
      </w:r>
    </w:p>
    <w:p>
      <w:pPr>
        <w:spacing w:after="0" w:line="160"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the Reverse Stock Split is effected, the par value per share of our Common Stock will remain unchanged at $0.0001. Accordingly, on the effective date of the Reverse Stock Split, the stated capital on the Company’s consolidated balance sheets attributable to our Common Stock will be reduced in proportion to the size of the Reverse Stock Split ratio, and the additional paid-in-capital account will be increased by the amount by which the stated capital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spacing w:after="0" w:line="267" w:lineRule="auto"/>
        <w:rPr>
          <w:sz w:val="20"/>
          <w:szCs w:val="20"/>
          <w:color w:val="auto"/>
        </w:rPr>
      </w:pPr>
      <w:r>
        <w:rPr>
          <w:rFonts w:ascii="Times New Roman" w:cs="Times New Roman" w:eastAsia="Times New Roman" w:hAnsi="Times New Roman"/>
          <w:sz w:val="17"/>
          <w:szCs w:val="17"/>
          <w:color w:val="auto"/>
        </w:rPr>
        <w:t>is reduced. Our stockholders’ equity, in the aggregate, will remain unchanged. Per share net income or loss will be increased because there will be fewer shares of Common Stock outstanding. The Common Stock held in treasury will be reduced in proportion to the Reverse Stock Split ratio. The Company does not anticipate that any other accounting consequences, including changes to the amount of stock-based compensation expense to be recognized in any period, will arise as a result of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Certain U.S. Federal Income Tax Consequences of the Reverse Stock Split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following is a discussion of certain material U.S. federal income tax consequences of the Reverse Stock Split. This discussion is included for general information purposes only and does not purport to address all aspects of U.S. federal income tax law that may be relevant to stockholders in light of their particular circumstances. This discussion is based on the Code and current Treasury Regulations, administrative rulings and court decisions, all of which are subject to change, possibly on a retroactive basis, and any such change could affect the continuing validity of this discussion.</w:t>
      </w:r>
    </w:p>
    <w:p>
      <w:pPr>
        <w:spacing w:after="0" w:line="106"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All stockholders are urged to consult with their own tax advisors with respect to the tax consequences of the Reverse Stock Split. This discussion does not address the tax consequences to stockholders that are subject to special tax rules, such as banks, insurance companies, real estate investment trusts, regulated investment companies, personal holding companies, foreign entities, partnerships, nonresident alien individuals, broker-dealers and tax-exempt entities, persons holding shares as part of a straddle, hedge, conversion transaction or other integrated investment, U.S. holders (as defined below) subject to the alternative minimum tax or the net investment income tax and U.S. holders whose functional currency is not the U.S. dollar. This summary also assumes that the pre-Reverse Stock Split shares of Common Stock were, and the post-Reverse Stock Split shares of Common Stock will be, held as a “capital asset,” as defined in Section 1221 of the Internal Revenue Code.</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used herein, the term “U.S. holder” means a holder that is, for U.S. federal income tax purposes:</w:t>
      </w:r>
    </w:p>
    <w:p>
      <w:pPr>
        <w:spacing w:after="0" w:line="158" w:lineRule="exact"/>
        <w:rPr>
          <w:sz w:val="20"/>
          <w:szCs w:val="20"/>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579" w:hanging="426"/>
        <w:spacing w:after="0" w:line="29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taxed as a corporation created or organized in or under the laws of the United States, any state thereof or the District of Columbia;</w:t>
      </w:r>
    </w:p>
    <w:p>
      <w:pPr>
        <w:spacing w:after="0" w:line="67"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58" w:lineRule="exact"/>
        <w:rPr>
          <w:rFonts w:ascii="Times New Roman" w:cs="Times New Roman" w:eastAsia="Times New Roman" w:hAnsi="Times New Roman"/>
          <w:sz w:val="17"/>
          <w:szCs w:val="17"/>
          <w:color w:val="auto"/>
        </w:rPr>
      </w:pPr>
    </w:p>
    <w:p>
      <w:pPr>
        <w:jc w:val="both"/>
        <w:ind w:left="1420" w:right="599" w:hanging="426"/>
        <w:spacing w:after="0" w:line="276" w:lineRule="auto"/>
        <w:tabs>
          <w:tab w:leader="none" w:pos="14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(A) if a U.S. court is able to exercise primary supervision over the administration of the trust and one or more “U.S. persons” (as defined in the Code) have the authority to control all substantial decisions of the trust or (B) that has a valid election in effect to be treated as a U.S. person.</w:t>
      </w:r>
    </w:p>
    <w:p>
      <w:pPr>
        <w:spacing w:after="0" w:line="98"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general, no gain or loss should be recognized by a stockholder upon the exchange of pre-Reverse Stock Split Common Stock for post-Reverse Stock Split Common Stock. The aggregate tax basis of the post-Reverse Stock Split Common Stock should be the same as the aggregate tax basis of the pre-Reverse Stock Split Common Stock exchanged in the Reverse Stock Split. A stockholder’s holding period in the post-Reverse Stock Split Common Stock should include the period during which the stockholder held the pre-Reverse Stock Split Common Stock exchanged in the Reverse Stock Split.</w:t>
      </w:r>
    </w:p>
    <w:p>
      <w:pPr>
        <w:spacing w:after="0" w:line="93"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As noted above, we will not issue fractional shares of Common Stock in connection with the Reverse Stock Split. In certain circumstances, stockholders who would be entitled to receive fractional shares of Common Stock because they hold a number of shares not evenly divisible by the Reverse Stock Split ratio will automatically be entitled to receive an additional fraction of a share of Common Stock to round up to the next whole post-Reverse Stock Split share of Common Stock. The U.S. federal income tax consequences of the receipt of such an additional fraction of a share of Common Stock is not clear. It is possible that the receipt of such an additional fraction of a share of Common Stock may be treated as a distribution taxable as a dividend or as an amount received in exchange for Common Stock. We intend to treat the issuance of such an additional fraction of a share of Common Stock in the Reverse Stock Split as a non-recognition event, but there can be no assurance that the Internal Revenue Service or a court would not successfully assert otherwise.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Required Vote of Stockholders</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To be approved by the stockholders, the Reverse Stock Split Proposal must receive the affirmative vote of a majority of the votes cast at the Special Meeting. Abstentions and broker non-votes will have the same effect as an “Against” vote on this proposal. However, this proposal is a routine matter and brokers and other nominees may generally vote in their discretion on routine matters and, therefore, broker non-votes are not expected on this proposal.</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THAT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REVERSE STOCK SPLIT PROPOSAL.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 — OCTOBER ISSUANCE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41,785,714 (on a pre-Reverse Stock Split basis) shares of Common Stock to Presto CA and the Lenders upon operation of anti-dilution provisions contained in the CA Purchase Agreement (as defined below) and the Third Amendment Conversion Warrants (as defined below), as required by and in accordance with Nasdaq Listing Rule 5635(d).</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On October 10, 2023, the Company entered into a securities purchase agreement (the “CA Purchase Agreement”) with Presto CA, pursuant to which the Company agreed to sell 1,500,000 newly issued shares of Common Stock to Presto CA, at a purchase price of $2.00 per share for an aggregate purchase price of $3.0 million in a private placement pursuant to Section 4(a)(2) of the Securities Act of 1933, as amended (the “Private Placement”). Presto CA is affiliated with Cleveland Avenue, and Keith Kravcik, a director of Presto, is the Chief Investment Officer of all of Cleveland Avenue’s various Investment Funds, including the funds invested in Presto CA. Presto CA is a lender under a secured promissory note issued by Presto, dated as of March 21, 2024, in principal amount of $4 million. The CA Purchase Agreement includes anti-dilution provisions relating to future issuances or deemed issuances of the Company’s Common Stock from the closing date of the Private Placement to December 31, 2024 at a price per share below the Per Share Purchase Price (as defined in the CA Purchase Agreement), which would require the Company to issue additional shares of Common Stock to Presto CA, upon the terms and subject to the conditions contained in the CA Purchase Agreement.</w:t>
      </w:r>
    </w:p>
    <w:p>
      <w:pPr>
        <w:spacing w:after="0" w:line="327" w:lineRule="exact"/>
        <w:rPr>
          <w:sz w:val="20"/>
          <w:szCs w:val="20"/>
          <w:color w:val="auto"/>
        </w:rPr>
      </w:pPr>
    </w:p>
    <w:p>
      <w:pPr>
        <w:jc w:val="both"/>
        <w:ind w:left="580" w:right="579" w:firstLine="419"/>
        <w:spacing w:after="0" w:line="259" w:lineRule="auto"/>
        <w:rPr>
          <w:sz w:val="20"/>
          <w:szCs w:val="20"/>
          <w:color w:val="auto"/>
        </w:rPr>
      </w:pPr>
      <w:r>
        <w:rPr>
          <w:rFonts w:ascii="Times New Roman" w:cs="Times New Roman" w:eastAsia="Times New Roman" w:hAnsi="Times New Roman"/>
          <w:sz w:val="17"/>
          <w:szCs w:val="17"/>
          <w:color w:val="auto"/>
        </w:rPr>
        <w:t>In addition, on October 10, 2023, the Company entered into a Third Amendment (the “Third Amendment”) to the Credit Agreement with Metropolitan Partners Group Administration, LLC, the administrative, payment and collateral agent (the “Agent”) for the Lenders. In connection with the effectiveness of the Third Amendment, on October 16, 2023, the Company issued (i) warrants to purchase 3,000,000 shares of Common Stock at a purchase price of $0.01 per share to the Lenders in exchange for an aggregate of $6,000,000 of accrued and previously capitalized interest (as subsequently amended and restated, the “Third Amendment Conversion Warrants”) and (ii) warrants to purchase 25,000 shares of Common Stock at a purchase price of $0.01 per share (the “Third Amendment Purchase Warrants” and, together with the Third Amendment Conversion Warrants, the “Third Amendment Warrants”) to the Lenders in exchange for the Agent entering into the Third Amendment (such issuance of the Third Amendment Warrants, together with the Private Placement, is referred to herein as the “October 2023 Offering”). The Third Amendment Warrants may be exercised for cash or pursuant to a net exercise at any time on or before the date that is the five year anniversary of the date of the issuance of the Third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Third Amendment Conversion Warrants are subject to anti-dilution provisions relating to future issuances or deemed issuances of the Company’s Common Stock from the issuance date of the Third Amendment Conversion Warrants to December 31, 2024 at a price per share below the Applicable Issuance Price (as defined in the Third Amendment Conversion Warrants), upon the terms and subject to the conditions contained in the Third Amendment Conversion Warrants.</w:t>
      </w:r>
    </w:p>
    <w:p>
      <w:pPr>
        <w:spacing w:after="0" w:line="10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Each of the November 2023 Offering (as defined under “Proposal 2 — November Issuance Proposal” herein) and the January 2024 Offering (as defined under “Proposal 3 — January Issuance Proposal” herein) triggered anti-dilution adjustment provisions in the CA Purchase Agreement and the Third Amendment Conversion Warrants. As a result, (i) the “New Issuance Price” under the CA Purchase Agreement and the Third Amendment Conversion Warrants for the purpose of anti-dilution protection would be $0.40, and (ii) the Company issued an additional 6,000,000 shares of Common Stock to Presto CA and increased the amount of Common Stock issuable upon the exercise of the Third Amendment Conversion Warrants from 3,000,000 shares to 15,000,000 shares.</w:t>
      </w:r>
    </w:p>
    <w:p>
      <w:pPr>
        <w:spacing w:after="0" w:line="113"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Company received gross proceeds of approximately $3.0 million from the Private Placement, prior to deducting fees and offering expenses. The Company did not receive any cash proceeds from the issuance of the Warrants, but did receive a reduction of $6.0 million of the Company’s secured debt.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March 4, 2024, the Company completed a registered direct offering of an aggregate of 8,533,000 shares of the Company’s Common Stock (the “March 4 Offering”). The March 4 Offering triggered anti-dilution adjustment provisions in the CA Purchase Agreement and the Third Amendment Conversion Warrants. The Company agreed with each of Presto CA and the Lenders that the “New Issuance Price” (as defined in the CA Purchase Agreement and the Third Amendment Conversion Warrants, respectively) would be $0.25. As a result of the March 4 Offering, the Company is required to issue an additional 4,500,000 shares of Common Stock to Presto CA and increase the amount of Common Stock issuable upon the exercise of the Third Amendment Conversion Warrants from 15,000,000 shares to 24,000,000 shares.</w:t>
      </w:r>
    </w:p>
    <w:p>
      <w:pPr>
        <w:spacing w:after="0" w:line="113"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a registered direct offering of an aggregate of 10,892,851 shares of the Company’s Common Stock (the “May Offering”). The May Offering triggered anti-dilution adjustment provisions in the CA Purchase Agreement and the Third Amendment Conversion Warrants. The Company agreed with each of Presto CA and the Lenders that the “New Issuance Price” (as defined in the CA Purchase Agreement and the Third Amendment Conversion Warrants, respectively) would be $0.14. As a result of the May Offering, the Company is required to issue an additional 9,428,571 shares of Common Stock to Presto CA and increase the amount of Common Stock issuable upon the exercise of the Third Amendment Conversion Warrants from 24,000,000 shares to 42,857,143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October 2023 Offering was necessary in light of the Company’s cash requirements at the time. The proceeds that we received from the October 2023 Offering allowed the Company to fund its business operations. We also believe that the anti-dilution protections contained in the CA Purchase Agreement and the Third Amendment Conversion Warrants were reasonable in light of market conditions and the size and type of the October 2023 Offering, and that we would not have been able to complete the October 2023 Offering unless such anti-dilution provisions were offered.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CA Purchase Agreement and the Third Amendment Conversion Warrants, we are seeking stockholder approval of this October Issuance Proposal.</w:t>
      </w:r>
    </w:p>
    <w:p>
      <w:pPr>
        <w:spacing w:after="0" w:line="10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1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October 2023 Offering did not constitute a public offering under the Nasdaq Listing Rules. On October 9, 2023, the last trading day prior to the entry into the CA Purchase Agreement and the issuance of the Third Amendment Warrants, the closing price of the Common Stock was $1.66 and the average closing price of the Common Stock for the five trading days immediately preceding October 10, 2023 was $1.73. Immediately prior to entering into the CA Purchase Agreement and the Third Amendment, and the closing of the October 2023 Offering, we had 57,415,942 outstanding shares of Common Stock. As described above, as a result of the May Offering, the Company agreed that the “New Issuance Price” (as defined in the CA Purchase Agreement and the Third Amendment Conversion Warrants, respectively) for Presto CA and the Lenders would be $0.14. Further, after giving effect to the anti-dilution adjustments in each of the CA Purchase Agreement and the Third Amendment Conversion Warrants as a result of the March 4 Offering and the May Offering, an aggregate of 41,785,714 shares of Common Stock (including shares issuable upon exercise of the Third Amendment Conversion Warrants) were to be issued in connection with the October 2023 Offering.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6"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41,785,714 shares of Common Stock (or securities convertible into or exercisable for our Common stock) in excess of 20% of the shares of our Common Stock outstanding immediately prior to the October 2023 Offering as a result of the anti-dilution provisions of the CA Purchase Agreement and the Third Amendment Conversion Warrants triggered by the March 4 Offering and the May Offering.</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60" w:lineRule="exact"/>
        <w:rPr>
          <w:sz w:val="20"/>
          <w:szCs w:val="20"/>
          <w:color w:val="auto"/>
        </w:rPr>
      </w:pPr>
    </w:p>
    <w:p>
      <w:pPr>
        <w:jc w:val="both"/>
        <w:ind w:left="580" w:right="59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CA Purchase Agreement or the issuance of the Third Amendment Warrants. The CA Purchase Agreement and the Third Amendment Warrants have already been executed and delivered, and the closing of the October 2023 Offering has occurred. The failure of our stockholders to approve this proposal will mean that we will not be able to issue shares of Common Stock in accordance with the anti-dilution provisions of the CA Purchase Agreement and the Third Amendment Conversion Warrants, as applicable, as a result of the March 4 Offering and the May Offering. Pursuant to the terms of the CA Purchase Agreement and the Third Amendment Conversion Warrants, as applicable, we agreed to hold a meeting of stockholders and take such action as necessary in order to obtain stockholder approval in accordance with Nasdaq Listing Rule 5635(d) if the aggregate number of shares of Common Stock issued to Presto CA and holders of the Third Amendment Conversion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41,785,714 shares of Common Stock to Presto CA and the Lenders. The issuance of shares of Common Stock to Presto CA and the issuance of shares of Common Stock to the Lenders upon the exercise of the Third Amendment Conversion Warrants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October Issuance Proposal must receive the affirmative vote of a majority of the votes cast at the Special Meeting. Abstentions and broker non-votes will have no effect on this October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OCTOBER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NOVEMBER ISSUANCE PROPOSAL</w:t>
      </w:r>
    </w:p>
    <w:p>
      <w:pPr>
        <w:spacing w:after="0" w:line="147"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up to an aggregate of 4,500,000 (on a pre-Reverse Stock Split basis) shares of Common Stock to the November 2023 Purchasers (as defined below) upon operation of anti-dilution provisions contained in the November Purchase Agreements (as defined below), as required by and in accordance with Nasdaq Listing Rule 5635(d).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On November 17, 2023, the Company entered into common stock purchase agreements (the “November Purchase Agreements”) with several investors (the “November 2023 Purchasers”) relating to the issuance and sale of an aggregate of 7,750,000 shares of the Company’s Common Stock (the “November 2023 Offering”).</w:t>
      </w:r>
    </w:p>
    <w:p>
      <w:pPr>
        <w:spacing w:after="0" w:line="98"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Pursuant to the November Purchase Agreements, the Company issued 4,000,000 shares of Common Stock at an offering price of $1.00 per share. The offering also includes the issuance of 3,750,000 shares of Common Stock to one investor and its related party at an average price of $0.80 per share. The November Purchase Agreements include anti-dilution provisions relating to future issuances or deemed issuances of the Company’s Common Stock from November 21, 2023 to April 1, 2024 at a price per share below $1.00, which would require the Company to issue additional shares of Common Stock to the November 2023 Purchasers, upon the terms and subject to the conditions contained in the November Purchase Agreements.</w:t>
      </w:r>
    </w:p>
    <w:p>
      <w:pPr>
        <w:spacing w:after="0" w:line="98"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January 2024 Offering triggered the anti-dilution provisions in the November Purchase Agreements. The November 2023 Purchasers holding 3,000,000 out of the 4,000,000 shares issued in the November 2023 Offering agreed that the “New Issuance Price” (as defined in the November Purchase Agreement) for the purpose of anti-dilution protection would be $0.40 and not $0.25 (the “$0.40 Anti-dilution Holders”) and November 2023 Purchasers holding the remaining 1,000,000 shares issued in the November 2023 Offering agreed that the “New Issuance Price” (as defined in the November Purchase Agreement) for the purpose of anti-dilution protection would be $0.25 (the “$0.25 Anti-dilution Holder”). As a result of the January 2024 Offering, the Company issued an additional 4,500,000 shares to the $0.40 Anti-dilution Holders and an additional 3,000,000 shares to the $0.25 Anti-dilution Holder.</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Company received gross proceeds of approximately $7.0 million from the November 2023 Offering, prior to deducting placement agent fees and other estimated offering expenses payable by the Company.</w:t>
      </w:r>
    </w:p>
    <w:p>
      <w:pPr>
        <w:spacing w:after="0" w:line="81" w:lineRule="exact"/>
        <w:rPr>
          <w:sz w:val="20"/>
          <w:szCs w:val="20"/>
          <w:color w:val="auto"/>
        </w:rPr>
      </w:pPr>
    </w:p>
    <w:p>
      <w:pPr>
        <w:jc w:val="both"/>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The November 2023 Offering was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November 17, 2023, and accompanying prospectus, dated October 30, 2023.</w:t>
      </w:r>
    </w:p>
    <w:p>
      <w:pPr>
        <w:spacing w:after="0" w:line="9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for the $0.40 Anti-dilution Holders. The Company further agreed with the $0.40 Anti-dilution Holders that the “New Issuance Price” (as defined in the November Purchase Agreement) would be $0.25. As a result of the March 4 Offering, the Company is required to issue an additional 4,500,000 shares of Common Stock to the $0.40 Anti-dilution Holders.</w:t>
      </w:r>
    </w:p>
    <w:p>
      <w:pPr>
        <w:spacing w:after="0" w:line="105"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In connection with the May Offering, the Company and the November 2023 Purchasers that participated in the May Offering agreed to reinstate the anti-dilution provisions in their respective November 2023 Purchase Agreements, such that such anti-dilution provisions will apply for any future issuances undertaken after the May Offering that are below the Per Share Purchase Price (as defined in such agreements) of $0.25.</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We believe that the November 2023 Offering was necessary in light of the Company’s cash requirements at the time. The proceeds that we received from the November 2023 Offering allowed the Company to fund its business operations. We also believe that the anti-dilution protections contained in the November Purchase Agreements were reasonable in light of market conditions and the size and type of the November 2023 Offering, and that we would not have been able to complete the November 2023 Offering unless such anti-dilution provisions were offered.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34"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November Purchase Agreements, we are seeking stockholder approval of this November Issuance Proposal.</w:t>
      </w:r>
    </w:p>
    <w:p>
      <w:pPr>
        <w:spacing w:after="0" w:line="72"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binding agreement or (ii) the average closing price of the common stock for the five trading days immediately preceding the signing of the binding agreement.</w:t>
      </w:r>
    </w:p>
    <w:p>
      <w:pPr>
        <w:spacing w:after="0" w:line="98" w:lineRule="exact"/>
        <w:rPr>
          <w:sz w:val="20"/>
          <w:szCs w:val="20"/>
          <w:color w:val="auto"/>
        </w:rPr>
      </w:pPr>
    </w:p>
    <w:p>
      <w:pPr>
        <w:jc w:val="both"/>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November 2023 Offering did not constitute a public offering under the Nasdaq Listing Rules. On November 16, 2023, the last trading day prior to the entry into the November Purchase Agreement, the closing price of the Common Stock was $0.82 and the average closing price of the Common Stock for the five trading days immediately preceding November 17, 2023 was $0.92. Immediately prior to entering into the November Purchase Agreements, and the closing of the November 2023 Offering, we had 59,029,377 outstanding shares of Common Stock. As described above, as a result of the offering completed by the Company on March 4, 2024, the Company agreed that the “New Issuance Price” (as defined in the November Purchase Agreements) for the purpose of anti-dilution protection would be $0.25. Further, after giving effect to the anti-dilution adjustments in the November Purchase Agreements, an aggregate of 4,500,000 shares of Common Stock were to be issued in connection with the November 2023 Offering.</w:t>
      </w:r>
    </w:p>
    <w:p>
      <w:pPr>
        <w:spacing w:after="0" w:line="8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4,500,000 shares of Common Stock in excess of 20% of the shares of our Common Stock outstanding immediately prior to the November 2023 Offering, as a result of the anti-dilution provisions in the November Purchase Agreements triggered by the March 4 Offering.</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34"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November Purchase Agreements. The November Purchase Agreements have already been executed and delivered, and the closing of the November 2023 Offering has occurred. The failure of our stockholders to approve this proposal will mean that we will not be able to issue shares of Common Stock in accordance with the anti-dilution provisions of the November Purchase Agreements as a result of the March 4 Offering. Pursuant to the terms of the November Purchase Agreements, we agreed to hold a meeting of stockholders and take such action as necessary in order to obtain stockholder approval in accordance with Nasdaq Listing Rule 5635(d) if the aggregate number of shares of Common Stock issued to the November 2023 Purchasers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47"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4,500,000 shares of Common Stock to the November 2023 Purchasers. The issuance of shares of Common Stock to the November 2023 Purchasers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34"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November Issuance Proposal must receive the affirmative vote of a majority of the votes cast at the Special Meeting. Abstentions and broker non-votes will have no effect on this November Issuance Proposal.</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NOVEMBER ISSUANCE PROPOSAL.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 — JANUARY ISSUANCE PROPOSAL</w:t>
      </w:r>
    </w:p>
    <w:p>
      <w:pPr>
        <w:spacing w:after="0" w:line="147"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proposed issuance of up to an aggregate of 34,977,861 (on a pre-Reverse Stock Split basis) shares of Common Stock underlying the Fifth Amendment Warrants (as defined below) issued to the Lenders and the January 2024 Notes (as defined below) issued to the January 2024 Purchasers (as defined below) upon operation of anti-dilution provisions contained in the Fifth Amendment Warrants and the January Purchase Agreements, as required by and in accordance with Nasdaq Listing Rule 5635(d).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On January 29, 2024, the Company entered into Securities Purchase Agreements (the “January Purchase Agreements”) with several investors (the “January 2024 Purchasers”) relating to the issuance and sale (the “January 2024 Offering”) of an aggregate of:</w:t>
      </w:r>
    </w:p>
    <w:p>
      <w:pPr>
        <w:spacing w:after="0" w:line="98" w:lineRule="exact"/>
        <w:rPr>
          <w:sz w:val="20"/>
          <w:szCs w:val="20"/>
          <w:color w:val="auto"/>
        </w:rPr>
      </w:pPr>
    </w:p>
    <w:p>
      <w:pPr>
        <w:jc w:val="both"/>
        <w:ind w:left="1420" w:right="579" w:hanging="426"/>
        <w:spacing w:after="0" w:line="263" w:lineRule="auto"/>
        <w:tabs>
          <w:tab w:leader="none" w:pos="13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 million principal amount of subordinated notes (the “January 2024 Notes”) in consideration for a cash investment of $6.0 million from a number of investors consisting of (i) a lead investor (the “Lead Investor”) who purchased $3.0 million of the January 2024 Notes, (ii) Remus Capital Series B II, L.P. (“Remus Capital”), an entity controlled by our Chairman and under common control with other entities that beneficially owned 25.2% of our outstanding shares of Common Stock prior to the January 2024 Offering, which purchased $2.675 million of the January 2024 Notes, and (iii) various other investors, and</w:t>
      </w:r>
    </w:p>
    <w:p>
      <w:pPr>
        <w:spacing w:after="0" w:line="98" w:lineRule="exact"/>
        <w:rPr>
          <w:rFonts w:ascii="Times New Roman" w:cs="Times New Roman" w:eastAsia="Times New Roman" w:hAnsi="Times New Roman"/>
          <w:sz w:val="17"/>
          <w:szCs w:val="17"/>
          <w:color w:val="auto"/>
        </w:rPr>
      </w:pPr>
    </w:p>
    <w:p>
      <w:pPr>
        <w:jc w:val="both"/>
        <w:ind w:left="1420" w:right="579" w:hanging="426"/>
        <w:spacing w:after="0" w:line="268" w:lineRule="auto"/>
        <w:tabs>
          <w:tab w:leader="none" w:pos="137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million principal amount of subordinated notes issued to the Lead Investor in exchange for forfeiting 3,000,000 shares of our common stock that the Lead Investor had purchased on November 21, 2023 at a price of $1.00 per share together with all shares of Common Stock that would be issuable in respect of such shares as a result of this financing, totaling 4,500,000 additional shares.</w:t>
      </w:r>
    </w:p>
    <w:p>
      <w:pPr>
        <w:spacing w:after="0" w:line="319"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The January 2024 Notes benefit from “full ratchet” anti-dilution protection through December 31, 2024. As a result, in the event of the issuance of any Common Stock or securities convertible into or exchangeable for Common Stock at a price that is less than the initial Conversion Price of $0.25, the Conversion Price shall be reduced to that lower price.</w:t>
      </w:r>
    </w:p>
    <w:p>
      <w:pPr>
        <w:spacing w:after="0" w:line="103"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In addition, on January 30, 2024, the Company and its wholly owned subsidiary Presto Automation LLC, entered into a Fifth Amendment to Credit Agreement and Acknowledgment (the “Fifth Amendment”) with the Agent, as administrative agent on behalf of the Lenders party to the Credit Agreement, and certain significant stakeholders of the Company party thereto. The Fifth Amendment was preceded by the Forbearance and Fourth Amendment to the Credit Agreement, dated January 22, 2024 (the “Forbearance Agreement”), by and among the Company, the Agent, the Lenders and certain significant stakeholders of the Company party thereto.</w:t>
      </w:r>
    </w:p>
    <w:p>
      <w:pPr>
        <w:spacing w:after="0" w:line="93"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In connection with the effectiveness of the Fifth Amendment, the Company issued to the Lenders warrants to purchase 5,323,298 shares of Common Stock (as subsequently amended and restated, the “Fifth Amendment Warrants”) reflecting a value equal to the amount of interest that would accrue on the outstanding loan under the Credit Agreement through December 31, 2024 at a rate of 4% per annum. The Fifth Amendment Warrants were required to be issued pursuant to the Forbearance Agreement to account for the reduction in interest rate under the Credit Agreement from 12% to 8% upon the closing of the Offering. The Fifth Amendment Warrants may be exercised for cash or pursuant to a net exercise at any time on or before the date that is the five year anniversary of the date of the issuance of the Fifth Amendment Warrants; provided, that the Company shall not effect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In addition, the Fifth Amendment Warrants are subject to anti-dilution provisions relating to future issuances or deemed issuances of the Company’s Common Stock from the issuance date of the Fifth Amendment Warrants to December 31, 2024 at a price per share below $0.40, upon the terms and subject to the conditions contained in the Fifth Amendment Warrants.</w:t>
      </w:r>
    </w:p>
    <w:p>
      <w:pPr>
        <w:spacing w:after="0" w:line="323"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On March 4, 2024, the Company completed the March 4 Offering. The March 4 Offering triggered anti-dilution adjustment provisions in the Fifth Amendment Warrants. The Company agreed with the Lenders that the “New Issuance Price” (as defined in the Fifth Amendment Warrants) would be $0.25. As a result of the March 4 Offering, the Company is required to increase the amount of Common Stock issuable upon the exercise of the Fifth Amendment Warrants from 5,323,298 shares to 8,517,278 shares.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On May 22, 2024, the Company completed the May Offering. The May Offering triggered anti-dilution adjustment provisions in the January Purchase Agreements and the Fifth Amendment Warrants. The Company agreed with the Lenders that the “New Issuance Price” (as defined in the Fifth Amendment Warrants) would be $0.14 and agreed with the January 2024 Purchasers that the new Conversion Price (as defined in the January Purchase Agreements) would be $0.14. As a result of the May Offering, the Company is required to issue an additional 28,285,714 shares of Common Stock underlying the January 2024 Notes and increase the amount of Common Stock issuable upon the exercise of the Fifth Amendment Warrants from 8,517,278 shares to 15,209,425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Financings</w:t>
      </w:r>
    </w:p>
    <w:p>
      <w:pPr>
        <w:spacing w:after="0" w:line="160"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believe that the anti-dilution provisions contained in the January Purchase Agreements and the Fifth Amendment Warrants were reasonable in light of market conditions and the negotiations surrounding the January 2024 Offering, and that we would not have been able to complete the January 2024 Offering unless such provisions were offered.</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January 2024 Notes and the Fifth Amendment Warrants, we are seeking stockholder approval of this proposal.</w:t>
      </w:r>
    </w:p>
    <w:p>
      <w:pPr>
        <w:spacing w:after="0" w:line="8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 The Minimum Price is defined as the lower of (i) the closing price of the common stock immediately preceding the signing of the sale agreement or (ii) the average closing price of the common stock for the five trading days immediately preceding the signing of the sale agreement.</w:t>
      </w:r>
    </w:p>
    <w:p>
      <w:pPr>
        <w:spacing w:after="0" w:line="112"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The January 2024 Offering and issuance of the Fifth Amendment Warrants did not constitute a public offering under the Nasdaq Listing Rules. On January 26, 2024, the last trading day prior to the entry into the January Purchase Agreements and the issuance of the Fifth Amendment Warrants, the closing price of the Common Stock was $0.26 and the average closing price of the Common Stock for the five trading days immediately preceding January 29, 2024 was $0.28. Immediately prior to entering into the January Purchase Agreement and the issuance of the Fifth Amendment Warrants, and the closing of the January 2024 Offering, we had 71,042,539 outstanding shares of Common Stock. As described above, as a result of the January 2024 Offering, the Company agreed to issue up to an aggregate of 36,000,000 shares of Common Stock upon conversion of the January 2024 Notes at an initial conversion price of $0.25 per share and up to an aggregate of 5,323,298 shares underlying the Fifth Amendment Warrants to the Lenders (the “January Issuance Shares”). Further, as a result of the March 4 Offering, the Company is required to increase the amount of Common Stock issuable upon the exercise of the Fifth Amendment Warrants from 5,323,298 shares to 8,517,278 shares, and as a result of the May Offering, the Company is required to issue an additional 28,285,714 shares of Common Stock underlying the January 2024 Notes and to increase the amount of Common Stock issuable upon the exercise of the Fifth Amendment Warrants from 8,517,278 to 15,209,425 shares.</w:t>
      </w:r>
    </w:p>
    <w:p>
      <w:pPr>
        <w:spacing w:after="0" w:line="111"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for the sale, issuance or potential issuance by us of 34,977,861 shares of Common Stock (or securities convertible into or exercisable for our Common Stock) in excess of 20% of the shares of our Common Stock outstanding immediately prior to the January 2024 Offering, as a result of the anti-dilution provisions of the January Purchase Agreements and the Fifth Amendment Warrants triggered by the March 4 Offering and the May Offering.</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Proposal</w:t>
      </w:r>
    </w:p>
    <w:p>
      <w:pPr>
        <w:spacing w:after="0" w:line="147"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is not seeking the approval of our stockholders to authorize our entry into the January Purchase Agreements and the Fifth Amendment Warrants. The January Purchase Agreements and the Fifth Amendment Warrants have already been executed and delivered, and the closing of the January 2024 Offering has occurred. The failure of our stockholders to approve this proposal will mean that we will not be able to issue the additional shares underlying the January 2024 Notes and the Fifth Amendment Warrants as a result of the March 4 Offering and the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62" w:lineRule="auto"/>
        <w:rPr>
          <w:sz w:val="20"/>
          <w:szCs w:val="20"/>
          <w:color w:val="auto"/>
        </w:rPr>
      </w:pPr>
      <w:r>
        <w:rPr>
          <w:rFonts w:ascii="Times New Roman" w:cs="Times New Roman" w:eastAsia="Times New Roman" w:hAnsi="Times New Roman"/>
          <w:sz w:val="17"/>
          <w:szCs w:val="17"/>
          <w:color w:val="auto"/>
        </w:rPr>
        <w:t>May Offering. Pursuant to the terms of the January Purchase Agreements and the Fifth Amendment Warrants, we agreed to hold a meeting of stockholders and take such action as necessary in order to obtain stockholder approval in accordance with Nasdaq Listing Rule 5635(d) if the aggregate number of shares of Common Stock issued pursuant to the January 2024 Notes and the Fifth Amendment Warrants reaches the Nasdaq 19.99% limit.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or that such funds could be raised at prices that would not create substantial dilution for our existing stockholders.</w:t>
      </w:r>
    </w:p>
    <w:p>
      <w:pPr>
        <w:spacing w:after="0" w:line="3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Approving this Proposal</w:t>
      </w:r>
    </w:p>
    <w:p>
      <w:pPr>
        <w:spacing w:after="0" w:line="160" w:lineRule="exact"/>
        <w:rPr>
          <w:sz w:val="20"/>
          <w:szCs w:val="20"/>
          <w:color w:val="auto"/>
        </w:rPr>
      </w:pPr>
    </w:p>
    <w:p>
      <w:pPr>
        <w:jc w:val="both"/>
        <w:ind w:left="580" w:right="599" w:firstLine="419"/>
        <w:spacing w:after="0" w:line="267" w:lineRule="auto"/>
        <w:rPr>
          <w:sz w:val="20"/>
          <w:szCs w:val="20"/>
          <w:color w:val="auto"/>
        </w:rPr>
      </w:pPr>
      <w:r>
        <w:rPr>
          <w:rFonts w:ascii="Times New Roman" w:cs="Times New Roman" w:eastAsia="Times New Roman" w:hAnsi="Times New Roman"/>
          <w:sz w:val="17"/>
          <w:szCs w:val="17"/>
          <w:color w:val="auto"/>
        </w:rPr>
        <w:t>If approved, this proposal will provide for the issuance of up to an aggregate of 34,977,861 shares of Common Stock to the January 2024 Purchasers and the Lenders. The issuance of these additional shares of Common Stock will dilute the percentage ownership interest of all stockholders, will dilute the book value per share of the Common Stock and will increase the number of the Company’s outstanding shares, which could depress the market price of the Common Stock.</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To be approved by the stockholders, the January Issuance Proposal must receive the affirmative vote of a majority of the votes cast at the Special Meeting. Abstentions and broker non-votes will have no effect on this January Issuance Proposal.</w:t>
      </w:r>
    </w:p>
    <w:p>
      <w:pPr>
        <w:spacing w:after="0" w:line="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JANUARY ISSUANCE PROPOSAL.</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5 — CSPA PROPOSAL</w:t>
      </w:r>
    </w:p>
    <w:p>
      <w:pPr>
        <w:spacing w:after="0" w:line="147"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At the Special Meeting, our stockholders will be asked to approve the issuance of shares of our Common Stock to Triton pursuant to the CSPA, which shares will represent more than 20% of our issued and outstanding Common Stock as of May 28, 2024, as required by and in accordance with Nasdaq Listing Rule 5635(d).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Common Stock Purchase Agreement</w:t>
      </w:r>
    </w:p>
    <w:p>
      <w:pPr>
        <w:spacing w:after="0" w:line="160"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As previously disclosed in a Current Report on Form 8-K filed on May 28, 2024, on May 28, 2024, the Company entered into the CSPA with Triton, pursuant to which, we have the right, but not the obligation, to sell to Triton up to $5 million of shares of our Common Stock, from time to time during the commitment period commencing on May 28, 2024 and terminating on the earlier of (i) December 31, 2024 or (ii) the date on which Triton shall have purchased shares of our Common Stock pursuant to the CSPA equal to the investment amount of $5 million (the “Commitment Period”).</w:t>
      </w:r>
    </w:p>
    <w:p>
      <w:pPr>
        <w:spacing w:after="0" w:line="106"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Each sale we request under the CSPA may be for a number of shares of our Common Stock that does not exceed 9.9% of our outstanding shares as of the date of the CSPA which amount is 9,988,465 shares (the “Commitment Shares”). Triton has committed to purchase the Commitment Shares at the lowest of (i) the official closing price of our Common Stock on Nasdaq on the trading day immediately preceding our submission of a purchase notice to Triton which purchase notice, in each case, creates a binding agreement to sell such shares on the part of the Company and to acquire such shares on the part of Triton (a “Purchase Notice”), (ii) the average official closing price of our Common Stock on Nasdaq for the five consecutive trading days ending on the business day immediately preceding our submission of a Purchase Notice to Triton, and (iii) 75% of the lowest traded price of our Common Stock five days prior to the closing date. The price in (i) and (ii) is referred to as the “Minimum Price” and the price in (i), (ii) and (iii) are referred to as the “Purchase Price.” We issued a first purchase notice for 9,988,465 shares on May 31, 2024 (the “First Purchase Notice”) and a second purchase notice for 10,190,252 shares on June 2, 2024 (the “Second Purchase Notice”) The closing under the First Purchase Notice took place on June 6, 2024 at the Purchase Price of $0.0668 per share. The closing under the Second Purchase Notice is expected to take place on June 7, 2024 or thereafter.</w:t>
      </w:r>
    </w:p>
    <w:p>
      <w:pPr>
        <w:spacing w:after="0" w:line="10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Subject to not exceeding 9.9% of our outstanding shares at any time, Triton has committed to purchase a number of additional shares such that the total proceeds to be received by us on or before June 7, 2024 pursuant to the CSPA will exceed $3,000,000 (such shares, the “Backstop Shares”). The Backstop Shares, totaling [•] shares, were be purchased at the Minimum Price associated with the second Purchase Notice which was $[•] per share. Triton’s obligation with respect to purchasing the Backstop Shares is conditioned on (i) the Company having timely delivered a first Purchase Notice for 9.9% of our outstanding shares within one business day of the execution of the CSPA, and (ii) the Company having timely delivered a second Purchase Notice for 9.9% of our outstanding shares to Triton within one business day after the closing related to such first Purchase Notice.</w:t>
      </w:r>
    </w:p>
    <w:p>
      <w:pPr>
        <w:spacing w:after="0" w:line="113"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Subject to receiving shareholder approval pursuant to this proposal, we have agreed to issue additional shares of Common Stock to Triton (the “True-Up Shares”) of a value such that it will receive the number of shares that it would have received had the purchase price for the Backstop Shares been the Purchase Price (e.g. $[•]) rather than the Minimum Price (e.g., $[•]). The final amount of shares to be issued will be calculated based on the Minimum Price at the time of issuance of such shares which will be three trading days following the receipt of shareholder approval. Assuming the same Purchase Price, this would result in the issuance of an additional [•] shares</w:t>
      </w:r>
    </w:p>
    <w:p>
      <w:pPr>
        <w:spacing w:after="0" w:line="112" w:lineRule="exact"/>
        <w:rPr>
          <w:sz w:val="20"/>
          <w:szCs w:val="20"/>
          <w:color w:val="auto"/>
        </w:rPr>
      </w:pPr>
    </w:p>
    <w:p>
      <w:pPr>
        <w:jc w:val="both"/>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The CSPA is subject to certain limitations, including that Triton cannot purchase any shares that would result in it beneficially owning more than 9.99% of our outstanding Common Stock at the time of a Purchase Notice or pursuant to acquiring Backstop Shares, or acquiring during the Commitment Period more than 19.99% of the aggregate amount of Common Stock issued and outstanding as of the date of the CSPA pursuant to Purchase Notices, calculated in accordance with the rules of Nasdaq, which number is to be reduced, on a share-for-share basis, by the number shares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spacing w:after="0" w:line="270" w:lineRule="auto"/>
        <w:rPr>
          <w:sz w:val="20"/>
          <w:szCs w:val="20"/>
          <w:color w:val="auto"/>
        </w:rPr>
      </w:pPr>
      <w:r>
        <w:rPr>
          <w:rFonts w:ascii="Times New Roman" w:cs="Times New Roman" w:eastAsia="Times New Roman" w:hAnsi="Times New Roman"/>
          <w:sz w:val="17"/>
          <w:szCs w:val="17"/>
          <w:color w:val="auto"/>
        </w:rPr>
        <w:t>of Common Stock issued or issuable pursuant to any transaction or series of transactions that may be aggregated with the transactions contemplated by the CSPA under the applicable rules of Nasdaq, unless the Company obtains stockholder approval to do so or the average price of all applicable sales of shares under the CSPA equals or exceeds the Minimum Price.</w:t>
      </w:r>
    </w:p>
    <w:p>
      <w:pPr>
        <w:spacing w:after="0" w:line="103"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Pursuant to the CSPA, we are required to and have agreed to register the issuance of all shares which Triton may acquire under the CSPA.</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may terminate the CSPA at any time by written notice to Triton.</w:t>
      </w:r>
    </w:p>
    <w:p>
      <w:pPr>
        <w:spacing w:after="0" w:line="145"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The foregoing description of the CSPA is not complete and is qualified in its entirety by reference to the CSPA, which is filed as Exhibit 10.1 to our Current Report on Form 8-K filed with the SEC on May 28, 2024.</w:t>
      </w:r>
    </w:p>
    <w:p>
      <w:pPr>
        <w:spacing w:after="0" w:line="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None of our directors or officers have an interest in this proposal.</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Stockholder Approval</w:t>
      </w:r>
    </w:p>
    <w:p>
      <w:pPr>
        <w:spacing w:after="0" w:line="160"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and as a result, we are subject to the Nasdaq Listing Rules. In order to comply with the Nasdaq Listing Rules and to satisfy conditions under the CSPA, we are seeking stockholder approval of this proposal.</w:t>
      </w:r>
    </w:p>
    <w:p>
      <w:pPr>
        <w:spacing w:after="0" w:line="85"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Nasdaq Listing Rule 5635(d) requires stockholder approval prior to the issuance of securities in connection with a transaction other than a public offering involving the sale, issuance or potential issuance of common stock (or securities convertible into or exercisable for common stock) in an amount equal to 20% or more of the common stock or 20% or more of the voting power outstanding before the issuance at a price less than the “Minimum Price.”</w:t>
      </w:r>
    </w:p>
    <w:p>
      <w:pPr>
        <w:spacing w:after="0" w:line="105" w:lineRule="exact"/>
        <w:rPr>
          <w:sz w:val="20"/>
          <w:szCs w:val="20"/>
          <w:color w:val="auto"/>
        </w:rPr>
      </w:pPr>
    </w:p>
    <w:p>
      <w:pPr>
        <w:jc w:val="both"/>
        <w:ind w:left="580" w:right="579" w:firstLine="419"/>
        <w:spacing w:after="0" w:line="276" w:lineRule="auto"/>
        <w:rPr>
          <w:sz w:val="20"/>
          <w:szCs w:val="20"/>
          <w:color w:val="auto"/>
        </w:rPr>
      </w:pPr>
      <w:r>
        <w:rPr>
          <w:rFonts w:ascii="Times New Roman" w:cs="Times New Roman" w:eastAsia="Times New Roman" w:hAnsi="Times New Roman"/>
          <w:sz w:val="17"/>
          <w:szCs w:val="17"/>
          <w:color w:val="auto"/>
        </w:rPr>
        <w:t>The Minimum Price is defined as the lower of (i) the closing price of the common stock immediately preceding the signing of the binding agreement or (ii) the average closing price of the common stock for the five trading days immediately preceding the signing of the sale agreement.</w:t>
      </w:r>
    </w:p>
    <w:p>
      <w:pPr>
        <w:spacing w:after="0" w:line="98" w:lineRule="exact"/>
        <w:rPr>
          <w:sz w:val="20"/>
          <w:szCs w:val="20"/>
          <w:color w:val="auto"/>
        </w:rPr>
      </w:pPr>
    </w:p>
    <w:p>
      <w:pPr>
        <w:jc w:val="both"/>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Accordingly, we are seeking stockholder approval under Nasdaq Listing Rule 5635(d) for the sale, issuance or potential issuance by us of Common Stock in excess of 20% of the shares of our Common Stock outstanding immediately prior to the entry into the CSPA at an price less than the minimum price permitted under Nasdaq rules as a result of the issuance of shares of Common Stock pursuant to the CSPA whether True-Up Shares or otherwise, including in the future.</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Dilution and Potential Adverse Impact of Approval of this CSPA Proposal</w:t>
      </w:r>
    </w:p>
    <w:p>
      <w:pPr>
        <w:spacing w:after="0" w:line="147" w:lineRule="exact"/>
        <w:rPr>
          <w:sz w:val="20"/>
          <w:szCs w:val="20"/>
          <w:color w:val="auto"/>
        </w:rPr>
      </w:pPr>
    </w:p>
    <w:p>
      <w:pPr>
        <w:jc w:val="both"/>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The issuances of shares of Common Stock under the CSPA will result in an increase in the number of shares of Common Stock outstanding and our stockholders will incur dilution of their percentage ownership as a result. Following such issuances, our current stockholders will own a smaller proportionate interest in the Company and, therefore, have less ability to influence corporate decisions requiring stockholder approval. The issuance of such shares could also have a dilutive effect on our book value per share and on any future earnings per share, and the sale or any resale of such shares could cause prevailing market prices for our Common Stock to decline.</w:t>
      </w:r>
    </w:p>
    <w:p>
      <w:pPr>
        <w:spacing w:after="0" w:line="321" w:lineRule="exact"/>
        <w:rPr>
          <w:sz w:val="20"/>
          <w:szCs w:val="20"/>
          <w:color w:val="auto"/>
        </w:rPr>
      </w:pPr>
    </w:p>
    <w:p>
      <w:pPr>
        <w:jc w:val="both"/>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However, we cannot predict the substance of any future Purchase Notices or the market price of our Common Stock at any future date and, therefore, we cannot predict the actual number of shares of Common Stock that will be issued under the CSPA. Because the number of shares of Common Stock that may be issued to Triton pursuant to the CSPA is determined based on the market price at the time of issuance, the exact magnitude of the dilutive effect cannot be conclusively determined. However, the dilutive effect may be material to our current stockholders.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Consequences of Not Approving this CSPA Proposal</w:t>
      </w:r>
    </w:p>
    <w:p>
      <w:pPr>
        <w:spacing w:after="0" w:line="160" w:lineRule="exact"/>
        <w:rPr>
          <w:sz w:val="20"/>
          <w:szCs w:val="20"/>
          <w:color w:val="auto"/>
        </w:rPr>
      </w:pPr>
    </w:p>
    <w:p>
      <w:pPr>
        <w:jc w:val="both"/>
        <w:ind w:left="580" w:right="599" w:firstLine="419"/>
        <w:spacing w:after="0" w:line="268" w:lineRule="auto"/>
        <w:rPr>
          <w:sz w:val="20"/>
          <w:szCs w:val="20"/>
          <w:color w:val="auto"/>
        </w:rPr>
      </w:pPr>
      <w:r>
        <w:rPr>
          <w:rFonts w:ascii="Times New Roman" w:cs="Times New Roman" w:eastAsia="Times New Roman" w:hAnsi="Times New Roman"/>
          <w:sz w:val="17"/>
          <w:szCs w:val="17"/>
          <w:color w:val="auto"/>
        </w:rPr>
        <w:t>If stockholder approval is not obtained for this CSPA Proposal, we may be required to incur additional costs in order to hold additional stockholder meetings to seek such approval. In addition, we will not be able to continue to raise capital through the issuance of shares pursuant to the CSPA if any such issuance(s) exceed the Exchange Cap and the applicable purchase price is less than is permitted pursuant to Nasdaq Listing Rule 5635(d).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99" w:firstLine="419"/>
        <w:spacing w:after="0" w:line="264" w:lineRule="auto"/>
        <w:rPr>
          <w:sz w:val="20"/>
          <w:szCs w:val="20"/>
          <w:color w:val="auto"/>
        </w:rPr>
      </w:pPr>
      <w:r>
        <w:rPr>
          <w:rFonts w:ascii="Times New Roman" w:cs="Times New Roman" w:eastAsia="Times New Roman" w:hAnsi="Times New Roman"/>
          <w:sz w:val="17"/>
          <w:szCs w:val="17"/>
          <w:color w:val="auto"/>
        </w:rPr>
        <w:t>If we are limited in our ability to raise additional capital under the CSPA, we may not be able to continue to operate, or may not be able to execute on our strategic plans. In addition, we may need to seek alternative sources of capital to fund our operations, which may not be available to us on favorable terms, or at all, and failure to obtain stockholder approval of this CSPA Proposal may discourage future investors from engaging in future financings with us. We can provide no assurance that we would be successful in raising funds in the future or that such funds could be raised at prices that would not create substantial dilution for our existing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To be approved by the stockholders, the proposal must receive the affirmative vote of a majority of the votes cast at the Special Meeting. Abstentions and broker non-votes will have no effect on this proposal.</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OUR BOARD UNANIMOUSLY RECOMMENDS YOU VOTE “FOR” THE CSPA</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PROPOSAL.</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47"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The following table shows information with respect to the beneficial ownership of our Common Stock as of May 30, 2024, for:</w:t>
      </w:r>
    </w:p>
    <w:p>
      <w:pPr>
        <w:spacing w:after="0" w:line="81" w:lineRule="exact"/>
        <w:rPr>
          <w:sz w:val="20"/>
          <w:szCs w:val="20"/>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to us to own beneficially 5% or more of our outstanding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directors or director nominees;</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our named executive officers; and</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our directors and executive officers as a group.</w:t>
      </w:r>
    </w:p>
    <w:p>
      <w:pPr>
        <w:spacing w:after="0" w:line="158"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As of May 30, 2024, there were 112,846,341 shares of our Common Stock outstanding. Except as indicated by footnote and subject to community property laws where applicable, to our knowledge, the persons named in the table below have sole voting and investment power with respect to all shares of Common Stock shown as beneficially owned by them:</w:t>
      </w:r>
    </w:p>
    <w:p>
      <w:pPr>
        <w:spacing w:after="0" w:line="9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The amounts and percentages of shares beneficially owned are reported on the basis of SEC regulations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w:t>
            </w:r>
          </w:p>
        </w:tc>
        <w:tc>
          <w:tcPr>
            <w:tcW w:w="13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COMMON</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OF COMMON</w:t>
            </w:r>
          </w:p>
        </w:tc>
      </w:tr>
      <w:tr>
        <w:trPr>
          <w:trHeight w:val="208"/>
        </w:trPr>
        <w:tc>
          <w:tcPr>
            <w:tcW w:w="5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STOCK</w:t>
            </w:r>
          </w:p>
        </w:tc>
        <w:tc>
          <w:tcPr>
            <w:tcW w:w="13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STOCK</w:t>
            </w:r>
          </w:p>
        </w:tc>
      </w:tr>
      <w:tr>
        <w:trPr>
          <w:trHeight w:val="44"/>
        </w:trPr>
        <w:tc>
          <w:tcPr>
            <w:tcW w:w="20" w:type="dxa"/>
            <w:vAlign w:val="bottom"/>
          </w:tcPr>
          <w:p>
            <w:pPr>
              <w:spacing w:after="0"/>
              <w:rPr>
                <w:sz w:val="3"/>
                <w:szCs w:val="3"/>
                <w:color w:val="auto"/>
              </w:rPr>
            </w:pPr>
          </w:p>
        </w:tc>
        <w:tc>
          <w:tcPr>
            <w:tcW w:w="5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DIRECTORS, DIRECTOR NOMINEES, NAMED EXECUTIVE</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OFFICERS AND 5% STOCKHOLDERS</w:t>
            </w:r>
            <w:r>
              <w:rPr>
                <w:rFonts w:ascii="Times New Roman" w:cs="Times New Roman" w:eastAsia="Times New Roman" w:hAnsi="Times New Roman"/>
                <w:sz w:val="20"/>
                <w:szCs w:val="20"/>
                <w:b w:val="1"/>
                <w:bCs w:val="1"/>
                <w:color w:val="auto"/>
                <w:vertAlign w:val="superscript"/>
              </w:rPr>
              <w:t>(1)</w:t>
            </w: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Krishna K. Gupta</w:t>
            </w:r>
            <w:r>
              <w:rPr>
                <w:rFonts w:ascii="Times New Roman" w:cs="Times New Roman" w:eastAsia="Times New Roman" w:hAnsi="Times New Roman"/>
                <w:sz w:val="20"/>
                <w:szCs w:val="20"/>
                <w:color w:val="auto"/>
                <w:vertAlign w:val="superscript"/>
              </w:rPr>
              <w:t>(2)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14,671,539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Keith Kravcik</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Gail Zauder</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114,765</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5"/>
        </w:trPr>
        <w:tc>
          <w:tcPr>
            <w:tcW w:w="20" w:type="dxa"/>
            <w:vAlign w:val="bottom"/>
          </w:tcPr>
          <w:p>
            <w:pPr>
              <w:spacing w:after="0"/>
              <w:rPr>
                <w:sz w:val="23"/>
                <w:szCs w:val="23"/>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Xavier Casanova</w:t>
            </w:r>
            <w:r>
              <w:rPr>
                <w:rFonts w:ascii="Times New Roman" w:cs="Times New Roman" w:eastAsia="Times New Roman" w:hAnsi="Times New Roman"/>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104,643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Dan Mosher</w:t>
            </w:r>
            <w:r>
              <w:rPr>
                <w:rFonts w:ascii="Times New Roman" w:cs="Times New Roman" w:eastAsia="Times New Roman" w:hAnsi="Times New Roman"/>
                <w:sz w:val="20"/>
                <w:szCs w:val="20"/>
                <w:color w:val="auto"/>
                <w:vertAlign w:val="superscript"/>
              </w:rPr>
              <w:t>(4)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279,779</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Edward Scheetz</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390,847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Rajat Suri</w:t>
            </w:r>
            <w:r>
              <w:rPr>
                <w:rFonts w:ascii="Times New Roman" w:cs="Times New Roman" w:eastAsia="Times New Roman" w:hAnsi="Times New Roman"/>
                <w:sz w:val="20"/>
                <w:szCs w:val="20"/>
                <w:color w:val="auto"/>
                <w:vertAlign w:val="superscript"/>
              </w:rPr>
              <w:t>(5)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7,018,232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Matthew MacDonald</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Tewfik Cassis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Stephen Herbert</w:t>
            </w: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(12 individuals)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15,824,552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40"/>
        </w:trPr>
        <w:tc>
          <w:tcPr>
            <w:tcW w:w="52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5"/>
        </w:trPr>
        <w:tc>
          <w:tcPr>
            <w:tcW w:w="20" w:type="dxa"/>
            <w:vAlign w:val="bottom"/>
          </w:tcPr>
          <w:p>
            <w:pPr>
              <w:spacing w:after="0"/>
              <w:rPr>
                <w:sz w:val="22"/>
                <w:szCs w:val="22"/>
                <w:color w:val="auto"/>
              </w:rPr>
            </w:pPr>
          </w:p>
        </w:tc>
        <w:tc>
          <w:tcPr>
            <w:tcW w:w="5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Five Percent Holders:</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83"/>
        </w:trPr>
        <w:tc>
          <w:tcPr>
            <w:tcW w:w="5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Cleveland Avenue, LLC</w:t>
            </w:r>
            <w:r>
              <w:rPr>
                <w:rFonts w:ascii="Times New Roman" w:cs="Times New Roman" w:eastAsia="Times New Roman" w:hAnsi="Times New Roman"/>
                <w:sz w:val="20"/>
                <w:szCs w:val="20"/>
                <w:color w:val="auto"/>
                <w:vertAlign w:val="superscript"/>
              </w:rPr>
              <w:t>(6)</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16,000,000</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bl>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one percent.</w:t>
      </w:r>
    </w:p>
    <w:p>
      <w:pPr>
        <w:spacing w:after="0" w:line="22" w:lineRule="exact"/>
        <w:rPr>
          <w:sz w:val="20"/>
          <w:szCs w:val="20"/>
          <w:color w:val="auto"/>
        </w:rPr>
      </w:pPr>
    </w:p>
    <w:p>
      <w:pPr>
        <w:ind w:left="1000" w:right="599" w:hanging="426"/>
        <w:spacing w:after="0" w:line="256" w:lineRule="auto"/>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business address of each of Presto’s stockholders is c/o Presto Automation Inc., 985 Industrial Road, Suite 205, San Carlos, CA 94070.</w:t>
      </w:r>
    </w:p>
    <w:p>
      <w:pPr>
        <w:jc w:val="both"/>
        <w:ind w:left="1000" w:right="579" w:hanging="426"/>
        <w:spacing w:after="0" w:line="273" w:lineRule="auto"/>
        <w:tabs>
          <w:tab w:leader="none" w:pos="10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Consists of (i) (a) 14,671,539 shares of Common Stock and (b) 59,134 options to purchase shares of Common Stock exercisable within 60 days held by KKG Enterprises LLC, for which Krishna K. Gupta is the managing member;</w:t>
      </w:r>
    </w:p>
    <w:p>
      <w:pPr>
        <w:jc w:val="both"/>
        <w:ind w:left="1000" w:right="579" w:hanging="6"/>
        <w:spacing w:after="0" w:line="256" w:lineRule="auto"/>
        <w:tabs>
          <w:tab w:leader="none" w:pos="1234"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48,816 shares of Common Stock held of record by Romulus Capital I, L.P. (“Romulus I”), for which Mr. Gupta is one of two members of Palatine Hill Ventures GP LLC, the general partner of Romulus I, through which Mr. Gupta exercises joint voting and dispositive control of the Common Stock held by Romulus I; (iii) 3,608,384 shares of Common Stock held of record by Romulus Capital II, L.P. (“Romulus II”), for which Mr. Gupta is one of two managing members of Romulus Capital II GP, LLC (the “Romulus GP”), the general partner of Romulus II, through which Mr. Gupta exercises joint voting and dispositive control of the Common Stock held by Romulus II;</w:t>
      </w:r>
    </w:p>
    <w:p>
      <w:pPr>
        <w:spacing w:after="0" w:line="1" w:lineRule="exact"/>
        <w:rPr>
          <w:rFonts w:ascii="Times New Roman" w:cs="Times New Roman" w:eastAsia="Times New Roman" w:hAnsi="Times New Roman"/>
          <w:sz w:val="16"/>
          <w:szCs w:val="16"/>
          <w:color w:val="auto"/>
        </w:rPr>
      </w:pPr>
    </w:p>
    <w:p>
      <w:pPr>
        <w:ind w:left="1260" w:hanging="266"/>
        <w:spacing w:after="0"/>
        <w:tabs>
          <w:tab w:leader="none" w:pos="1260"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8,225,642 shares of Common Stock held of record by</w:t>
      </w:r>
    </w:p>
    <w:p>
      <w:pPr>
        <w:sectPr>
          <w:pgSz w:w="11900" w:h="16838" w:orient="portrait"/>
          <w:cols w:equalWidth="0" w:num="1">
            <w:col w:w="9019"/>
          </w:cols>
          <w:pgMar w:left="1440" w:top="265" w:right="1440"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9" w:name="page30"/>
    <w:bookmarkEnd w:id="2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jc w:val="both"/>
        <w:ind w:left="1000" w:right="579"/>
        <w:spacing w:after="0" w:line="255" w:lineRule="auto"/>
        <w:rPr>
          <w:sz w:val="20"/>
          <w:szCs w:val="20"/>
          <w:color w:val="auto"/>
        </w:rPr>
      </w:pPr>
      <w:r>
        <w:rPr>
          <w:rFonts w:ascii="Times New Roman" w:cs="Times New Roman" w:eastAsia="Times New Roman" w:hAnsi="Times New Roman"/>
          <w:sz w:val="16"/>
          <w:szCs w:val="16"/>
          <w:color w:val="auto"/>
        </w:rPr>
        <w:t>Romulus Capital III, L.P. (“Romulus III”), for which Mr. Gupta is one of two managing members of Romulus GP, which is the general partner of Romulus III, through which Mr. Gupta exercises joint voting and dispositive control of the Common Stock held by Romulus III; (v) 159,209 shares of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Common Stock held by Romulus Special Opportunity; and (vi) 1,388,076 shares of Common Stock held of record by Zaffran Special Opportunities LLC, for which Mr. Gupta is the sole general partner.</w:t>
      </w:r>
    </w:p>
    <w:p>
      <w:pPr>
        <w:spacing w:after="0" w:line="4" w:lineRule="exact"/>
        <w:rPr>
          <w:sz w:val="20"/>
          <w:szCs w:val="20"/>
          <w:color w:val="auto"/>
        </w:rPr>
      </w:pPr>
    </w:p>
    <w:p>
      <w:pPr>
        <w:ind w:left="1000" w:hanging="426"/>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Casanova was our Chief Executive Officer until his departure from the Company on February 4, 2024.</w:t>
      </w:r>
    </w:p>
    <w:p>
      <w:pPr>
        <w:spacing w:after="0" w:line="12" w:lineRule="exact"/>
        <w:rPr>
          <w:rFonts w:ascii="Times New Roman" w:cs="Times New Roman" w:eastAsia="Times New Roman" w:hAnsi="Times New Roman"/>
          <w:sz w:val="16"/>
          <w:szCs w:val="16"/>
          <w:color w:val="auto"/>
        </w:rPr>
      </w:pPr>
    </w:p>
    <w:p>
      <w:pPr>
        <w:jc w:val="both"/>
        <w:ind w:left="1000" w:right="59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Mosher was our President since March 2023 until his departure from the Company on October 16, 2023. The shares reflected as beneficially owned by Mr. Mosher are based on information disclosed in a Form 4 filed by Mr. Mosher on November 27, 2023. The holdings reflected do not take into account any transactions that may have occurred after Mr. Mosher was no longer subject to the reporting obligations of Section 16(a) of the Exchange Act.</w:t>
      </w:r>
    </w:p>
    <w:p>
      <w:pPr>
        <w:jc w:val="both"/>
        <w:ind w:left="1000" w:right="579" w:hanging="426"/>
        <w:spacing w:after="0" w:line="256"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2,234,703 shares of Common Stock and (ii) 4,783,529 options to purchase shares of Common Stock exercisable within 60 days. Mr. Suri resigned from his roles with the Company on March 21, 2023, and any unvested stock options were accelerated on March 25, 2023 and any stock options vested as of such date would remain exercisable for three years. The shares reflected as beneficially owned by Mr. Suri are based on information disclosed in a Form 4 filed by Mr. Suri on July 28, 2023. The holdings reflected do not take into account any transactions that may have occurred after Mr. Suri was no longer subject to the reporting obligations of Section 16(a) of the Exchange Act.</w:t>
      </w:r>
    </w:p>
    <w:p>
      <w:pPr>
        <w:spacing w:after="0" w:line="1" w:lineRule="exact"/>
        <w:rPr>
          <w:rFonts w:ascii="Times New Roman" w:cs="Times New Roman" w:eastAsia="Times New Roman" w:hAnsi="Times New Roman"/>
          <w:sz w:val="16"/>
          <w:szCs w:val="16"/>
          <w:color w:val="auto"/>
        </w:rPr>
      </w:pPr>
    </w:p>
    <w:p>
      <w:pPr>
        <w:jc w:val="both"/>
        <w:ind w:left="1000" w:right="579" w:hanging="426"/>
        <w:spacing w:after="0" w:line="259" w:lineRule="auto"/>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16,000,000 shares of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jc w:val="both"/>
        <w:ind w:left="580" w:right="579" w:firstLine="419"/>
        <w:spacing w:after="0" w:line="270" w:lineRule="auto"/>
        <w:rPr>
          <w:sz w:val="20"/>
          <w:szCs w:val="20"/>
          <w:color w:val="auto"/>
        </w:rPr>
      </w:pPr>
      <w:r>
        <w:rPr>
          <w:rFonts w:ascii="Times New Roman" w:cs="Times New Roman" w:eastAsia="Times New Roman" w:hAnsi="Times New Roman"/>
          <w:sz w:val="17"/>
          <w:szCs w:val="17"/>
          <w:color w:val="auto"/>
        </w:rPr>
        <w:t>We know of no other business that will be presented at the Special Meeting. If any other matter properly comes before the stockholders for a vote at the Special Meeting, however, the proxy holders will vote your shares in accordance with their best judgment. This discretionary authority is granted by the execution of the form of proxy.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Proxies</w:t>
      </w:r>
    </w:p>
    <w:p>
      <w:pPr>
        <w:spacing w:after="0" w:line="147" w:lineRule="exact"/>
        <w:rPr>
          <w:sz w:val="20"/>
          <w:szCs w:val="20"/>
          <w:color w:val="auto"/>
        </w:rPr>
      </w:pPr>
    </w:p>
    <w:p>
      <w:pPr>
        <w:jc w:val="both"/>
        <w:ind w:left="580" w:right="579" w:firstLine="419"/>
        <w:spacing w:after="0" w:line="260" w:lineRule="auto"/>
        <w:rPr>
          <w:sz w:val="20"/>
          <w:szCs w:val="20"/>
          <w:color w:val="auto"/>
        </w:rPr>
      </w:pPr>
      <w:r>
        <w:rPr>
          <w:rFonts w:ascii="Times New Roman" w:cs="Times New Roman" w:eastAsia="Times New Roman" w:hAnsi="Times New Roman"/>
          <w:sz w:val="17"/>
          <w:szCs w:val="17"/>
          <w:color w:val="auto"/>
        </w:rPr>
        <w:t>SEC rules permit companies and intermediaries such as brokers to satisfy delivery requirements with respect to two or more stockholders sharing the same address by delivering a proxy statement or a single notice of internet availability of proxy materials addressed to those stockholders. This process, which is commonly referred to as “householding”, can reduce the volume of duplicate information received at households. While the Company does not household, a number of brokerage firms with account holders have instituted householding. Once a stockholder has consented or receives notice from their broker that the broker will be householding materials to the stockholder’s address, householding will continue until the stockholder is notified otherwise or until one or more of the stockholders revokes their consent. If your Proxy Statement, been househeld and you wish to receive separate copies of these documents now and/or in the future, or if your household is receiving multiple copies of these documents and you wish to request that future deliveries be limited to a single copy, you may notify your broker. You can also request and we will promptly deliver a separate copy of the proxy materials by writing to: 985 Industrial Road, Suite 205, San Carlos, CA 94070 or by telephone at: (650) 817-9012.</w:t>
      </w:r>
    </w:p>
    <w:p>
      <w:pPr>
        <w:spacing w:after="0" w:line="3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Additional Filings</w:t>
      </w:r>
    </w:p>
    <w:p>
      <w:pPr>
        <w:spacing w:after="0" w:line="160"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 xml:space="preserve">The Company’s reports on Forms 10-K, 10-Q, 8-K and all amendments to those reports are available without charge through the Company’s website, </w:t>
      </w:r>
      <w:r>
        <w:rPr>
          <w:rFonts w:ascii="Times New Roman" w:cs="Times New Roman" w:eastAsia="Times New Roman" w:hAnsi="Times New Roman"/>
          <w:sz w:val="17"/>
          <w:szCs w:val="17"/>
          <w:i w:val="1"/>
          <w:iCs w:val="1"/>
          <w:color w:val="auto"/>
        </w:rPr>
        <w:t>https://presto.com</w:t>
      </w:r>
      <w:r>
        <w:rPr>
          <w:rFonts w:ascii="Times New Roman" w:cs="Times New Roman" w:eastAsia="Times New Roman" w:hAnsi="Times New Roman"/>
          <w:sz w:val="17"/>
          <w:szCs w:val="17"/>
          <w:color w:val="auto"/>
        </w:rPr>
        <w:t>, as soon as reasonably practicable after they are electronically filed with, or furnished to, the SEC. Our Code of Conduct, Audit Committee Charter, Nominating and Corporate Governance Committee Charter, Compensation Committee Charter, Strategic Finance Committee Charter, Corporate Governance Guidelines and amendments thereto are also available at our website, as described above. If we make any amendments to our Code of Conduct or grant any waiver, including any implicit waiver, from a provision of either code applicable to our CEO, CFO or principal accounting officer requiring disclosure under applicable SEC rules, we intend to disclose the nature of such amendment or waiver on our website. The content of our website, however, is not part of this Proxy Statement.</w:t>
      </w:r>
    </w:p>
    <w:p>
      <w:pPr>
        <w:spacing w:after="0" w:line="110" w:lineRule="exact"/>
        <w:rPr>
          <w:sz w:val="20"/>
          <w:szCs w:val="20"/>
          <w:color w:val="auto"/>
        </w:rPr>
      </w:pPr>
    </w:p>
    <w:p>
      <w:pPr>
        <w:jc w:val="both"/>
        <w:ind w:left="580" w:right="599" w:firstLine="419"/>
        <w:spacing w:after="0" w:line="296" w:lineRule="auto"/>
        <w:rPr>
          <w:sz w:val="20"/>
          <w:szCs w:val="20"/>
          <w:color w:val="auto"/>
        </w:rPr>
      </w:pPr>
      <w:r>
        <w:rPr>
          <w:rFonts w:ascii="Times New Roman" w:cs="Times New Roman" w:eastAsia="Times New Roman" w:hAnsi="Times New Roman"/>
          <w:sz w:val="17"/>
          <w:szCs w:val="17"/>
          <w:color w:val="auto"/>
        </w:rPr>
        <w:t>You may request a copy of our SEC filings, as well as the foregoing corporate documents, at no cost to you, to the Company by writing to: 985 Industrial Road, Suite 205, San Carlos, CA 94070.</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2024 Annual Meeting of Stockholders</w:t>
      </w:r>
    </w:p>
    <w:p>
      <w:pPr>
        <w:spacing w:after="0" w:line="147" w:lineRule="exact"/>
        <w:rPr>
          <w:sz w:val="20"/>
          <w:szCs w:val="20"/>
          <w:color w:val="auto"/>
        </w:rPr>
      </w:pPr>
    </w:p>
    <w:p>
      <w:pPr>
        <w:jc w:val="both"/>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Stockholders of the Company may submit proposals that they believe should be voted upon at the Company’s annual meeting of Stockholders or nominate persons for election to the Board. Pursuant to Rule 14a-8 under the Exchange Act, stockholder proposals meeting certain requirements may be eligible for inclusion in the Company’s proxy statement (the “2024 Proxy Statement”) for the Company’s 2024 annual meeting of stockholders (the “2024 Annual Meeting”). To be eligible for inclusion in the 2024 Proxy Statement, any such stockholder proposals must be submitted in writing to the Secretary of the Company no later than June 29, 2024 in addition to complying with certain rules and regulations promulgated by the SEC. The submission of a stockholder proposal does not guarantee that it will be included in the 2024 Proxy Statement.</w:t>
      </w:r>
    </w:p>
    <w:p>
      <w:pPr>
        <w:spacing w:after="0" w:line="113" w:lineRule="exact"/>
        <w:rPr>
          <w:sz w:val="20"/>
          <w:szCs w:val="20"/>
          <w:color w:val="auto"/>
        </w:rPr>
      </w:pPr>
    </w:p>
    <w:p>
      <w:pPr>
        <w:jc w:val="both"/>
        <w:ind w:left="580" w:right="579" w:firstLine="419"/>
        <w:spacing w:after="0" w:line="242" w:lineRule="auto"/>
        <w:rPr>
          <w:sz w:val="20"/>
          <w:szCs w:val="20"/>
          <w:color w:val="auto"/>
        </w:rPr>
      </w:pPr>
      <w:r>
        <w:rPr>
          <w:rFonts w:ascii="Times New Roman" w:cs="Times New Roman" w:eastAsia="Times New Roman" w:hAnsi="Times New Roman"/>
          <w:sz w:val="17"/>
          <w:szCs w:val="17"/>
          <w:color w:val="auto"/>
        </w:rPr>
        <w:t>Alternatively, stockholders seeking to present a stockholder proposal or nomination at the 2024 Annual Meeting, without having it included in the 2024 Proxy Statement, must timely submit notice of such proposal or nomination. To be timely, a stockholder’s notice must be received by the Secretary at the principal executive offices of the Company not later than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first anniversary of the 2023 Annual Meeting of Stockholders. For the 2024 Annual Meeting, this means that any such proposal or nomination must be submitted no earlier than August 8, 2024 and no later than September 7, 2024. Notwithstanding the foregoing, if the date of the 2024 Annual Meeting is more than 30 days before or more than 70 days after the first anniversary of the 2023 Annual Meeting, to be timely, a stockholder’s notice must be received by the Secretary at the principal executive offices of the Company no earlier than 5:00 p.m. Eastern Time on the 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and not later than the later of 5:00 p.m. Eastern Time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2024 Annual Meeting, or the 5:00 p.m. Eastern Time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the 2024 Annual Meeting is first made by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580" w:right="579" w:firstLine="419"/>
        <w:spacing w:after="0" w:line="263" w:lineRule="auto"/>
        <w:rPr>
          <w:sz w:val="20"/>
          <w:szCs w:val="20"/>
          <w:color w:val="auto"/>
        </w:rPr>
      </w:pPr>
      <w:r>
        <w:rPr>
          <w:rFonts w:ascii="Times New Roman" w:cs="Times New Roman" w:eastAsia="Times New Roman" w:hAnsi="Times New Roman"/>
          <w:sz w:val="17"/>
          <w:szCs w:val="17"/>
          <w:color w:val="auto"/>
        </w:rPr>
        <w:t>Additionally, in order for stockholders to give timely notice of nominations for directors for inclusion on a universal proxy card in connection with the 2024 Annual Meeting of Stockholders, notice must be submitted by the same deadline as disclosed above under the advance notice provisions of our Bylaws and must include the information in the notice required by our bylaws and by Rule 14a-19(b)(2) and Rule 14a-19(b)(3) under the Exchange Act (including a statement that the stockholder intends to solicit the holders of shares representing at least 67% of the voting power of shares entitled to vote on the election of directors in support of director nominees other than our nominees).</w:t>
      </w:r>
    </w:p>
    <w:p>
      <w:pPr>
        <w:spacing w:after="0" w:line="112" w:lineRule="exact"/>
        <w:rPr>
          <w:sz w:val="20"/>
          <w:szCs w:val="20"/>
          <w:color w:val="auto"/>
        </w:rPr>
      </w:pPr>
    </w:p>
    <w:p>
      <w:pPr>
        <w:jc w:val="both"/>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Notices of any proposals or nominations for the Company’s 2024 Annual Meeting of Stockholders should be sent to Presto Automation Inc., Attention: Secretary, 985 Industrial Road, Suite 205, San Carlos, CA 94070.</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PRESTO AUTOMATION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Amendment to the Second Amended and Restated Certificate of Incorporation</w:t>
      </w:r>
    </w:p>
    <w:p>
      <w:pPr>
        <w:spacing w:after="0" w:line="160" w:lineRule="exact"/>
        <w:rPr>
          <w:sz w:val="20"/>
          <w:szCs w:val="20"/>
          <w:color w:val="auto"/>
        </w:rPr>
      </w:pPr>
    </w:p>
    <w:p>
      <w:pPr>
        <w:ind w:left="580" w:right="579" w:firstLine="419"/>
        <w:spacing w:after="0" w:line="296" w:lineRule="auto"/>
        <w:rPr>
          <w:sz w:val="20"/>
          <w:szCs w:val="20"/>
          <w:color w:val="auto"/>
        </w:rPr>
      </w:pPr>
      <w:r>
        <w:rPr>
          <w:rFonts w:ascii="Times New Roman" w:cs="Times New Roman" w:eastAsia="Times New Roman" w:hAnsi="Times New Roman"/>
          <w:sz w:val="17"/>
          <w:szCs w:val="17"/>
          <w:color w:val="auto"/>
        </w:rPr>
        <w:t>Presto Automation Inc. (the “Corporation”), a corporation organized and existing under the General Corporation Law of the State of Delaware, hereby certifies as follows:</w:t>
      </w:r>
    </w:p>
    <w:p>
      <w:pPr>
        <w:spacing w:after="0" w:line="81" w:lineRule="exact"/>
        <w:rPr>
          <w:sz w:val="20"/>
          <w:szCs w:val="20"/>
          <w:color w:val="auto"/>
        </w:rPr>
      </w:pPr>
    </w:p>
    <w:p>
      <w:pPr>
        <w:ind w:left="1380" w:hanging="386"/>
        <w:spacing w:after="0"/>
        <w:tabs>
          <w:tab w:leader="none" w:pos="13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Presto Automation Inc.</w:t>
      </w:r>
    </w:p>
    <w:p>
      <w:pPr>
        <w:spacing w:after="0" w:line="145" w:lineRule="exact"/>
        <w:rPr>
          <w:rFonts w:ascii="Times New Roman" w:cs="Times New Roman" w:eastAsia="Times New Roman" w:hAnsi="Times New Roman"/>
          <w:sz w:val="17"/>
          <w:szCs w:val="17"/>
          <w:color w:val="auto"/>
        </w:rPr>
      </w:pPr>
    </w:p>
    <w:p>
      <w:pPr>
        <w:jc w:val="both"/>
        <w:ind w:left="1420" w:right="579" w:hanging="426"/>
        <w:spacing w:after="0" w:line="263" w:lineRule="auto"/>
        <w:tabs>
          <w:tab w:leader="none" w:pos="143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“Certificate of Incorporation”) and declaring said amendment to be advisable. The requisite stockholders of the Corporation have duly approved said proposed amendment in accordance with Section 242 of the General Corporation Law of the State of Delaware. The amendment amends the Certificate of Incorporation of the Corporation as follows:</w:t>
      </w:r>
    </w:p>
    <w:p>
      <w:pPr>
        <w:spacing w:after="0" w:line="111" w:lineRule="exact"/>
        <w:rPr>
          <w:rFonts w:ascii="Times New Roman" w:cs="Times New Roman" w:eastAsia="Times New Roman" w:hAnsi="Times New Roman"/>
          <w:sz w:val="17"/>
          <w:szCs w:val="17"/>
          <w:color w:val="auto"/>
        </w:rPr>
      </w:pPr>
    </w:p>
    <w:p>
      <w:pPr>
        <w:ind w:left="1340" w:hanging="346"/>
        <w:spacing w:after="0"/>
        <w:tabs>
          <w:tab w:leader="none" w:pos="13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Certificate of Incorporation is hereby amended by adding the following new Section 4.3 to</w:t>
      </w:r>
    </w:p>
    <w:p>
      <w:pPr>
        <w:spacing w:after="0" w:line="32"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IV:</w:t>
      </w:r>
    </w:p>
    <w:p>
      <w:pPr>
        <w:spacing w:after="0" w:line="14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Reverse Stock Split</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both"/>
        <w:ind w:left="1420" w:right="579"/>
        <w:spacing w:after="0" w:line="256" w:lineRule="auto"/>
        <w:rPr>
          <w:sz w:val="20"/>
          <w:szCs w:val="20"/>
          <w:color w:val="auto"/>
        </w:rPr>
      </w:pPr>
      <w:r>
        <w:rPr>
          <w:rFonts w:ascii="Times New Roman" w:cs="Times New Roman" w:eastAsia="Times New Roman" w:hAnsi="Times New Roman"/>
          <w:sz w:val="17"/>
          <w:szCs w:val="17"/>
          <w:color w:val="auto"/>
        </w:rPr>
        <w:t>Upon this Certificate of Amendment to the Second Amended and Restated Certificate becoming effective pursuant to the DGCL (the “</w:t>
      </w:r>
      <w:r>
        <w:rPr>
          <w:rFonts w:ascii="Times New Roman" w:cs="Times New Roman" w:eastAsia="Times New Roman" w:hAnsi="Times New Roman"/>
          <w:sz w:val="17"/>
          <w:szCs w:val="17"/>
          <w:u w:val="single" w:color="auto"/>
          <w:color w:val="auto"/>
        </w:rPr>
        <w:t>Effective Time</w:t>
      </w:r>
      <w:r>
        <w:rPr>
          <w:rFonts w:ascii="Times New Roman" w:cs="Times New Roman" w:eastAsia="Times New Roman" w:hAnsi="Times New Roman"/>
          <w:sz w:val="17"/>
          <w:szCs w:val="17"/>
          <w:color w:val="auto"/>
        </w:rPr>
        <w:t xml:space="preserve">”) the shares of the Corporation’s Common Stock, par value $0.0001 per share, issued and outstanding immediately prior to the Effective Time and the shares of Common Stock issued and held in the treasury of the Corporation immediately prior to the Effective Time shall be reclassified as and combined into a smaller number of shares such that every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0"/>
          <w:szCs w:val="20"/>
          <w:b w:val="1"/>
          <w:bCs w:val="1"/>
          <w:color w:val="auto"/>
          <w:vertAlign w:val="superscript"/>
        </w:rPr>
        <w:t>1</w:t>
      </w:r>
      <w:r>
        <w:rPr>
          <w:rFonts w:ascii="Times New Roman" w:cs="Times New Roman" w:eastAsia="Times New Roman" w:hAnsi="Times New Roman"/>
          <w:sz w:val="17"/>
          <w:szCs w:val="17"/>
          <w:color w:val="auto"/>
        </w:rPr>
        <w:t xml:space="preserve"> shares of issued and outstanding Common Stock immediately prior to the Effective Time are automatically combined into one (1) validly issued, fully paid and nonassessable share of Common Stock, par value $0.0001 per share (the “</w:t>
      </w:r>
      <w:r>
        <w:rPr>
          <w:rFonts w:ascii="Times New Roman" w:cs="Times New Roman" w:eastAsia="Times New Roman" w:hAnsi="Times New Roman"/>
          <w:sz w:val="17"/>
          <w:szCs w:val="17"/>
          <w:b w:val="1"/>
          <w:bCs w:val="1"/>
          <w:i w:val="1"/>
          <w:iCs w:val="1"/>
          <w:color w:val="auto"/>
        </w:rPr>
        <w:t>Reverse Stock Split</w:t>
      </w:r>
      <w:r>
        <w:rPr>
          <w:rFonts w:ascii="Times New Roman" w:cs="Times New Roman" w:eastAsia="Times New Roman" w:hAnsi="Times New Roman"/>
          <w:sz w:val="17"/>
          <w:szCs w:val="17"/>
          <w:color w:val="auto"/>
        </w:rPr>
        <w: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Common Stock as reported on the Nasdaq Capital Market for the ten (10) days preceding the Effective Time.</w:t>
      </w:r>
    </w:p>
    <w:p>
      <w:pPr>
        <w:spacing w:after="0" w:line="124" w:lineRule="exact"/>
        <w:rPr>
          <w:sz w:val="20"/>
          <w:szCs w:val="20"/>
          <w:color w:val="auto"/>
        </w:rPr>
      </w:pPr>
    </w:p>
    <w:p>
      <w:pPr>
        <w:jc w:val="both"/>
        <w:ind w:left="1420" w:right="579"/>
        <w:spacing w:after="0" w:line="263" w:lineRule="auto"/>
        <w:rPr>
          <w:sz w:val="20"/>
          <w:szCs w:val="20"/>
          <w:color w:val="auto"/>
        </w:rPr>
      </w:pPr>
      <w:r>
        <w:rPr>
          <w:rFonts w:ascii="Times New Roman" w:cs="Times New Roman" w:eastAsia="Times New Roman" w:hAnsi="Times New Roman"/>
          <w:sz w:val="17"/>
          <w:szCs w:val="17"/>
          <w:color w:val="auto"/>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spacing w:after="0" w:line="112" w:lineRule="exact"/>
        <w:rPr>
          <w:sz w:val="20"/>
          <w:szCs w:val="20"/>
          <w:color w:val="auto"/>
        </w:rPr>
      </w:pPr>
    </w:p>
    <w:p>
      <w:pPr>
        <w:ind w:left="1420" w:right="599" w:hanging="426"/>
        <w:spacing w:after="0" w:line="296" w:lineRule="auto"/>
        <w:tabs>
          <w:tab w:leader="none" w:pos="1394"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amendment was duly adopted in accordance with the provisions of Section 242 of the General Corporation Law of the State of Delaware.</w:t>
      </w:r>
    </w:p>
    <w:p>
      <w:pPr>
        <w:spacing w:after="0" w:line="67"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provisions of the Certificate of Incorporation shall remain in full force and effect.</w:t>
      </w:r>
    </w:p>
    <w:p>
      <w:pPr>
        <w:spacing w:after="0" w:line="158" w:lineRule="exact"/>
        <w:rPr>
          <w:rFonts w:ascii="Times New Roman" w:cs="Times New Roman" w:eastAsia="Times New Roman" w:hAnsi="Times New Roman"/>
          <w:sz w:val="17"/>
          <w:szCs w:val="17"/>
          <w:color w:val="auto"/>
        </w:rPr>
      </w:pPr>
    </w:p>
    <w:p>
      <w:pPr>
        <w:ind w:left="1380" w:hanging="386"/>
        <w:spacing w:after="0"/>
        <w:tabs>
          <w:tab w:leader="none" w:pos="13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shall be effective as of ____ at ____ Pacific Time.</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91" w:lineRule="exact"/>
        <w:rPr>
          <w:sz w:val="20"/>
          <w:szCs w:val="20"/>
          <w:color w:val="auto"/>
        </w:rPr>
      </w:pPr>
    </w:p>
    <w:p>
      <w:pPr>
        <w:ind w:left="1000" w:right="579" w:hanging="426"/>
        <w:spacing w:after="0" w:line="285" w:lineRule="auto"/>
        <w:tabs>
          <w:tab w:leader="none" w:pos="974"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will have the discretion to effect the Reverse Stock Split at a ratio of any whole number between not less than 1-for-[•] and not greater than 1-for-[•].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IN WITNESS WHEREOF, the Corporation has caused this Certificate of Amendment to be signed by</w:t>
      </w:r>
    </w:p>
    <w:p>
      <w:pPr>
        <w:spacing w:after="0" w:line="32"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8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its</w:t>
            </w:r>
          </w:p>
        </w:tc>
        <w:tc>
          <w:tcPr>
            <w:tcW w:w="138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 this day of</w:t>
            </w:r>
          </w:p>
        </w:tc>
        <w:tc>
          <w:tcPr>
            <w:tcW w:w="27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 2024.</w:t>
            </w: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5"/>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b w:val="1"/>
                <w:bCs w:val="1"/>
                <w:color w:val="auto"/>
              </w:rPr>
              <w:t>PRESTO AUTOMATION INC.</w:t>
            </w:r>
          </w:p>
        </w:tc>
        <w:tc>
          <w:tcPr>
            <w:tcW w:w="0" w:type="dxa"/>
            <w:vAlign w:val="bottom"/>
          </w:tcPr>
          <w:p>
            <w:pPr>
              <w:spacing w:after="0"/>
              <w:rPr>
                <w:sz w:val="1"/>
                <w:szCs w:val="1"/>
                <w:color w:val="auto"/>
              </w:rPr>
            </w:pPr>
          </w:p>
        </w:tc>
      </w:tr>
      <w:tr>
        <w:trPr>
          <w:trHeight w:val="406"/>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720" w:type="dxa"/>
            <w:vAlign w:val="bottom"/>
            <w:vMerge w:val="restart"/>
          </w:tcPr>
          <w:p>
            <w:pPr>
              <w:ind w:left="2140"/>
              <w:spacing w:after="0"/>
              <w:rPr>
                <w:sz w:val="20"/>
                <w:szCs w:val="20"/>
                <w:color w:val="auto"/>
              </w:rPr>
            </w:pPr>
            <w:r>
              <w:rPr>
                <w:rFonts w:ascii="Times New Roman" w:cs="Times New Roman" w:eastAsia="Times New Roman" w:hAnsi="Times New Roman"/>
                <w:sz w:val="17"/>
                <w:szCs w:val="17"/>
                <w:color w:val="auto"/>
              </w:rPr>
              <w:t>Name:</w:t>
            </w:r>
          </w:p>
        </w:tc>
        <w:tc>
          <w:tcPr>
            <w:tcW w:w="2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40" w:type="dxa"/>
            <w:vAlign w:val="bottom"/>
            <w:gridSpan w:val="2"/>
          </w:tcPr>
          <w:p>
            <w:pPr>
              <w:ind w:left="2140"/>
              <w:spacing w:after="0"/>
              <w:rPr>
                <w:sz w:val="20"/>
                <w:szCs w:val="20"/>
                <w:color w:val="auto"/>
              </w:rPr>
            </w:pPr>
            <w:r>
              <w:rPr>
                <w:rFonts w:ascii="Times New Roman" w:cs="Times New Roman" w:eastAsia="Times New Roman" w:hAnsi="Times New Roman"/>
                <w:sz w:val="17"/>
                <w:szCs w:val="17"/>
                <w:color w:val="auto"/>
              </w:rPr>
              <w:t>Title:</w:t>
            </w:r>
          </w:p>
        </w:tc>
        <w:tc>
          <w:tcPr>
            <w:tcW w:w="0" w:type="dxa"/>
            <w:vAlign w:val="bottom"/>
          </w:tcPr>
          <w:p>
            <w:pPr>
              <w:spacing w:after="0"/>
              <w:rPr>
                <w:sz w:val="1"/>
                <w:szCs w:val="1"/>
                <w:color w:val="auto"/>
              </w:rPr>
            </w:pPr>
          </w:p>
        </w:tc>
      </w:tr>
      <w:tr>
        <w:trPr>
          <w:trHeight w:val="446"/>
        </w:trPr>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2"/>
          </w:tcPr>
          <w:p>
            <w:pPr>
              <w:ind w:left="1560"/>
              <w:spacing w:after="0"/>
              <w:rPr>
                <w:sz w:val="20"/>
                <w:szCs w:val="20"/>
                <w:color w:val="auto"/>
              </w:rPr>
            </w:pPr>
            <w:r>
              <w:rPr>
                <w:rFonts w:ascii="Times New Roman" w:cs="Times New Roman" w:eastAsia="Times New Roman" w:hAnsi="Times New Roman"/>
                <w:sz w:val="17"/>
                <w:szCs w:val="17"/>
                <w:color w:val="auto"/>
              </w:rPr>
              <w:t>A-2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1440" w:gutter="0" w:footer="0" w:header="0"/>
        </w:sectPr>
      </w:pPr>
    </w:p>
    <w:bookmarkStart w:id="35" w:name="page36"/>
    <w:bookmarkEnd w:id="3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9974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9997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103505</wp:posOffset>
            </wp:positionV>
            <wp:extent cx="7264400" cy="9856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4400" cy="985647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5"/>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lowerRoman"/>
      <w:start w:val="2"/>
    </w:lvl>
  </w:abstractNum>
  <w:abstractNum w:abstractNumId="15">
    <w:nsid w:val="721DA317"/>
    <w:multiLevelType w:val="hybridMultilevel"/>
    <w:lvl w:ilvl="0">
      <w:lvlJc w:val="left"/>
      <w:lvlText w:val="(%1)"/>
      <w:numFmt w:val="lowerRoman"/>
      <w:start w:val="5"/>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2)"/>
      <w:numFmt w:val="lowerRoman"/>
      <w:start w:val="2"/>
    </w:lvl>
  </w:abstractNum>
  <w:abstractNum w:abstractNumId="23">
    <w:nsid w:val="B03E0C6"/>
    <w:multiLevelType w:val="hybridMultilevel"/>
    <w:lvl w:ilvl="0">
      <w:lvlJc w:val="left"/>
      <w:lvlText w:val="%1"/>
      <w:numFmt w:val="decimal"/>
      <w:start w:val="1"/>
    </w:lvl>
    <w:lvl w:ilvl="1">
      <w:lvlJc w:val="left"/>
      <w:lvlText w:val="(%2)"/>
      <w:numFmt w:val="lowerRoman"/>
      <w:start w:val="4"/>
    </w:lvl>
  </w:abstractNum>
  <w:abstractNum w:abstractNumId="24">
    <w:nsid w:val="189A769B"/>
    <w:multiLevelType w:val="hybridMultilevel"/>
    <w:lvl w:ilvl="0">
      <w:lvlJc w:val="left"/>
      <w:lvlText w:val="(%1)"/>
      <w:numFmt w:val="decimal"/>
      <w:start w:val="3"/>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4"/>
    </w:lvl>
  </w:abstractNum>
  <w:abstractNum w:abstractNumId="27">
    <w:nsid w:val="2CA88611"/>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2024-06-10T05:22:03Z</dcterms:created>
  <dcterms:modified xsi:type="dcterms:W3CDTF">2024-06-10T05:22:03Z</dcterms:modified>
</cp:coreProperties>
</file>